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AEB" w:rsidRPr="00FB186A" w:rsidRDefault="00817AEB" w:rsidP="00817AEB">
      <w:pPr>
        <w:tabs>
          <w:tab w:val="left" w:pos="720"/>
        </w:tabs>
        <w:spacing w:after="0" w:line="276" w:lineRule="auto"/>
        <w:jc w:val="right"/>
        <w:rPr>
          <w:rFonts w:asciiTheme="majorHAnsi" w:eastAsia="Times New Roman" w:hAnsiTheme="majorHAnsi" w:cs="Times New Roman"/>
          <w:bCs/>
          <w:sz w:val="24"/>
          <w:szCs w:val="24"/>
          <w:lang w:val="ro-MD"/>
        </w:rPr>
      </w:pPr>
      <w:r w:rsidRPr="00FB186A">
        <w:rPr>
          <w:rFonts w:asciiTheme="majorHAnsi" w:eastAsia="Times New Roman" w:hAnsiTheme="majorHAnsi" w:cs="Times New Roman"/>
          <w:bCs/>
          <w:sz w:val="24"/>
          <w:szCs w:val="24"/>
          <w:lang w:val="ro-MD"/>
        </w:rPr>
        <w:t xml:space="preserve">Anexă </w:t>
      </w:r>
    </w:p>
    <w:p w:rsidR="00817AEB" w:rsidRPr="00FB186A" w:rsidRDefault="00817AEB" w:rsidP="00817AEB">
      <w:pPr>
        <w:tabs>
          <w:tab w:val="left" w:pos="720"/>
        </w:tabs>
        <w:spacing w:after="0" w:line="276" w:lineRule="auto"/>
        <w:jc w:val="right"/>
        <w:rPr>
          <w:rFonts w:asciiTheme="majorHAnsi" w:eastAsia="Times New Roman" w:hAnsiTheme="majorHAnsi" w:cs="Times New Roman"/>
          <w:bCs/>
          <w:sz w:val="24"/>
          <w:szCs w:val="24"/>
          <w:lang w:val="ro-MD"/>
        </w:rPr>
      </w:pPr>
      <w:r w:rsidRPr="00FB186A">
        <w:rPr>
          <w:rFonts w:asciiTheme="majorHAnsi" w:eastAsia="Times New Roman" w:hAnsiTheme="majorHAnsi" w:cs="Times New Roman"/>
          <w:bCs/>
          <w:sz w:val="24"/>
          <w:szCs w:val="24"/>
          <w:lang w:val="ro-MD"/>
        </w:rPr>
        <w:t xml:space="preserve">la Hotărârea Curții de Conturi </w:t>
      </w:r>
    </w:p>
    <w:p w:rsidR="00817AEB" w:rsidRPr="00FB186A" w:rsidRDefault="00817AEB" w:rsidP="00817AEB">
      <w:pPr>
        <w:tabs>
          <w:tab w:val="left" w:pos="720"/>
        </w:tabs>
        <w:spacing w:after="0" w:line="276" w:lineRule="auto"/>
        <w:jc w:val="right"/>
        <w:rPr>
          <w:rFonts w:asciiTheme="majorHAnsi" w:eastAsia="Times New Roman" w:hAnsiTheme="majorHAnsi" w:cs="Times New Roman"/>
          <w:bCs/>
          <w:color w:val="1F4E79" w:themeColor="accent1" w:themeShade="80"/>
          <w:sz w:val="24"/>
          <w:szCs w:val="24"/>
          <w:lang w:val="ro-MD"/>
        </w:rPr>
      </w:pPr>
      <w:r w:rsidRPr="00FB186A">
        <w:rPr>
          <w:rFonts w:asciiTheme="majorHAnsi" w:eastAsia="Times New Roman" w:hAnsiTheme="majorHAnsi" w:cs="Times New Roman"/>
          <w:bCs/>
          <w:sz w:val="24"/>
          <w:szCs w:val="24"/>
          <w:lang w:val="ro-MD"/>
        </w:rPr>
        <w:t>nr.</w:t>
      </w:r>
      <w:r w:rsidR="004F1E07">
        <w:rPr>
          <w:rFonts w:asciiTheme="majorHAnsi" w:eastAsia="Times New Roman" w:hAnsiTheme="majorHAnsi" w:cs="Times New Roman"/>
          <w:bCs/>
          <w:sz w:val="24"/>
          <w:szCs w:val="24"/>
          <w:lang w:val="ro-MD"/>
        </w:rPr>
        <w:t>44</w:t>
      </w:r>
      <w:r w:rsidR="00793C62" w:rsidRPr="00FB186A">
        <w:rPr>
          <w:rFonts w:asciiTheme="majorHAnsi" w:eastAsia="Times New Roman" w:hAnsiTheme="majorHAnsi" w:cs="Times New Roman"/>
          <w:bCs/>
          <w:sz w:val="24"/>
          <w:szCs w:val="24"/>
          <w:lang w:val="ro-MD"/>
        </w:rPr>
        <w:t xml:space="preserve"> </w:t>
      </w:r>
      <w:r w:rsidRPr="00FB186A">
        <w:rPr>
          <w:rFonts w:asciiTheme="majorHAnsi" w:eastAsia="Times New Roman" w:hAnsiTheme="majorHAnsi" w:cs="Times New Roman"/>
          <w:bCs/>
          <w:sz w:val="24"/>
          <w:szCs w:val="24"/>
          <w:lang w:val="ro-MD"/>
        </w:rPr>
        <w:t xml:space="preserve">din </w:t>
      </w:r>
      <w:r w:rsidR="001C2F75" w:rsidRPr="00FB186A">
        <w:rPr>
          <w:rFonts w:asciiTheme="majorHAnsi" w:eastAsia="Times New Roman" w:hAnsiTheme="majorHAnsi" w:cs="Times New Roman"/>
          <w:bCs/>
          <w:sz w:val="24"/>
          <w:szCs w:val="24"/>
          <w:lang w:val="ro-MD"/>
        </w:rPr>
        <w:t xml:space="preserve">28 mai </w:t>
      </w:r>
      <w:r w:rsidRPr="00FB186A">
        <w:rPr>
          <w:rFonts w:asciiTheme="majorHAnsi" w:eastAsia="Times New Roman" w:hAnsiTheme="majorHAnsi" w:cs="Times New Roman"/>
          <w:bCs/>
          <w:sz w:val="24"/>
          <w:szCs w:val="24"/>
          <w:lang w:val="ro-MD"/>
        </w:rPr>
        <w:t>2019</w:t>
      </w:r>
    </w:p>
    <w:p w:rsidR="00817AEB" w:rsidRPr="00FB186A" w:rsidRDefault="00817AEB" w:rsidP="00817AEB">
      <w:pPr>
        <w:spacing w:after="0" w:line="276" w:lineRule="auto"/>
        <w:rPr>
          <w:rFonts w:asciiTheme="majorHAnsi" w:hAnsiTheme="majorHAnsi" w:cs="Times New Roman"/>
          <w:sz w:val="24"/>
          <w:szCs w:val="24"/>
          <w:lang w:val="ro-MD"/>
        </w:rPr>
      </w:pPr>
    </w:p>
    <w:p w:rsidR="00817AEB" w:rsidRPr="000E15A5" w:rsidRDefault="00817AEB" w:rsidP="00817AEB">
      <w:pPr>
        <w:spacing w:after="0" w:line="276" w:lineRule="auto"/>
        <w:rPr>
          <w:rFonts w:asciiTheme="majorHAnsi" w:hAnsiTheme="majorHAnsi" w:cs="Times New Roman"/>
          <w:lang w:val="ro-MD"/>
        </w:rPr>
      </w:pPr>
    </w:p>
    <w:p w:rsidR="00817AEB" w:rsidRPr="000E15A5" w:rsidRDefault="00817AEB" w:rsidP="00817AEB">
      <w:pPr>
        <w:spacing w:after="0" w:line="276" w:lineRule="auto"/>
        <w:rPr>
          <w:rFonts w:asciiTheme="majorHAnsi" w:hAnsiTheme="majorHAnsi" w:cs="Times New Roman"/>
          <w:lang w:val="ro-MD"/>
        </w:rPr>
      </w:pPr>
    </w:p>
    <w:p w:rsidR="00817AEB" w:rsidRPr="000E15A5" w:rsidRDefault="00817AEB" w:rsidP="00817AEB">
      <w:pPr>
        <w:spacing w:after="0" w:line="276" w:lineRule="auto"/>
        <w:rPr>
          <w:rFonts w:asciiTheme="majorHAnsi" w:hAnsiTheme="majorHAnsi" w:cs="Times New Roman"/>
          <w:lang w:val="ro-MD"/>
        </w:rPr>
      </w:pPr>
    </w:p>
    <w:p w:rsidR="00817AEB" w:rsidRPr="000E15A5" w:rsidRDefault="00817AEB" w:rsidP="00817AEB">
      <w:pPr>
        <w:spacing w:after="0" w:line="276" w:lineRule="auto"/>
        <w:jc w:val="center"/>
        <w:rPr>
          <w:rFonts w:asciiTheme="majorHAnsi" w:hAnsiTheme="majorHAnsi" w:cs="Times New Roman"/>
          <w:b/>
          <w:sz w:val="28"/>
          <w:szCs w:val="28"/>
          <w:lang w:val="ro-MD"/>
        </w:rPr>
      </w:pPr>
      <w:r w:rsidRPr="000E15A5">
        <w:rPr>
          <w:rFonts w:asciiTheme="majorHAnsi" w:hAnsiTheme="majorHAnsi" w:cs="Times New Roman"/>
          <w:noProof/>
          <w:lang w:val="en-US"/>
        </w:rPr>
        <w:drawing>
          <wp:anchor distT="0" distB="0" distL="114300" distR="114300" simplePos="0" relativeHeight="251659264" behindDoc="0" locked="0" layoutInCell="1" allowOverlap="1" wp14:anchorId="49F73C05" wp14:editId="2CC663DC">
            <wp:simplePos x="0" y="0"/>
            <wp:positionH relativeFrom="column">
              <wp:posOffset>2623185</wp:posOffset>
            </wp:positionH>
            <wp:positionV relativeFrom="page">
              <wp:posOffset>2283460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AEB" w:rsidRPr="000E15A5" w:rsidRDefault="00817AEB" w:rsidP="00817AEB">
      <w:pPr>
        <w:spacing w:after="0" w:line="276" w:lineRule="auto"/>
        <w:jc w:val="center"/>
        <w:rPr>
          <w:rFonts w:asciiTheme="majorHAnsi" w:hAnsiTheme="majorHAnsi" w:cs="Times New Roman"/>
          <w:b/>
          <w:sz w:val="28"/>
          <w:szCs w:val="28"/>
          <w:lang w:val="ro-MD"/>
        </w:rPr>
      </w:pPr>
    </w:p>
    <w:p w:rsidR="00817AEB" w:rsidRPr="000E15A5" w:rsidRDefault="00817AEB" w:rsidP="00817AEB">
      <w:pPr>
        <w:spacing w:after="0" w:line="276" w:lineRule="auto"/>
        <w:jc w:val="center"/>
        <w:rPr>
          <w:rFonts w:asciiTheme="majorHAnsi" w:hAnsiTheme="majorHAnsi" w:cs="Times New Roman"/>
          <w:b/>
          <w:sz w:val="28"/>
          <w:szCs w:val="28"/>
          <w:lang w:val="ro-MD"/>
        </w:rPr>
      </w:pPr>
    </w:p>
    <w:p w:rsidR="00817AEB" w:rsidRPr="000E15A5" w:rsidRDefault="00817AEB" w:rsidP="00817AEB">
      <w:pPr>
        <w:spacing w:after="0" w:line="276" w:lineRule="auto"/>
        <w:jc w:val="center"/>
        <w:rPr>
          <w:rFonts w:asciiTheme="majorHAnsi" w:hAnsiTheme="majorHAnsi" w:cs="Times New Roman"/>
          <w:b/>
          <w:sz w:val="28"/>
          <w:szCs w:val="28"/>
          <w:lang w:val="ro-MD"/>
        </w:rPr>
      </w:pPr>
    </w:p>
    <w:p w:rsidR="00817AEB" w:rsidRDefault="00817AEB" w:rsidP="00817AEB">
      <w:pPr>
        <w:spacing w:after="0" w:line="276" w:lineRule="auto"/>
        <w:jc w:val="center"/>
        <w:rPr>
          <w:rFonts w:asciiTheme="majorHAnsi" w:hAnsiTheme="majorHAnsi" w:cs="Times New Roman"/>
          <w:b/>
          <w:sz w:val="28"/>
          <w:szCs w:val="28"/>
          <w:lang w:val="ro-MD"/>
        </w:rPr>
      </w:pPr>
    </w:p>
    <w:p w:rsidR="00817AEB" w:rsidRPr="000E15A5" w:rsidRDefault="00817AEB" w:rsidP="00817AEB">
      <w:pPr>
        <w:spacing w:after="0" w:line="276" w:lineRule="auto"/>
        <w:jc w:val="center"/>
        <w:rPr>
          <w:rFonts w:asciiTheme="majorHAnsi" w:hAnsiTheme="majorHAnsi" w:cs="Times New Roman"/>
          <w:b/>
          <w:sz w:val="28"/>
          <w:szCs w:val="28"/>
          <w:lang w:val="ro-MD"/>
        </w:rPr>
      </w:pPr>
      <w:r w:rsidRPr="000E15A5">
        <w:rPr>
          <w:rFonts w:asciiTheme="majorHAnsi" w:hAnsiTheme="majorHAnsi" w:cs="Times New Roman"/>
          <w:b/>
          <w:sz w:val="28"/>
          <w:szCs w:val="28"/>
          <w:lang w:val="ro-MD"/>
        </w:rPr>
        <w:t>CURTEA DE CONTURI A REPUBLICII MOLDOVA</w:t>
      </w:r>
    </w:p>
    <w:p w:rsidR="00817AEB" w:rsidRPr="000E15A5" w:rsidRDefault="00817AEB" w:rsidP="00817AEB">
      <w:pPr>
        <w:spacing w:after="0" w:line="276" w:lineRule="auto"/>
        <w:rPr>
          <w:rFonts w:asciiTheme="majorHAnsi" w:hAnsiTheme="majorHAnsi" w:cs="Times New Roman"/>
          <w:lang w:val="ro-MD"/>
        </w:rPr>
      </w:pPr>
    </w:p>
    <w:p w:rsidR="00817AEB" w:rsidRPr="000E15A5" w:rsidRDefault="00817AEB" w:rsidP="00817AEB">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817AEB" w:rsidRPr="000E15A5" w:rsidRDefault="00817AEB" w:rsidP="00817AEB">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17AEB" w:rsidRPr="000E15A5" w:rsidTr="00B83FFA">
        <w:trPr>
          <w:trHeight w:val="435"/>
        </w:trPr>
        <w:tc>
          <w:tcPr>
            <w:tcW w:w="9350" w:type="dxa"/>
          </w:tcPr>
          <w:p w:rsidR="00817AEB" w:rsidRPr="000E15A5" w:rsidRDefault="00817AEB" w:rsidP="00B83FFA">
            <w:pPr>
              <w:tabs>
                <w:tab w:val="left" w:pos="720"/>
              </w:tabs>
              <w:spacing w:line="276" w:lineRule="auto"/>
              <w:jc w:val="center"/>
              <w:rPr>
                <w:rFonts w:asciiTheme="majorHAnsi" w:hAnsiTheme="majorHAnsi" w:cs="Times New Roman"/>
                <w:b/>
                <w:color w:val="0563C1" w:themeColor="hyperlink"/>
                <w:sz w:val="18"/>
                <w:szCs w:val="18"/>
                <w:u w:val="single"/>
                <w:lang w:val="ro-MD"/>
              </w:rPr>
            </w:pPr>
            <w:r w:rsidRPr="000E15A5">
              <w:rPr>
                <w:rFonts w:asciiTheme="majorHAnsi" w:hAnsiTheme="majorHAnsi" w:cs="Times New Roman"/>
                <w:sz w:val="18"/>
                <w:szCs w:val="18"/>
                <w:lang w:val="ro-MD"/>
              </w:rPr>
              <w:t xml:space="preserve">MD-2001, mun. Chișinău, bd. Ștefan cel Mare și Sfânt </w:t>
            </w:r>
            <w:proofErr w:type="spellStart"/>
            <w:r w:rsidR="00793C62">
              <w:rPr>
                <w:rFonts w:asciiTheme="majorHAnsi" w:hAnsiTheme="majorHAnsi" w:cs="Times New Roman"/>
                <w:sz w:val="18"/>
                <w:szCs w:val="18"/>
                <w:lang w:val="en-US"/>
              </w:rPr>
              <w:t>nr</w:t>
            </w:r>
            <w:proofErr w:type="spellEnd"/>
            <w:r w:rsidR="00793C62">
              <w:rPr>
                <w:rFonts w:asciiTheme="majorHAnsi" w:hAnsiTheme="majorHAnsi" w:cs="Times New Roman"/>
                <w:sz w:val="18"/>
                <w:szCs w:val="18"/>
                <w:lang w:val="en-US"/>
              </w:rPr>
              <w:t>.</w:t>
            </w:r>
            <w:r w:rsidRPr="000E15A5">
              <w:rPr>
                <w:rFonts w:asciiTheme="majorHAnsi" w:hAnsiTheme="majorHAnsi" w:cs="Times New Roman"/>
                <w:sz w:val="18"/>
                <w:szCs w:val="18"/>
                <w:lang w:val="ro-MD"/>
              </w:rPr>
              <w:t xml:space="preserve">69, tel.: (+373) 22 23 25 79, fax: (+373) 22 23 30 20, </w:t>
            </w:r>
            <w:r w:rsidRPr="00524FD8">
              <w:rPr>
                <w:rFonts w:asciiTheme="majorHAnsi" w:hAnsiTheme="majorHAnsi" w:cs="Times New Roman"/>
                <w:b/>
                <w:color w:val="0070C0"/>
                <w:sz w:val="18"/>
                <w:szCs w:val="18"/>
                <w:lang w:val="ro-MD"/>
              </w:rPr>
              <w:t>www.ccrm.md</w:t>
            </w:r>
            <w:r w:rsidRPr="00524FD8">
              <w:rPr>
                <w:rFonts w:asciiTheme="majorHAnsi" w:hAnsiTheme="majorHAnsi" w:cs="Times New Roman"/>
                <w:b/>
                <w:color w:val="0070C0"/>
                <w:sz w:val="18"/>
                <w:szCs w:val="18"/>
                <w:u w:val="single"/>
                <w:lang w:val="ro-MD"/>
              </w:rPr>
              <w:t>;</w:t>
            </w:r>
          </w:p>
          <w:p w:rsidR="00817AEB" w:rsidRPr="000E15A5" w:rsidRDefault="00817AEB" w:rsidP="00B83FFA">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o-MD"/>
              </w:rPr>
            </w:pPr>
            <w:r w:rsidRPr="000E15A5">
              <w:rPr>
                <w:rFonts w:asciiTheme="majorHAnsi" w:hAnsiTheme="majorHAnsi" w:cs="Times New Roman"/>
                <w:sz w:val="18"/>
                <w:szCs w:val="18"/>
                <w:lang w:val="ro-MD"/>
              </w:rPr>
              <w:t xml:space="preserve">e-mail: </w:t>
            </w:r>
            <w:hyperlink r:id="rId9" w:history="1">
              <w:r w:rsidRPr="000E15A5">
                <w:rPr>
                  <w:rFonts w:asciiTheme="majorHAnsi" w:hAnsiTheme="majorHAnsi" w:cs="Times New Roman"/>
                  <w:b/>
                  <w:color w:val="0563C1" w:themeColor="hyperlink"/>
                  <w:sz w:val="18"/>
                  <w:szCs w:val="18"/>
                  <w:u w:val="single"/>
                  <w:lang w:val="ro-MD"/>
                </w:rPr>
                <w:t>ccrm@ccrm.md</w:t>
              </w:r>
            </w:hyperlink>
          </w:p>
        </w:tc>
      </w:tr>
    </w:tbl>
    <w:p w:rsidR="00817AEB" w:rsidRPr="000E15A5" w:rsidRDefault="00817AEB" w:rsidP="00817AEB">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817AEB" w:rsidRPr="000E15A5" w:rsidRDefault="00817AEB" w:rsidP="00817AEB">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rsidR="00817AEB" w:rsidRPr="000E15A5"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817AEB" w:rsidRPr="000E15A5" w:rsidRDefault="00817AEB" w:rsidP="00817AEB">
      <w:pPr>
        <w:tabs>
          <w:tab w:val="left" w:pos="720"/>
        </w:tabs>
        <w:spacing w:after="0" w:line="276" w:lineRule="auto"/>
        <w:jc w:val="center"/>
        <w:rPr>
          <w:rFonts w:asciiTheme="majorHAnsi" w:eastAsia="Times New Roman" w:hAnsiTheme="majorHAnsi" w:cs="Times New Roman"/>
          <w:b/>
          <w:bCs/>
          <w:sz w:val="32"/>
          <w:szCs w:val="32"/>
          <w:lang w:val="ro-MD"/>
        </w:rPr>
      </w:pPr>
      <w:r w:rsidRPr="000E15A5">
        <w:rPr>
          <w:rFonts w:asciiTheme="majorHAnsi" w:eastAsia="Times New Roman" w:hAnsiTheme="majorHAnsi" w:cs="Times New Roman"/>
          <w:b/>
          <w:bCs/>
          <w:sz w:val="32"/>
          <w:szCs w:val="32"/>
          <w:lang w:val="ro-MD"/>
        </w:rPr>
        <w:t xml:space="preserve">RAPORTUL </w:t>
      </w:r>
    </w:p>
    <w:p w:rsidR="00817AEB" w:rsidRPr="000E15A5" w:rsidRDefault="00817AEB" w:rsidP="00817AEB">
      <w:pPr>
        <w:tabs>
          <w:tab w:val="left" w:pos="0"/>
        </w:tabs>
        <w:spacing w:after="0" w:line="276" w:lineRule="auto"/>
        <w:jc w:val="center"/>
        <w:rPr>
          <w:rFonts w:asciiTheme="majorHAnsi" w:eastAsia="Times New Roman" w:hAnsiTheme="majorHAnsi" w:cs="Times New Roman"/>
          <w:bCs/>
          <w:sz w:val="32"/>
          <w:szCs w:val="32"/>
          <w:lang w:val="ro-MD"/>
        </w:rPr>
      </w:pPr>
      <w:r w:rsidRPr="000E15A5">
        <w:rPr>
          <w:rFonts w:asciiTheme="majorHAnsi" w:eastAsia="Times New Roman" w:hAnsiTheme="majorHAnsi" w:cs="Times New Roman"/>
          <w:bCs/>
          <w:sz w:val="32"/>
          <w:szCs w:val="32"/>
          <w:lang w:val="ro-MD"/>
        </w:rPr>
        <w:t xml:space="preserve">auditului </w:t>
      </w:r>
      <w:r w:rsidR="000E6355">
        <w:rPr>
          <w:rFonts w:asciiTheme="majorHAnsi" w:eastAsia="Times New Roman" w:hAnsiTheme="majorHAnsi" w:cs="Times New Roman"/>
          <w:bCs/>
          <w:sz w:val="32"/>
          <w:szCs w:val="32"/>
          <w:lang w:val="ro-MD"/>
        </w:rPr>
        <w:t xml:space="preserve">financiar al </w:t>
      </w:r>
      <w:r w:rsidR="005D3C74" w:rsidRPr="005D3C74">
        <w:rPr>
          <w:rFonts w:asciiTheme="majorHAnsi" w:eastAsia="Times New Roman" w:hAnsiTheme="majorHAnsi" w:cs="Times New Roman"/>
          <w:bCs/>
          <w:sz w:val="32"/>
          <w:szCs w:val="32"/>
          <w:lang w:val="ro-MD"/>
        </w:rPr>
        <w:t>Raportului Guvernului privind executarea bugetului de stat pe anul 2018</w:t>
      </w:r>
    </w:p>
    <w:p w:rsidR="00817AEB" w:rsidRPr="000E15A5"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817AEB" w:rsidRPr="000E15A5"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817AEB" w:rsidRPr="000E15A5"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817AEB" w:rsidRPr="000E15A5"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817AEB" w:rsidRDefault="00817AEB"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706A1E" w:rsidRDefault="00706A1E"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706A1E" w:rsidRDefault="00706A1E"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706A1E" w:rsidRDefault="00706A1E"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706A1E" w:rsidRDefault="00706A1E" w:rsidP="00817AEB">
      <w:pPr>
        <w:tabs>
          <w:tab w:val="left" w:pos="720"/>
        </w:tabs>
        <w:spacing w:after="0" w:line="276" w:lineRule="auto"/>
        <w:ind w:firstLine="720"/>
        <w:jc w:val="center"/>
        <w:rPr>
          <w:rFonts w:asciiTheme="majorHAnsi" w:eastAsia="Times New Roman" w:hAnsiTheme="majorHAnsi" w:cs="Times New Roman"/>
          <w:b/>
          <w:bCs/>
          <w:sz w:val="32"/>
          <w:szCs w:val="32"/>
          <w:lang w:val="ro-MD"/>
        </w:rPr>
      </w:pPr>
    </w:p>
    <w:p w:rsidR="00706A1E" w:rsidRDefault="00706A1E" w:rsidP="007B262D">
      <w:pPr>
        <w:tabs>
          <w:tab w:val="left" w:pos="720"/>
        </w:tabs>
        <w:spacing w:after="0" w:line="276" w:lineRule="auto"/>
        <w:rPr>
          <w:rFonts w:asciiTheme="majorHAnsi" w:eastAsia="Times New Roman" w:hAnsiTheme="majorHAnsi" w:cs="Times New Roman"/>
          <w:b/>
          <w:bCs/>
          <w:sz w:val="32"/>
          <w:szCs w:val="32"/>
          <w:lang w:val="ro-MD"/>
        </w:rPr>
      </w:pPr>
    </w:p>
    <w:sdt>
      <w:sdtPr>
        <w:rPr>
          <w:rFonts w:asciiTheme="minorHAnsi" w:eastAsiaTheme="minorHAnsi" w:hAnsiTheme="minorHAnsi" w:cstheme="majorHAnsi"/>
          <w:color w:val="auto"/>
          <w:sz w:val="24"/>
          <w:szCs w:val="24"/>
          <w:lang w:val="ro-RO"/>
        </w:rPr>
        <w:id w:val="620043475"/>
        <w:docPartObj>
          <w:docPartGallery w:val="Table of Contents"/>
          <w:docPartUnique/>
        </w:docPartObj>
      </w:sdtPr>
      <w:sdtEndPr>
        <w:rPr>
          <w:rFonts w:cstheme="minorBidi"/>
          <w:b/>
          <w:bCs/>
          <w:noProof/>
          <w:sz w:val="22"/>
          <w:szCs w:val="22"/>
        </w:rPr>
      </w:sdtEndPr>
      <w:sdtContent>
        <w:p w:rsidR="00705AA2" w:rsidRPr="00D37E76" w:rsidRDefault="00705AA2" w:rsidP="00705AA2">
          <w:pPr>
            <w:pStyle w:val="TOCHeading"/>
            <w:jc w:val="center"/>
            <w:rPr>
              <w:rFonts w:cstheme="majorHAnsi"/>
              <w:b/>
              <w:color w:val="000000" w:themeColor="text1"/>
              <w:lang w:val="ro-MD"/>
            </w:rPr>
          </w:pPr>
          <w:r w:rsidRPr="00D37E76">
            <w:rPr>
              <w:rFonts w:cstheme="majorHAnsi"/>
              <w:b/>
              <w:color w:val="000000" w:themeColor="text1"/>
              <w:lang w:val="ro-MD"/>
            </w:rPr>
            <w:t>Cuprins</w:t>
          </w:r>
        </w:p>
        <w:p w:rsidR="00D37E76" w:rsidRPr="00D37E76" w:rsidRDefault="00705AA2">
          <w:pPr>
            <w:pStyle w:val="TOC1"/>
            <w:tabs>
              <w:tab w:val="left" w:pos="440"/>
              <w:tab w:val="right" w:leader="dot" w:pos="9678"/>
            </w:tabs>
            <w:rPr>
              <w:rFonts w:asciiTheme="majorHAnsi" w:eastAsiaTheme="minorEastAsia" w:hAnsiTheme="majorHAnsi" w:cstheme="majorHAnsi"/>
              <w:noProof/>
              <w:lang w:val="en-US"/>
            </w:rPr>
          </w:pPr>
          <w:r w:rsidRPr="00D37E76">
            <w:rPr>
              <w:rFonts w:asciiTheme="majorHAnsi" w:hAnsiTheme="majorHAnsi" w:cstheme="majorHAnsi"/>
              <w:sz w:val="24"/>
              <w:szCs w:val="24"/>
            </w:rPr>
            <w:fldChar w:fldCharType="begin"/>
          </w:r>
          <w:r w:rsidRPr="00D37E76">
            <w:rPr>
              <w:rFonts w:asciiTheme="majorHAnsi" w:hAnsiTheme="majorHAnsi" w:cstheme="majorHAnsi"/>
              <w:sz w:val="24"/>
              <w:szCs w:val="24"/>
            </w:rPr>
            <w:instrText xml:space="preserve"> TOC \o "1-3" \h \z \u </w:instrText>
          </w:r>
          <w:r w:rsidRPr="00D37E76">
            <w:rPr>
              <w:rFonts w:asciiTheme="majorHAnsi" w:hAnsiTheme="majorHAnsi" w:cstheme="majorHAnsi"/>
              <w:sz w:val="24"/>
              <w:szCs w:val="24"/>
            </w:rPr>
            <w:fldChar w:fldCharType="separate"/>
          </w:r>
          <w:hyperlink w:anchor="_Toc10126076" w:history="1">
            <w:r w:rsidR="00D37E76" w:rsidRPr="00D37E76">
              <w:rPr>
                <w:rStyle w:val="Hyperlink"/>
                <w:rFonts w:asciiTheme="majorHAnsi" w:eastAsia="Times New Roman" w:hAnsiTheme="majorHAnsi" w:cstheme="majorHAnsi"/>
                <w:b/>
                <w:bCs/>
                <w:noProof/>
                <w:lang w:val="ro-MD"/>
              </w:rPr>
              <w:t>I.</w:t>
            </w:r>
            <w:r w:rsidR="00D37E76" w:rsidRPr="00D37E76">
              <w:rPr>
                <w:rFonts w:asciiTheme="majorHAnsi" w:eastAsiaTheme="minorEastAsia" w:hAnsiTheme="majorHAnsi" w:cstheme="majorHAnsi"/>
                <w:noProof/>
                <w:lang w:val="en-US"/>
              </w:rPr>
              <w:tab/>
            </w:r>
            <w:r w:rsidR="00D37E76" w:rsidRPr="00D37E76">
              <w:rPr>
                <w:rStyle w:val="Hyperlink"/>
                <w:rFonts w:asciiTheme="majorHAnsi" w:eastAsia="Times New Roman" w:hAnsiTheme="majorHAnsi" w:cstheme="majorHAnsi"/>
                <w:b/>
                <w:bCs/>
                <w:noProof/>
                <w:lang w:val="ro-MD"/>
              </w:rPr>
              <w:t>OPINIE FĂRĂ REZERVE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_Toc10126076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sidR="00957B79">
              <w:rPr>
                <w:rFonts w:asciiTheme="majorHAnsi" w:hAnsiTheme="majorHAnsi" w:cstheme="majorHAnsi"/>
                <w:noProof/>
                <w:webHidden/>
              </w:rPr>
              <w:t>4</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440"/>
              <w:tab w:val="right" w:leader="dot" w:pos="9678"/>
            </w:tabs>
            <w:rPr>
              <w:rFonts w:asciiTheme="majorHAnsi" w:eastAsiaTheme="minorEastAsia" w:hAnsiTheme="majorHAnsi" w:cstheme="majorHAnsi"/>
              <w:noProof/>
              <w:lang w:val="en-US"/>
            </w:rPr>
          </w:pPr>
          <w:hyperlink w:anchor="_Toc10126077" w:history="1">
            <w:r w:rsidR="00D37E76" w:rsidRPr="00D37E76">
              <w:rPr>
                <w:rStyle w:val="Hyperlink"/>
                <w:rFonts w:asciiTheme="majorHAnsi" w:eastAsia="Times New Roman" w:hAnsiTheme="majorHAnsi" w:cstheme="majorHAnsi"/>
                <w:b/>
                <w:bCs/>
                <w:noProof/>
                <w:lang w:val="ro-MD"/>
              </w:rPr>
              <w:t>II.</w:t>
            </w:r>
            <w:r w:rsidR="00D37E76" w:rsidRPr="00D37E76">
              <w:rPr>
                <w:rFonts w:asciiTheme="majorHAnsi" w:eastAsiaTheme="minorEastAsia" w:hAnsiTheme="majorHAnsi" w:cstheme="majorHAnsi"/>
                <w:noProof/>
                <w:lang w:val="en-US"/>
              </w:rPr>
              <w:tab/>
            </w:r>
            <w:r w:rsidR="00D37E76" w:rsidRPr="00D37E76">
              <w:rPr>
                <w:rStyle w:val="Hyperlink"/>
                <w:rFonts w:asciiTheme="majorHAnsi" w:eastAsia="Times New Roman" w:hAnsiTheme="majorHAnsi" w:cstheme="majorHAnsi"/>
                <w:b/>
                <w:bCs/>
                <w:noProof/>
                <w:lang w:val="ro-MD"/>
              </w:rPr>
              <w:t>BAZA PENTRU OPINIA FĂRĂ REZERVE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_Toc10126077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440"/>
              <w:tab w:val="right" w:leader="dot" w:pos="9678"/>
            </w:tabs>
            <w:rPr>
              <w:rFonts w:asciiTheme="majorHAnsi" w:eastAsiaTheme="minorEastAsia" w:hAnsiTheme="majorHAnsi" w:cstheme="majorHAnsi"/>
              <w:noProof/>
              <w:lang w:val="en-US"/>
            </w:rPr>
          </w:pPr>
          <w:hyperlink w:anchor="_Toc10126078" w:history="1">
            <w:r w:rsidR="00D37E76" w:rsidRPr="00D37E76">
              <w:rPr>
                <w:rStyle w:val="Hyperlink"/>
                <w:rFonts w:asciiTheme="majorHAnsi" w:hAnsiTheme="majorHAnsi" w:cstheme="majorHAnsi"/>
                <w:b/>
                <w:noProof/>
              </w:rPr>
              <w:t>III.</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rPr>
              <w:t>ASPECTELE-CHEIE DE AUDIT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_Toc10126078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w:t>
            </w:r>
            <w:r w:rsidR="00D37E76" w:rsidRPr="00D37E76">
              <w:rPr>
                <w:rFonts w:asciiTheme="majorHAnsi" w:hAnsiTheme="majorHAnsi" w:cstheme="majorHAnsi"/>
                <w:noProof/>
                <w:webHidden/>
              </w:rPr>
              <w:fldChar w:fldCharType="end"/>
            </w:r>
          </w:hyperlink>
        </w:p>
        <w:p w:rsidR="00D37E76" w:rsidRPr="00D37E76" w:rsidRDefault="00957B79">
          <w:pPr>
            <w:pStyle w:val="TOC2"/>
            <w:tabs>
              <w:tab w:val="right" w:leader="dot" w:pos="9678"/>
            </w:tabs>
            <w:rPr>
              <w:rFonts w:asciiTheme="majorHAnsi" w:eastAsiaTheme="minorEastAsia" w:hAnsiTheme="majorHAnsi" w:cstheme="majorHAnsi"/>
              <w:noProof/>
              <w:lang w:val="en-US"/>
            </w:rPr>
          </w:pPr>
          <w:hyperlink w:anchor="_Toc10126079" w:history="1">
            <w:r w:rsidR="00D37E76" w:rsidRPr="00D37E76">
              <w:rPr>
                <w:rStyle w:val="Hyperlink"/>
                <w:rFonts w:asciiTheme="majorHAnsi" w:eastAsia="Times New Roman" w:hAnsiTheme="majorHAnsi" w:cstheme="majorHAnsi"/>
                <w:b/>
                <w:noProof/>
                <w:lang w:eastAsia="ru-RU"/>
              </w:rPr>
              <w:t>3.1 PREZENTAREA DOMENIULUI AUDITAT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_Toc10126079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w:t>
            </w:r>
            <w:r w:rsidR="00D37E76" w:rsidRPr="00D37E76">
              <w:rPr>
                <w:rFonts w:asciiTheme="majorHAnsi" w:hAnsiTheme="majorHAnsi" w:cstheme="majorHAnsi"/>
                <w:noProof/>
                <w:webHidden/>
              </w:rPr>
              <w:fldChar w:fldCharType="end"/>
            </w:r>
          </w:hyperlink>
        </w:p>
        <w:p w:rsidR="00D37E76" w:rsidRPr="00D37E76" w:rsidRDefault="00957B79">
          <w:pPr>
            <w:pStyle w:val="TOC2"/>
            <w:tabs>
              <w:tab w:val="left" w:pos="880"/>
              <w:tab w:val="right" w:leader="dot" w:pos="9678"/>
            </w:tabs>
            <w:rPr>
              <w:rFonts w:asciiTheme="majorHAnsi" w:eastAsiaTheme="minorEastAsia" w:hAnsiTheme="majorHAnsi" w:cstheme="majorHAnsi"/>
              <w:noProof/>
              <w:lang w:val="en-US"/>
            </w:rPr>
          </w:pPr>
          <w:hyperlink w:anchor="_Toc10126080" w:history="1">
            <w:r w:rsidR="00D37E76" w:rsidRPr="00D37E76">
              <w:rPr>
                <w:rStyle w:val="Hyperlink"/>
                <w:rFonts w:asciiTheme="majorHAnsi" w:hAnsiTheme="majorHAnsi" w:cstheme="majorHAnsi"/>
                <w:b/>
                <w:noProof/>
              </w:rPr>
              <w:t>3.2</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rPr>
              <w:t>ASPECTE FINANCIARE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_Toc10126080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7</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1" w:history="1">
            <w:r w:rsidR="00D37E76" w:rsidRPr="00D37E76">
              <w:rPr>
                <w:rStyle w:val="Hyperlink"/>
                <w:rFonts w:asciiTheme="majorHAnsi" w:hAnsiTheme="majorHAnsi" w:cstheme="majorHAnsi"/>
                <w:b/>
                <w:noProof/>
              </w:rPr>
              <w:t>3.2.1 Indicatorii generali ai bugetului de stat pe anul 2018 au fost executați sub nivelul precizat.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_Toc10126081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7</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2" w:history="1">
            <w:r w:rsidR="00D37E76" w:rsidRPr="00D37E76">
              <w:rPr>
                <w:rStyle w:val="Hyperlink"/>
                <w:rFonts w:asciiTheme="majorHAnsi" w:hAnsiTheme="majorHAnsi" w:cstheme="majorHAnsi"/>
                <w:b/>
                <w:noProof/>
                <w:lang w:val="ro-MD"/>
              </w:rPr>
              <w:t>3.2.2 Veniturile bugetului de stat în anul 2018 nu au atins nivelul precizat, dar au înregistrat o ușoară tendință de creștere față de anul precedent.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_Toc10126082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8</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3" w:history="1">
            <w:r w:rsidR="00D37E76" w:rsidRPr="00D37E76">
              <w:rPr>
                <w:rStyle w:val="Hyperlink"/>
                <w:rFonts w:asciiTheme="majorHAnsi" w:hAnsiTheme="majorHAnsi" w:cstheme="majorHAnsi"/>
                <w:b/>
                <w:noProof/>
              </w:rPr>
              <w:t>3.2.</w:t>
            </w:r>
            <w:r w:rsidR="00D37E76" w:rsidRPr="00D37E76">
              <w:rPr>
                <w:rStyle w:val="Hyperlink"/>
                <w:rFonts w:asciiTheme="majorHAnsi" w:hAnsiTheme="majorHAnsi" w:cstheme="majorHAnsi"/>
                <w:b/>
                <w:noProof/>
                <w:lang w:val="ro-MD"/>
              </w:rPr>
              <w:t>3 Debursările în bugetul de stat a mijloacelor financiare provenite din granturi externe în anul 2018 s-au diminuat semnificativ față de anul precedent și nu au atins nivelul precizat.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_Toc10126083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13</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4" w:history="1">
            <w:r w:rsidR="00D37E76" w:rsidRPr="00D37E76">
              <w:rPr>
                <w:rStyle w:val="Hyperlink"/>
                <w:rFonts w:asciiTheme="majorHAnsi" w:eastAsia="Times New Roman" w:hAnsiTheme="majorHAnsi" w:cstheme="majorHAnsi"/>
                <w:b/>
                <w:noProof/>
                <w:lang w:val="ro-MD"/>
              </w:rPr>
              <w:t>3.2.4 Corectitudinea raportării sumelor provenite din privatizarea proprietății publice de stat este afectată.</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_Toc10126084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15</w:t>
            </w:r>
            <w:r w:rsidR="00D37E76" w:rsidRPr="00D37E76">
              <w:rPr>
                <w:rFonts w:asciiTheme="majorHAnsi" w:hAnsiTheme="majorHAnsi" w:cstheme="majorHAnsi"/>
                <w:noProof/>
                <w:webHidden/>
              </w:rPr>
              <w:fldChar w:fldCharType="end"/>
            </w:r>
          </w:hyperlink>
        </w:p>
        <w:p w:rsidR="00D37E76" w:rsidRPr="00D37E76" w:rsidRDefault="00957B79">
          <w:pPr>
            <w:pStyle w:val="TOC3"/>
            <w:tabs>
              <w:tab w:val="left" w:pos="1320"/>
              <w:tab w:val="right" w:leader="dot" w:pos="9678"/>
            </w:tabs>
            <w:rPr>
              <w:rFonts w:asciiTheme="majorHAnsi" w:eastAsiaTheme="minorEastAsia" w:hAnsiTheme="majorHAnsi" w:cstheme="majorHAnsi"/>
              <w:noProof/>
              <w:lang w:val="en-US"/>
            </w:rPr>
          </w:pPr>
          <w:hyperlink w:anchor="_Toc10126085" w:history="1">
            <w:r w:rsidR="00D37E76" w:rsidRPr="00D37E76">
              <w:rPr>
                <w:rStyle w:val="Hyperlink"/>
                <w:rFonts w:asciiTheme="majorHAnsi" w:eastAsia="Times New Roman" w:hAnsiTheme="majorHAnsi" w:cstheme="majorHAnsi"/>
                <w:b/>
                <w:iCs/>
                <w:noProof/>
                <w:lang w:val="ro-MD"/>
              </w:rPr>
              <w:t>3.2.5</w:t>
            </w:r>
            <w:r w:rsidR="00D37E76" w:rsidRPr="00D37E76">
              <w:rPr>
                <w:rFonts w:asciiTheme="majorHAnsi" w:eastAsiaTheme="minorEastAsia" w:hAnsiTheme="majorHAnsi" w:cstheme="majorHAnsi"/>
                <w:noProof/>
                <w:lang w:val="en-US"/>
              </w:rPr>
              <w:tab/>
            </w:r>
            <w:r w:rsidR="00D37E76" w:rsidRPr="00D37E76">
              <w:rPr>
                <w:rStyle w:val="Hyperlink"/>
                <w:rFonts w:asciiTheme="majorHAnsi" w:eastAsia="Times New Roman" w:hAnsiTheme="majorHAnsi" w:cstheme="majorHAnsi"/>
                <w:b/>
                <w:iCs/>
                <w:noProof/>
                <w:lang w:val="ro-MD"/>
              </w:rPr>
              <w:t>Cheltuielile bugetare efectuate în scopul majorării capitalului social al unor entități au fost raportate cu unele rezerve.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_Toc10126085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16</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6" w:history="1">
            <w:r w:rsidR="00D37E76" w:rsidRPr="00D37E76">
              <w:rPr>
                <w:rStyle w:val="Hyperlink"/>
                <w:rFonts w:asciiTheme="majorHAnsi" w:hAnsiTheme="majorHAnsi" w:cstheme="majorHAnsi"/>
                <w:b/>
                <w:noProof/>
                <w:lang w:val="ro-MD"/>
              </w:rPr>
              <w:t>3.2</w:t>
            </w:r>
            <w:r w:rsidR="00D37E76" w:rsidRPr="00D37E76">
              <w:rPr>
                <w:rStyle w:val="Hyperlink"/>
                <w:rFonts w:asciiTheme="majorHAnsi" w:hAnsiTheme="majorHAnsi" w:cstheme="majorHAnsi"/>
                <w:b/>
                <w:noProof/>
              </w:rPr>
              <w:t>.6 Executarea cheltuielilor destinate investițiilor capitale se menține la un nivel redus de valorificare.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_Toc10126086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17</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7" w:history="1">
            <w:r w:rsidR="00D37E76" w:rsidRPr="00D37E76">
              <w:rPr>
                <w:rStyle w:val="Hyperlink"/>
                <w:rFonts w:asciiTheme="majorHAnsi" w:eastAsia="Times New Roman" w:hAnsiTheme="majorHAnsi" w:cstheme="majorHAnsi"/>
                <w:b/>
                <w:iCs/>
                <w:noProof/>
                <w:lang w:val="ro-MD"/>
              </w:rPr>
              <w:t>3.2.7 Soldurile de mijloace bănești la finele anului 2018 au fost raportate regulamentar.</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_Toc10126087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20</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8" w:history="1">
            <w:r w:rsidR="00D37E76" w:rsidRPr="00D37E76">
              <w:rPr>
                <w:rStyle w:val="Hyperlink"/>
                <w:rFonts w:asciiTheme="majorHAnsi" w:hAnsiTheme="majorHAnsi" w:cstheme="majorHAnsi"/>
                <w:b/>
                <w:noProof/>
                <w:lang w:val="ro-MD"/>
              </w:rPr>
              <w:t>3.2.8 Rezultatul execuției bugetului de stat înregistrează un deficit de 2 275,6 mil. MDL.</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_Toc10126088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20</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89" w:history="1">
            <w:r w:rsidR="00D37E76" w:rsidRPr="00D37E76">
              <w:rPr>
                <w:rStyle w:val="Hyperlink"/>
                <w:rFonts w:asciiTheme="majorHAnsi" w:hAnsiTheme="majorHAnsi" w:cstheme="majorHAnsi"/>
                <w:b/>
                <w:noProof/>
              </w:rPr>
              <w:t>3.2.9 Efectuarea transferurilor interbugetare relevă o tendință de creștere, fiind semnificative în totalul cheltuielilor bugetului de stat.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_Toc10126089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23</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0" w:history="1">
            <w:r w:rsidR="00D37E76" w:rsidRPr="00D37E76">
              <w:rPr>
                <w:rStyle w:val="Hyperlink"/>
                <w:rFonts w:asciiTheme="majorHAnsi" w:hAnsiTheme="majorHAnsi" w:cstheme="majorHAnsi"/>
                <w:b/>
                <w:noProof/>
              </w:rPr>
              <w:t>3.2.10 Soldul creanțelor înregistrează o descreștere, iar al datoriilor este în creștere.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_Toc10126090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27</w:t>
            </w:r>
            <w:r w:rsidR="00D37E76" w:rsidRPr="00D37E76">
              <w:rPr>
                <w:rFonts w:asciiTheme="majorHAnsi" w:hAnsiTheme="majorHAnsi" w:cstheme="majorHAnsi"/>
                <w:noProof/>
                <w:webHidden/>
              </w:rPr>
              <w:fldChar w:fldCharType="end"/>
            </w:r>
          </w:hyperlink>
        </w:p>
        <w:p w:rsidR="00D37E76" w:rsidRPr="00D37E76" w:rsidRDefault="00957B79">
          <w:pPr>
            <w:pStyle w:val="TOC2"/>
            <w:tabs>
              <w:tab w:val="right" w:leader="dot" w:pos="9678"/>
            </w:tabs>
            <w:rPr>
              <w:rFonts w:asciiTheme="majorHAnsi" w:eastAsiaTheme="minorEastAsia" w:hAnsiTheme="majorHAnsi" w:cstheme="majorHAnsi"/>
              <w:noProof/>
              <w:lang w:val="en-US"/>
            </w:rPr>
          </w:pPr>
          <w:hyperlink w:anchor="_Toc10126091" w:history="1">
            <w:r w:rsidR="00D37E76" w:rsidRPr="00D37E76">
              <w:rPr>
                <w:rStyle w:val="Hyperlink"/>
                <w:rFonts w:asciiTheme="majorHAnsi" w:hAnsiTheme="majorHAnsi" w:cstheme="majorHAnsi"/>
                <w:b/>
                <w:noProof/>
              </w:rPr>
              <w:t xml:space="preserve">3.3 </w:t>
            </w:r>
            <w:r w:rsidR="00D37E76" w:rsidRPr="00D37E76">
              <w:rPr>
                <w:rStyle w:val="Hyperlink"/>
                <w:rFonts w:asciiTheme="majorHAnsi" w:hAnsiTheme="majorHAnsi" w:cstheme="majorHAnsi"/>
                <w:b/>
                <w:noProof/>
                <w:lang w:val="ro-MD"/>
              </w:rPr>
              <w:t>ASPECTE DE CONFORMITATE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_Toc10126091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28</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2" w:history="1">
            <w:r w:rsidR="00D37E76" w:rsidRPr="00D37E76">
              <w:rPr>
                <w:rStyle w:val="Hyperlink"/>
                <w:rFonts w:asciiTheme="majorHAnsi" w:hAnsiTheme="majorHAnsi" w:cstheme="majorHAnsi"/>
                <w:b/>
                <w:noProof/>
                <w:lang w:val="ro-MD"/>
              </w:rPr>
              <w:t>3.3</w:t>
            </w:r>
            <w:r w:rsidR="00D37E76" w:rsidRPr="00D37E76">
              <w:rPr>
                <w:rStyle w:val="Hyperlink"/>
                <w:rFonts w:asciiTheme="majorHAnsi" w:hAnsiTheme="majorHAnsi" w:cstheme="majorHAnsi"/>
                <w:b/>
                <w:noProof/>
              </w:rPr>
              <w:t>.1 Nerespectarea calendarului bugetar pentru elaborarea și aprobarea bugetului de stat pentru anul 2018.</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_Toc10126092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28</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3" w:history="1">
            <w:r w:rsidR="00D37E76" w:rsidRPr="00D37E76">
              <w:rPr>
                <w:rStyle w:val="Hyperlink"/>
                <w:rFonts w:asciiTheme="majorHAnsi" w:hAnsiTheme="majorHAnsi" w:cstheme="majorHAnsi"/>
                <w:b/>
                <w:noProof/>
              </w:rPr>
              <w:t>3.3.2 Nivelul scăzut al acurateței programării bugetare.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_Toc10126093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30</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4" w:history="1">
            <w:r w:rsidR="00D37E76" w:rsidRPr="00D37E76">
              <w:rPr>
                <w:rStyle w:val="Hyperlink"/>
                <w:rFonts w:asciiTheme="majorHAnsi" w:hAnsiTheme="majorHAnsi" w:cstheme="majorHAnsi"/>
                <w:b/>
                <w:noProof/>
                <w:lang w:val="ro-MD"/>
              </w:rPr>
              <w:t>3.3.3 Nivelul de colectare în aspectul tipurilor de venituri variază și denotă rezerve la programarea bugetară și colectarea restanțelor.</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_Toc10126094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31</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5" w:history="1">
            <w:r w:rsidR="00D37E76" w:rsidRPr="00D37E76">
              <w:rPr>
                <w:rStyle w:val="Hyperlink"/>
                <w:rFonts w:asciiTheme="majorHAnsi" w:hAnsiTheme="majorHAnsi" w:cstheme="majorHAnsi"/>
                <w:b/>
                <w:noProof/>
              </w:rPr>
              <w:t>3.3.4 Cheltuielile de casă ale bugetului de stat în anul 2018 au fost executate sub nivelul precizat, 7,9% din acestea nefiind valorificate.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_Toc10126095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34</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6" w:history="1">
            <w:r w:rsidR="00D37E76" w:rsidRPr="00D37E76">
              <w:rPr>
                <w:rStyle w:val="Hyperlink"/>
                <w:rFonts w:asciiTheme="majorHAnsi" w:hAnsiTheme="majorHAnsi" w:cstheme="majorHAnsi"/>
                <w:b/>
                <w:noProof/>
              </w:rPr>
              <w:t>3.3.5 Alocațiile aprobate pentru Programul ,,Prima casă” nu au fost valorificate pe deplin.</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_Toc10126096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37</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7" w:history="1">
            <w:r w:rsidR="00D37E76" w:rsidRPr="00D37E76">
              <w:rPr>
                <w:rStyle w:val="Hyperlink"/>
                <w:rFonts w:asciiTheme="majorHAnsi" w:hAnsiTheme="majorHAnsi" w:cstheme="majorHAnsi"/>
                <w:b/>
                <w:noProof/>
              </w:rPr>
              <w:t>3.3.6 Mijloacele fondurilor de urgență ale Guvernului au fost executate cu unele rezerve.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_Toc10126097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38</w:t>
            </w:r>
            <w:r w:rsidR="00D37E76" w:rsidRPr="00D37E76">
              <w:rPr>
                <w:rFonts w:asciiTheme="majorHAnsi" w:hAnsiTheme="majorHAnsi" w:cstheme="majorHAnsi"/>
                <w:noProof/>
                <w:webHidden/>
              </w:rPr>
              <w:fldChar w:fldCharType="end"/>
            </w:r>
          </w:hyperlink>
        </w:p>
        <w:p w:rsidR="00D37E76" w:rsidRPr="00D37E76" w:rsidRDefault="00957B79">
          <w:pPr>
            <w:pStyle w:val="TOC3"/>
            <w:tabs>
              <w:tab w:val="right" w:leader="dot" w:pos="9678"/>
            </w:tabs>
            <w:rPr>
              <w:rFonts w:asciiTheme="majorHAnsi" w:eastAsiaTheme="minorEastAsia" w:hAnsiTheme="majorHAnsi" w:cstheme="majorHAnsi"/>
              <w:noProof/>
              <w:lang w:val="en-US"/>
            </w:rPr>
          </w:pPr>
          <w:hyperlink w:anchor="_Toc10126098" w:history="1">
            <w:r w:rsidR="00D37E76" w:rsidRPr="00D37E76">
              <w:rPr>
                <w:rStyle w:val="Hyperlink"/>
                <w:rFonts w:asciiTheme="majorHAnsi" w:eastAsia="Times New Roman" w:hAnsiTheme="majorHAnsi" w:cstheme="majorHAnsi"/>
                <w:b/>
                <w:noProof/>
              </w:rPr>
              <w:t>3.3</w:t>
            </w:r>
            <w:r w:rsidR="00D37E76" w:rsidRPr="00D37E76">
              <w:rPr>
                <w:rStyle w:val="Hyperlink"/>
                <w:rFonts w:asciiTheme="majorHAnsi" w:eastAsia="Times New Roman" w:hAnsiTheme="majorHAnsi" w:cstheme="majorHAnsi"/>
                <w:b/>
                <w:noProof/>
                <w:lang w:val="en-US"/>
              </w:rPr>
              <w:t xml:space="preserve">.7  </w:t>
            </w:r>
            <w:r w:rsidR="00D37E76" w:rsidRPr="00D37E76">
              <w:rPr>
                <w:rStyle w:val="Hyperlink"/>
                <w:rFonts w:asciiTheme="majorHAnsi" w:eastAsia="Times New Roman" w:hAnsiTheme="majorHAnsi" w:cstheme="majorHAnsi"/>
                <w:b/>
                <w:noProof/>
                <w:lang w:val="ro-MD"/>
              </w:rPr>
              <w:t>Se atestă o creștere semnificativă a cheltuielilor aferente documentelor executorii.</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_Toc10126098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40</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660"/>
              <w:tab w:val="right" w:leader="dot" w:pos="9678"/>
            </w:tabs>
            <w:rPr>
              <w:rFonts w:asciiTheme="majorHAnsi" w:eastAsiaTheme="minorEastAsia" w:hAnsiTheme="majorHAnsi" w:cstheme="majorHAnsi"/>
              <w:noProof/>
              <w:lang w:val="en-US"/>
            </w:rPr>
          </w:pPr>
          <w:hyperlink w:anchor="_Toc10126099" w:history="1">
            <w:r w:rsidR="00D37E76" w:rsidRPr="00D37E76">
              <w:rPr>
                <w:rStyle w:val="Hyperlink"/>
                <w:rFonts w:asciiTheme="majorHAnsi" w:hAnsiTheme="majorHAnsi" w:cstheme="majorHAnsi"/>
                <w:b/>
                <w:noProof/>
              </w:rPr>
              <w:t>IV.</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rPr>
              <w:t>ALTE INFORMAȚII</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_Toc10126099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42</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440"/>
              <w:tab w:val="right" w:leader="dot" w:pos="9678"/>
            </w:tabs>
            <w:rPr>
              <w:rFonts w:asciiTheme="majorHAnsi" w:eastAsiaTheme="minorEastAsia" w:hAnsiTheme="majorHAnsi" w:cstheme="majorHAnsi"/>
              <w:noProof/>
              <w:lang w:val="en-US"/>
            </w:rPr>
          </w:pPr>
          <w:hyperlink w:anchor="_Toc10126100" w:history="1">
            <w:r w:rsidR="00D37E76" w:rsidRPr="00D37E76">
              <w:rPr>
                <w:rStyle w:val="Hyperlink"/>
                <w:rFonts w:asciiTheme="majorHAnsi" w:hAnsiTheme="majorHAnsi" w:cstheme="majorHAnsi"/>
                <w:b/>
                <w:noProof/>
                <w:lang w:val="ro-MD"/>
              </w:rPr>
              <w:t>V.</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lang w:val="ro-MD"/>
              </w:rPr>
              <w:t xml:space="preserve">RESPONSABILITĂȚILE CONDUCERII PENTRU </w:t>
            </w:r>
            <w:r w:rsidR="00D37E76" w:rsidRPr="00D37E76">
              <w:rPr>
                <w:rStyle w:val="Hyperlink"/>
                <w:rFonts w:asciiTheme="majorHAnsi" w:hAnsiTheme="majorHAnsi" w:cstheme="majorHAnsi"/>
                <w:b/>
                <w:noProof/>
              </w:rPr>
              <w:t>RAPORTUL GUVERNULUI PRIVIND EXECUTAREA BUGETULUI DE STAT</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_Toc10126100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42</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660"/>
              <w:tab w:val="right" w:leader="dot" w:pos="9678"/>
            </w:tabs>
            <w:rPr>
              <w:rFonts w:asciiTheme="majorHAnsi" w:eastAsiaTheme="minorEastAsia" w:hAnsiTheme="majorHAnsi" w:cstheme="majorHAnsi"/>
              <w:noProof/>
              <w:lang w:val="en-US"/>
            </w:rPr>
          </w:pPr>
          <w:hyperlink w:anchor="_Toc10126101" w:history="1">
            <w:r w:rsidR="00D37E76" w:rsidRPr="00D37E76">
              <w:rPr>
                <w:rStyle w:val="Hyperlink"/>
                <w:rFonts w:asciiTheme="majorHAnsi" w:hAnsiTheme="majorHAnsi" w:cstheme="majorHAnsi"/>
                <w:b/>
                <w:noProof/>
              </w:rPr>
              <w:t>VI.</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rPr>
              <w:t>RESPONSABILITĂȚILE AUDITORULUI</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_Toc10126101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43</w:t>
            </w:r>
            <w:r w:rsidR="00D37E76" w:rsidRPr="00D37E76">
              <w:rPr>
                <w:rFonts w:asciiTheme="majorHAnsi" w:hAnsiTheme="majorHAnsi" w:cstheme="majorHAnsi"/>
                <w:noProof/>
                <w:webHidden/>
              </w:rPr>
              <w:fldChar w:fldCharType="end"/>
            </w:r>
          </w:hyperlink>
        </w:p>
        <w:p w:rsidR="00D37E76" w:rsidRPr="00D37E76" w:rsidRDefault="00957B79">
          <w:pPr>
            <w:pStyle w:val="TOC1"/>
            <w:tabs>
              <w:tab w:val="left" w:pos="660"/>
              <w:tab w:val="right" w:leader="dot" w:pos="9678"/>
            </w:tabs>
            <w:rPr>
              <w:rFonts w:asciiTheme="majorHAnsi" w:eastAsiaTheme="minorEastAsia" w:hAnsiTheme="majorHAnsi" w:cstheme="majorHAnsi"/>
              <w:noProof/>
              <w:lang w:val="en-US"/>
            </w:rPr>
          </w:pPr>
          <w:hyperlink w:anchor="_Toc10126102" w:history="1">
            <w:r w:rsidR="00D37E76" w:rsidRPr="00D37E76">
              <w:rPr>
                <w:rStyle w:val="Hyperlink"/>
                <w:rFonts w:asciiTheme="majorHAnsi" w:hAnsiTheme="majorHAnsi" w:cstheme="majorHAnsi"/>
                <w:b/>
                <w:noProof/>
              </w:rPr>
              <w:t>VII.</w:t>
            </w:r>
            <w:r w:rsidR="00D37E76" w:rsidRPr="00D37E76">
              <w:rPr>
                <w:rFonts w:asciiTheme="majorHAnsi" w:eastAsiaTheme="minorEastAsia" w:hAnsiTheme="majorHAnsi" w:cstheme="majorHAnsi"/>
                <w:noProof/>
                <w:lang w:val="en-US"/>
              </w:rPr>
              <w:tab/>
            </w:r>
            <w:r w:rsidR="00D37E76" w:rsidRPr="00D37E76">
              <w:rPr>
                <w:rStyle w:val="Hyperlink"/>
                <w:rFonts w:asciiTheme="majorHAnsi" w:hAnsiTheme="majorHAnsi" w:cstheme="majorHAnsi"/>
                <w:b/>
                <w:noProof/>
              </w:rPr>
              <w:t>ANEXE</w:t>
            </w:r>
            <w:r w:rsidR="00D37E76" w:rsidRPr="00D37E76">
              <w:rPr>
                <w:rFonts w:asciiTheme="majorHAnsi" w:hAnsiTheme="majorHAnsi" w:cstheme="majorHAnsi"/>
                <w:noProof/>
                <w:webHidden/>
              </w:rPr>
              <w:tab/>
            </w:r>
            <w:r w:rsidR="00D37E76" w:rsidRPr="00D37E76">
              <w:rPr>
                <w:rFonts w:asciiTheme="majorHAnsi" w:hAnsiTheme="majorHAnsi" w:cstheme="majorHAnsi"/>
                <w:noProof/>
                <w:webHidden/>
              </w:rPr>
              <w:fldChar w:fldCharType="begin"/>
            </w:r>
            <w:r w:rsidR="00D37E76" w:rsidRPr="00D37E76">
              <w:rPr>
                <w:rFonts w:asciiTheme="majorHAnsi" w:hAnsiTheme="majorHAnsi" w:cstheme="majorHAnsi"/>
                <w:noProof/>
                <w:webHidden/>
              </w:rPr>
              <w:instrText xml:space="preserve"> PAGEREF _Toc10126102 \h </w:instrText>
            </w:r>
            <w:r w:rsidR="00D37E76" w:rsidRPr="00D37E76">
              <w:rPr>
                <w:rFonts w:asciiTheme="majorHAnsi" w:hAnsiTheme="majorHAnsi" w:cstheme="majorHAnsi"/>
                <w:noProof/>
                <w:webHidden/>
              </w:rPr>
            </w:r>
            <w:r w:rsidR="00D37E76" w:rsidRPr="00D37E76">
              <w:rPr>
                <w:rFonts w:asciiTheme="majorHAnsi" w:hAnsiTheme="majorHAnsi" w:cstheme="majorHAnsi"/>
                <w:noProof/>
                <w:webHidden/>
              </w:rPr>
              <w:fldChar w:fldCharType="separate"/>
            </w:r>
            <w:r>
              <w:rPr>
                <w:rFonts w:asciiTheme="majorHAnsi" w:hAnsiTheme="majorHAnsi" w:cstheme="majorHAnsi"/>
                <w:noProof/>
                <w:webHidden/>
              </w:rPr>
              <w:t>45</w:t>
            </w:r>
            <w:r w:rsidR="00D37E76" w:rsidRPr="00D37E76">
              <w:rPr>
                <w:rFonts w:asciiTheme="majorHAnsi" w:hAnsiTheme="majorHAnsi" w:cstheme="majorHAnsi"/>
                <w:noProof/>
                <w:webHidden/>
              </w:rPr>
              <w:fldChar w:fldCharType="end"/>
            </w:r>
          </w:hyperlink>
        </w:p>
        <w:p w:rsidR="00514AF8" w:rsidRPr="000B589A" w:rsidRDefault="00705AA2" w:rsidP="000B589A">
          <w:r w:rsidRPr="00D37E76">
            <w:rPr>
              <w:rFonts w:asciiTheme="majorHAnsi" w:hAnsiTheme="majorHAnsi" w:cstheme="majorHAnsi"/>
              <w:b/>
              <w:bCs/>
              <w:noProof/>
              <w:sz w:val="24"/>
              <w:szCs w:val="24"/>
            </w:rPr>
            <w:lastRenderedPageBreak/>
            <w:fldChar w:fldCharType="end"/>
          </w:r>
        </w:p>
      </w:sdtContent>
    </w:sdt>
    <w:p w:rsidR="00BC3823" w:rsidRPr="00D05BBE" w:rsidRDefault="00BC3823" w:rsidP="009258C3">
      <w:pPr>
        <w:tabs>
          <w:tab w:val="left" w:pos="720"/>
        </w:tabs>
        <w:spacing w:after="0" w:line="276" w:lineRule="auto"/>
        <w:jc w:val="center"/>
        <w:rPr>
          <w:rFonts w:asciiTheme="majorHAnsi" w:eastAsia="Times New Roman" w:hAnsiTheme="majorHAnsi" w:cs="Times New Roman"/>
          <w:b/>
          <w:bCs/>
          <w:sz w:val="28"/>
          <w:szCs w:val="28"/>
          <w:lang w:val="ro-MD"/>
        </w:rPr>
      </w:pPr>
      <w:r w:rsidRPr="00D05BBE">
        <w:rPr>
          <w:rFonts w:asciiTheme="majorHAnsi" w:eastAsia="Times New Roman" w:hAnsiTheme="majorHAnsi" w:cs="Times New Roman"/>
          <w:b/>
          <w:bCs/>
          <w:sz w:val="28"/>
          <w:szCs w:val="28"/>
          <w:lang w:val="ro-MD"/>
        </w:rPr>
        <w:t xml:space="preserve">Lista </w:t>
      </w:r>
      <w:r w:rsidR="00793C62">
        <w:rPr>
          <w:rFonts w:asciiTheme="majorHAnsi" w:eastAsia="Times New Roman" w:hAnsiTheme="majorHAnsi" w:cs="Times New Roman"/>
          <w:b/>
          <w:bCs/>
          <w:sz w:val="28"/>
          <w:szCs w:val="28"/>
          <w:lang w:val="ro-MD"/>
        </w:rPr>
        <w:t>a</w:t>
      </w:r>
      <w:r w:rsidRPr="00D05BBE">
        <w:rPr>
          <w:rFonts w:asciiTheme="majorHAnsi" w:eastAsia="Times New Roman" w:hAnsiTheme="majorHAnsi" w:cs="Times New Roman"/>
          <w:b/>
          <w:bCs/>
          <w:sz w:val="28"/>
          <w:szCs w:val="28"/>
          <w:lang w:val="ro-MD"/>
        </w:rPr>
        <w:t>cronimelor</w:t>
      </w:r>
    </w:p>
    <w:tbl>
      <w:tblPr>
        <w:tblStyle w:val="GridTable1Light"/>
        <w:tblW w:w="0" w:type="auto"/>
        <w:jc w:val="center"/>
        <w:tblLook w:val="04A0" w:firstRow="1" w:lastRow="0" w:firstColumn="1" w:lastColumn="0" w:noHBand="0" w:noVBand="1"/>
      </w:tblPr>
      <w:tblGrid>
        <w:gridCol w:w="1555"/>
        <w:gridCol w:w="5811"/>
      </w:tblGrid>
      <w:tr w:rsidR="00BC3823" w:rsidRPr="00D05BBE" w:rsidTr="00BC38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 w:val="0"/>
                <w:bCs w:val="0"/>
                <w:sz w:val="24"/>
                <w:szCs w:val="24"/>
                <w:lang w:val="ro-MD"/>
              </w:rPr>
            </w:pPr>
            <w:r w:rsidRPr="00D05BBE">
              <w:rPr>
                <w:rFonts w:asciiTheme="majorHAnsi" w:eastAsia="Times New Roman" w:hAnsiTheme="majorHAnsi" w:cs="Times New Roman"/>
                <w:b w:val="0"/>
                <w:bCs w:val="0"/>
                <w:sz w:val="24"/>
                <w:szCs w:val="24"/>
                <w:lang w:val="ro-MD"/>
              </w:rPr>
              <w:t>Acronimul</w:t>
            </w:r>
          </w:p>
        </w:tc>
        <w:tc>
          <w:tcPr>
            <w:tcW w:w="5811" w:type="dxa"/>
          </w:tcPr>
          <w:p w:rsidR="00BC3823" w:rsidRPr="00D05BBE" w:rsidRDefault="00BC3823" w:rsidP="009258C3">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sz w:val="24"/>
                <w:szCs w:val="24"/>
                <w:lang w:val="ro-MD"/>
              </w:rPr>
            </w:pPr>
            <w:r w:rsidRPr="00D05BBE">
              <w:rPr>
                <w:rFonts w:asciiTheme="majorHAnsi" w:eastAsia="Times New Roman" w:hAnsiTheme="majorHAnsi" w:cs="Times New Roman"/>
                <w:b w:val="0"/>
                <w:bCs w:val="0"/>
                <w:sz w:val="24"/>
                <w:szCs w:val="24"/>
                <w:lang w:val="ro-MD"/>
              </w:rPr>
              <w:t>Termenul abreviat</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APC</w:t>
            </w:r>
          </w:p>
        </w:tc>
        <w:tc>
          <w:tcPr>
            <w:tcW w:w="5811" w:type="dxa"/>
          </w:tcPr>
          <w:p w:rsidR="00BC3823" w:rsidRPr="00D05BBE" w:rsidRDefault="00BC38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Administrația publică centrală</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APL</w:t>
            </w:r>
          </w:p>
        </w:tc>
        <w:tc>
          <w:tcPr>
            <w:tcW w:w="5811" w:type="dxa"/>
          </w:tcPr>
          <w:p w:rsidR="00BC3823" w:rsidRPr="00D05BBE" w:rsidRDefault="00BC38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Administrația publică locală</w:t>
            </w:r>
          </w:p>
        </w:tc>
      </w:tr>
      <w:tr w:rsidR="00923DC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23DC3" w:rsidRPr="00D05BBE" w:rsidRDefault="00923DC3"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APP</w:t>
            </w:r>
          </w:p>
        </w:tc>
        <w:tc>
          <w:tcPr>
            <w:tcW w:w="5811" w:type="dxa"/>
          </w:tcPr>
          <w:p w:rsidR="00923DC3" w:rsidRPr="00D05BBE" w:rsidRDefault="00923DC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Agenția Proprietății Publice</w:t>
            </w:r>
          </w:p>
        </w:tc>
      </w:tr>
      <w:tr w:rsidR="009A1E2B"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A1E2B" w:rsidRPr="00D05BBE" w:rsidRDefault="009A1E2B"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BASS</w:t>
            </w:r>
          </w:p>
        </w:tc>
        <w:tc>
          <w:tcPr>
            <w:tcW w:w="5811" w:type="dxa"/>
          </w:tcPr>
          <w:p w:rsidR="009A1E2B" w:rsidRPr="00D05BBE" w:rsidRDefault="009A1E2B"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Bugetul asigurărilor sociale de stat</w:t>
            </w:r>
          </w:p>
        </w:tc>
      </w:tr>
      <w:tr w:rsidR="006E54D5"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E54D5" w:rsidRDefault="006E54D5"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BNM</w:t>
            </w:r>
          </w:p>
        </w:tc>
        <w:tc>
          <w:tcPr>
            <w:tcW w:w="5811" w:type="dxa"/>
          </w:tcPr>
          <w:p w:rsidR="006E54D5" w:rsidRDefault="006E54D5"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Banca Națională a Moldovei</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BPN</w:t>
            </w:r>
          </w:p>
        </w:tc>
        <w:tc>
          <w:tcPr>
            <w:tcW w:w="5811" w:type="dxa"/>
          </w:tcPr>
          <w:p w:rsidR="00BC3823" w:rsidRPr="00D05BBE" w:rsidRDefault="00BC38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Bugetul public național</w:t>
            </w:r>
          </w:p>
        </w:tc>
      </w:tr>
      <w:tr w:rsidR="009A1E2B"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A1E2B" w:rsidRPr="00D05BBE" w:rsidRDefault="009A1E2B"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BUAT</w:t>
            </w:r>
          </w:p>
        </w:tc>
        <w:tc>
          <w:tcPr>
            <w:tcW w:w="5811" w:type="dxa"/>
          </w:tcPr>
          <w:p w:rsidR="009A1E2B" w:rsidRPr="00D05BBE" w:rsidRDefault="004E20C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Bugetul unităților administrativ-teritoriale</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BS</w:t>
            </w:r>
          </w:p>
        </w:tc>
        <w:tc>
          <w:tcPr>
            <w:tcW w:w="5811" w:type="dxa"/>
          </w:tcPr>
          <w:p w:rsidR="00BC3823" w:rsidRPr="00D05BBE" w:rsidRDefault="00BC38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Bugetul de stat</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BC38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CBTM</w:t>
            </w:r>
          </w:p>
        </w:tc>
        <w:tc>
          <w:tcPr>
            <w:tcW w:w="5811" w:type="dxa"/>
          </w:tcPr>
          <w:p w:rsidR="00BC3823" w:rsidRPr="00D05BBE" w:rsidRDefault="00BC38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Cadrul bugetar pe termen mediu</w:t>
            </w:r>
          </w:p>
        </w:tc>
      </w:tr>
      <w:tr w:rsidR="00305757"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57" w:rsidRPr="00D05BBE" w:rsidRDefault="00305757"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CEC</w:t>
            </w:r>
          </w:p>
        </w:tc>
        <w:tc>
          <w:tcPr>
            <w:tcW w:w="5811" w:type="dxa"/>
          </w:tcPr>
          <w:p w:rsidR="00305757" w:rsidRPr="00D05BBE" w:rsidRDefault="00305757"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Comisia Electorală Centrală</w:t>
            </w:r>
          </w:p>
        </w:tc>
      </w:tr>
      <w:tr w:rsidR="00950925"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50925" w:rsidRPr="00D05BBE" w:rsidRDefault="00950925"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Cod ECO</w:t>
            </w:r>
          </w:p>
        </w:tc>
        <w:tc>
          <w:tcPr>
            <w:tcW w:w="5811" w:type="dxa"/>
          </w:tcPr>
          <w:p w:rsidR="00950925" w:rsidRPr="00D05BBE" w:rsidRDefault="00950925"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Cod economic</w:t>
            </w:r>
          </w:p>
        </w:tc>
      </w:tr>
      <w:tr w:rsidR="009F092B"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9F092B" w:rsidRPr="00D05BBE" w:rsidRDefault="009F092B"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FAOAM</w:t>
            </w:r>
          </w:p>
        </w:tc>
        <w:tc>
          <w:tcPr>
            <w:tcW w:w="5811" w:type="dxa"/>
          </w:tcPr>
          <w:p w:rsidR="009F092B" w:rsidRPr="00D05BBE" w:rsidRDefault="009F092B"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9F092B">
              <w:rPr>
                <w:rFonts w:asciiTheme="majorHAnsi" w:eastAsia="Times New Roman" w:hAnsiTheme="majorHAnsi" w:cs="Times New Roman"/>
                <w:bCs/>
                <w:sz w:val="24"/>
                <w:szCs w:val="24"/>
                <w:lang w:val="ro-MD"/>
              </w:rPr>
              <w:t>Fondurile asigurării obligatorii de asistență medicală</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HG</w:t>
            </w:r>
          </w:p>
        </w:tc>
        <w:tc>
          <w:tcPr>
            <w:tcW w:w="5811" w:type="dxa"/>
          </w:tcPr>
          <w:p w:rsidR="00BC38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Hotărâre de Guvern</w:t>
            </w:r>
          </w:p>
        </w:tc>
      </w:tr>
      <w:tr w:rsidR="00B6500A"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6500A" w:rsidRPr="00D05BBE" w:rsidRDefault="00B6500A"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HCC</w:t>
            </w:r>
          </w:p>
        </w:tc>
        <w:tc>
          <w:tcPr>
            <w:tcW w:w="5811" w:type="dxa"/>
          </w:tcPr>
          <w:p w:rsidR="00B6500A" w:rsidRPr="00D05BBE" w:rsidRDefault="00B6500A"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Hotărârea Curții de Conturi</w:t>
            </w:r>
          </w:p>
        </w:tc>
      </w:tr>
      <w:tr w:rsidR="00D058AD"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058AD" w:rsidRPr="00D05BBE" w:rsidRDefault="00D058AD"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MAI</w:t>
            </w:r>
          </w:p>
        </w:tc>
        <w:tc>
          <w:tcPr>
            <w:tcW w:w="5811" w:type="dxa"/>
          </w:tcPr>
          <w:p w:rsidR="00D058AD" w:rsidRPr="00D05BBE" w:rsidRDefault="00D058AD"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Ministerul Afacerilor Interne</w:t>
            </w:r>
          </w:p>
        </w:tc>
      </w:tr>
      <w:tr w:rsidR="00562ADF"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562ADF" w:rsidRDefault="00562ADF"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MA</w:t>
            </w:r>
          </w:p>
        </w:tc>
        <w:tc>
          <w:tcPr>
            <w:tcW w:w="5811" w:type="dxa"/>
          </w:tcPr>
          <w:p w:rsidR="00562ADF" w:rsidRDefault="00562ADF"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Ministerul Apărării</w:t>
            </w:r>
          </w:p>
        </w:tc>
      </w:tr>
      <w:tr w:rsidR="00BC38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BC38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MF</w:t>
            </w:r>
          </w:p>
        </w:tc>
        <w:tc>
          <w:tcPr>
            <w:tcW w:w="5811" w:type="dxa"/>
          </w:tcPr>
          <w:p w:rsidR="00BC38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Ministerul Finanțelor</w:t>
            </w:r>
          </w:p>
        </w:tc>
      </w:tr>
      <w:tr w:rsidR="007A091D"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7A091D" w:rsidRPr="00D05BBE" w:rsidRDefault="007A091D"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MECC</w:t>
            </w:r>
          </w:p>
        </w:tc>
        <w:tc>
          <w:tcPr>
            <w:tcW w:w="5811" w:type="dxa"/>
          </w:tcPr>
          <w:p w:rsidR="007A091D" w:rsidRPr="00D05BBE" w:rsidRDefault="007A091D"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Ministerul Educației, Culturii și Cercetării</w:t>
            </w:r>
          </w:p>
        </w:tc>
      </w:tr>
      <w:tr w:rsidR="00151F1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151F13" w:rsidRDefault="00151F13"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ÎS</w:t>
            </w:r>
          </w:p>
        </w:tc>
        <w:tc>
          <w:tcPr>
            <w:tcW w:w="5811" w:type="dxa"/>
          </w:tcPr>
          <w:p w:rsidR="00151F13" w:rsidRDefault="00151F1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Întreprindere de Stat</w:t>
            </w:r>
          </w:p>
        </w:tc>
      </w:tr>
      <w:tr w:rsidR="000D02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D02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PIB</w:t>
            </w:r>
          </w:p>
        </w:tc>
        <w:tc>
          <w:tcPr>
            <w:tcW w:w="5811" w:type="dxa"/>
          </w:tcPr>
          <w:p w:rsidR="000D02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Produsul Intern Brut</w:t>
            </w:r>
          </w:p>
        </w:tc>
      </w:tr>
      <w:tr w:rsidR="00347CD0" w:rsidRPr="00793C62"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47CD0" w:rsidRPr="00D05BBE" w:rsidRDefault="00347CD0"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PNUD</w:t>
            </w:r>
          </w:p>
        </w:tc>
        <w:tc>
          <w:tcPr>
            <w:tcW w:w="5811" w:type="dxa"/>
          </w:tcPr>
          <w:p w:rsidR="00347CD0" w:rsidRPr="00D05BBE" w:rsidRDefault="00347CD0" w:rsidP="00793C62">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Pro</w:t>
            </w:r>
            <w:r w:rsidR="00793C62">
              <w:rPr>
                <w:rFonts w:asciiTheme="majorHAnsi" w:eastAsia="Times New Roman" w:hAnsiTheme="majorHAnsi" w:cs="Times New Roman"/>
                <w:bCs/>
                <w:sz w:val="24"/>
                <w:szCs w:val="24"/>
                <w:lang w:val="ro-MD"/>
              </w:rPr>
              <w:t>gramul</w:t>
            </w:r>
            <w:r>
              <w:rPr>
                <w:rFonts w:asciiTheme="majorHAnsi" w:eastAsia="Times New Roman" w:hAnsiTheme="majorHAnsi" w:cs="Times New Roman"/>
                <w:bCs/>
                <w:sz w:val="24"/>
                <w:szCs w:val="24"/>
                <w:lang w:val="ro-MD"/>
              </w:rPr>
              <w:t xml:space="preserve"> Națiunilor Unite </w:t>
            </w:r>
            <w:r w:rsidR="00793C62">
              <w:rPr>
                <w:rFonts w:asciiTheme="majorHAnsi" w:eastAsia="Times New Roman" w:hAnsiTheme="majorHAnsi" w:cs="Times New Roman"/>
                <w:bCs/>
                <w:sz w:val="24"/>
                <w:szCs w:val="24"/>
                <w:lang w:val="ro-MD"/>
              </w:rPr>
              <w:t>pentru</w:t>
            </w:r>
            <w:r>
              <w:rPr>
                <w:rFonts w:asciiTheme="majorHAnsi" w:eastAsia="Times New Roman" w:hAnsiTheme="majorHAnsi" w:cs="Times New Roman"/>
                <w:bCs/>
                <w:sz w:val="24"/>
                <w:szCs w:val="24"/>
                <w:lang w:val="ro-MD"/>
              </w:rPr>
              <w:t xml:space="preserve"> </w:t>
            </w:r>
            <w:r w:rsidR="00793C62">
              <w:rPr>
                <w:rFonts w:asciiTheme="majorHAnsi" w:eastAsia="Times New Roman" w:hAnsiTheme="majorHAnsi" w:cs="Times New Roman"/>
                <w:bCs/>
                <w:sz w:val="24"/>
                <w:szCs w:val="24"/>
                <w:lang w:val="ro-MD"/>
              </w:rPr>
              <w:t>D</w:t>
            </w:r>
            <w:r>
              <w:rPr>
                <w:rFonts w:asciiTheme="majorHAnsi" w:eastAsia="Times New Roman" w:hAnsiTheme="majorHAnsi" w:cs="Times New Roman"/>
                <w:bCs/>
                <w:sz w:val="24"/>
                <w:szCs w:val="24"/>
                <w:lang w:val="ro-MD"/>
              </w:rPr>
              <w:t>ezvoltare</w:t>
            </w:r>
          </w:p>
        </w:tc>
      </w:tr>
      <w:tr w:rsidR="000D02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D02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RM</w:t>
            </w:r>
          </w:p>
        </w:tc>
        <w:tc>
          <w:tcPr>
            <w:tcW w:w="5811" w:type="dxa"/>
          </w:tcPr>
          <w:p w:rsidR="000D02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Republica Moldova</w:t>
            </w:r>
          </w:p>
        </w:tc>
      </w:tr>
      <w:tr w:rsidR="000D02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D02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SFS</w:t>
            </w:r>
          </w:p>
        </w:tc>
        <w:tc>
          <w:tcPr>
            <w:tcW w:w="5811" w:type="dxa"/>
          </w:tcPr>
          <w:p w:rsidR="000D02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Serviciul Fiscal de Stat</w:t>
            </w:r>
          </w:p>
        </w:tc>
      </w:tr>
      <w:tr w:rsidR="000D022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0D0223" w:rsidRPr="00D05BBE" w:rsidRDefault="000D0223" w:rsidP="009258C3">
            <w:pPr>
              <w:tabs>
                <w:tab w:val="left" w:pos="720"/>
              </w:tabs>
              <w:spacing w:line="276" w:lineRule="auto"/>
              <w:jc w:val="center"/>
              <w:rPr>
                <w:rFonts w:asciiTheme="majorHAnsi" w:eastAsia="Times New Roman" w:hAnsiTheme="majorHAnsi" w:cs="Times New Roman"/>
                <w:bCs w:val="0"/>
                <w:sz w:val="24"/>
                <w:szCs w:val="24"/>
                <w:lang w:val="ro-MD"/>
              </w:rPr>
            </w:pPr>
            <w:r w:rsidRPr="00D05BBE">
              <w:rPr>
                <w:rFonts w:asciiTheme="majorHAnsi" w:eastAsia="Times New Roman" w:hAnsiTheme="majorHAnsi" w:cs="Times New Roman"/>
                <w:bCs w:val="0"/>
                <w:sz w:val="24"/>
                <w:szCs w:val="24"/>
                <w:lang w:val="ro-MD"/>
              </w:rPr>
              <w:t>SV</w:t>
            </w:r>
          </w:p>
        </w:tc>
        <w:tc>
          <w:tcPr>
            <w:tcW w:w="5811" w:type="dxa"/>
          </w:tcPr>
          <w:p w:rsidR="000D0223" w:rsidRPr="00D05BBE" w:rsidRDefault="000D022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D05BBE">
              <w:rPr>
                <w:rFonts w:asciiTheme="majorHAnsi" w:eastAsia="Times New Roman" w:hAnsiTheme="majorHAnsi" w:cs="Times New Roman"/>
                <w:bCs/>
                <w:sz w:val="24"/>
                <w:szCs w:val="24"/>
                <w:lang w:val="ro-MD"/>
              </w:rPr>
              <w:t>Serviciul Vamal</w:t>
            </w:r>
          </w:p>
        </w:tc>
      </w:tr>
      <w:tr w:rsidR="00651917"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51917" w:rsidRPr="00D05BBE" w:rsidRDefault="00651917"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SRL</w:t>
            </w:r>
          </w:p>
        </w:tc>
        <w:tc>
          <w:tcPr>
            <w:tcW w:w="5811" w:type="dxa"/>
          </w:tcPr>
          <w:p w:rsidR="00651917" w:rsidRPr="00D05BBE" w:rsidRDefault="00651917"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sidRPr="00651917">
              <w:rPr>
                <w:rFonts w:asciiTheme="majorHAnsi" w:eastAsia="Times New Roman" w:hAnsiTheme="majorHAnsi" w:cs="Times New Roman"/>
                <w:bCs/>
                <w:sz w:val="24"/>
                <w:szCs w:val="24"/>
                <w:lang w:val="ro-MD"/>
              </w:rPr>
              <w:t>Societate cu răspundere limitată</w:t>
            </w:r>
          </w:p>
        </w:tc>
      </w:tr>
      <w:tr w:rsidR="00151F13"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151F13" w:rsidRDefault="00151F13"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SA</w:t>
            </w:r>
          </w:p>
        </w:tc>
        <w:tc>
          <w:tcPr>
            <w:tcW w:w="5811" w:type="dxa"/>
          </w:tcPr>
          <w:p w:rsidR="00151F13" w:rsidRPr="00651917" w:rsidRDefault="00151F13"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Societate pe acțiuni</w:t>
            </w:r>
          </w:p>
        </w:tc>
      </w:tr>
      <w:tr w:rsidR="008539FE"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8539FE" w:rsidRPr="00D05BBE" w:rsidRDefault="008539FE" w:rsidP="009258C3">
            <w:pPr>
              <w:tabs>
                <w:tab w:val="left" w:pos="720"/>
              </w:tabs>
              <w:spacing w:line="276" w:lineRule="auto"/>
              <w:jc w:val="center"/>
              <w:rPr>
                <w:rFonts w:asciiTheme="majorHAnsi" w:eastAsia="Times New Roman" w:hAnsiTheme="majorHAnsi" w:cs="Times New Roman"/>
                <w:bCs w:val="0"/>
                <w:sz w:val="24"/>
                <w:szCs w:val="24"/>
                <w:lang w:val="ro-MD"/>
              </w:rPr>
            </w:pPr>
            <w:r>
              <w:rPr>
                <w:rFonts w:asciiTheme="majorHAnsi" w:eastAsia="Times New Roman" w:hAnsiTheme="majorHAnsi" w:cs="Times New Roman"/>
                <w:bCs w:val="0"/>
                <w:sz w:val="24"/>
                <w:szCs w:val="24"/>
                <w:lang w:val="ro-MD"/>
              </w:rPr>
              <w:t>TVA</w:t>
            </w:r>
          </w:p>
        </w:tc>
        <w:tc>
          <w:tcPr>
            <w:tcW w:w="5811" w:type="dxa"/>
          </w:tcPr>
          <w:p w:rsidR="008539FE" w:rsidRPr="00D05BBE" w:rsidRDefault="008539FE"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Taxa pe valoarea adăugată</w:t>
            </w:r>
          </w:p>
        </w:tc>
      </w:tr>
      <w:tr w:rsidR="00CF4B4A"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F4B4A" w:rsidRDefault="00CF4B4A"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TI</w:t>
            </w:r>
          </w:p>
        </w:tc>
        <w:tc>
          <w:tcPr>
            <w:tcW w:w="5811" w:type="dxa"/>
          </w:tcPr>
          <w:p w:rsidR="00CF4B4A" w:rsidRDefault="00CF4B4A"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Tehnologii informaționale</w:t>
            </w:r>
          </w:p>
        </w:tc>
      </w:tr>
      <w:tr w:rsidR="00DA0E94"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DA0E94" w:rsidRDefault="00DA0E94" w:rsidP="00A276DF">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TD</w:t>
            </w:r>
            <w:r w:rsidR="00A276DF">
              <w:rPr>
                <w:rFonts w:asciiTheme="majorHAnsi" w:eastAsia="Times New Roman" w:hAnsiTheme="majorHAnsi" w:cs="Times New Roman"/>
                <w:sz w:val="24"/>
                <w:szCs w:val="24"/>
                <w:lang w:val="ro-MD"/>
              </w:rPr>
              <w:t>S</w:t>
            </w:r>
          </w:p>
        </w:tc>
        <w:tc>
          <w:tcPr>
            <w:tcW w:w="5811" w:type="dxa"/>
          </w:tcPr>
          <w:p w:rsidR="00DA0E94" w:rsidRDefault="00DA0E94"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Transferuri cu destinație specială</w:t>
            </w:r>
          </w:p>
        </w:tc>
      </w:tr>
      <w:tr w:rsidR="00230CC8" w:rsidRPr="00D05BBE" w:rsidTr="00BC3823">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230CC8" w:rsidRDefault="00230CC8" w:rsidP="009258C3">
            <w:pPr>
              <w:tabs>
                <w:tab w:val="left" w:pos="720"/>
              </w:tabs>
              <w:spacing w:line="276" w:lineRule="auto"/>
              <w:jc w:val="center"/>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TS</w:t>
            </w:r>
          </w:p>
        </w:tc>
        <w:tc>
          <w:tcPr>
            <w:tcW w:w="5811" w:type="dxa"/>
          </w:tcPr>
          <w:p w:rsidR="00230CC8" w:rsidRDefault="00230CC8" w:rsidP="00BC3823">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o-MD"/>
              </w:rPr>
            </w:pPr>
            <w:r>
              <w:rPr>
                <w:rFonts w:asciiTheme="majorHAnsi" w:eastAsia="Times New Roman" w:hAnsiTheme="majorHAnsi" w:cs="Times New Roman"/>
                <w:bCs/>
                <w:sz w:val="24"/>
                <w:szCs w:val="24"/>
                <w:lang w:val="ro-MD"/>
              </w:rPr>
              <w:t>Trezoreria de Stat</w:t>
            </w:r>
          </w:p>
        </w:tc>
      </w:tr>
    </w:tbl>
    <w:p w:rsidR="009B6AF0" w:rsidRDefault="009B6AF0" w:rsidP="009B6AF0">
      <w:pPr>
        <w:tabs>
          <w:tab w:val="left" w:pos="720"/>
        </w:tabs>
        <w:spacing w:after="0" w:line="276" w:lineRule="auto"/>
        <w:rPr>
          <w:rFonts w:asciiTheme="majorHAnsi" w:eastAsia="Times New Roman" w:hAnsiTheme="majorHAnsi" w:cs="Times New Roman"/>
          <w:b/>
          <w:bCs/>
          <w:sz w:val="32"/>
          <w:szCs w:val="32"/>
          <w:lang w:val="ro-MD"/>
        </w:rPr>
      </w:pPr>
    </w:p>
    <w:p w:rsidR="008B63AE" w:rsidRDefault="008B63AE" w:rsidP="009B6AF0">
      <w:pPr>
        <w:tabs>
          <w:tab w:val="left" w:pos="720"/>
        </w:tabs>
        <w:spacing w:after="0" w:line="276" w:lineRule="auto"/>
        <w:rPr>
          <w:rFonts w:asciiTheme="majorHAnsi" w:eastAsia="Times New Roman" w:hAnsiTheme="majorHAnsi" w:cs="Times New Roman"/>
          <w:b/>
          <w:bCs/>
          <w:sz w:val="32"/>
          <w:szCs w:val="32"/>
          <w:lang w:val="ro-MD"/>
        </w:rPr>
      </w:pPr>
    </w:p>
    <w:p w:rsidR="00222F03" w:rsidRDefault="00222F03" w:rsidP="009B6AF0">
      <w:pPr>
        <w:tabs>
          <w:tab w:val="left" w:pos="720"/>
        </w:tabs>
        <w:spacing w:after="0" w:line="276" w:lineRule="auto"/>
        <w:rPr>
          <w:rFonts w:asciiTheme="majorHAnsi" w:eastAsia="Times New Roman" w:hAnsiTheme="majorHAnsi" w:cs="Times New Roman"/>
          <w:b/>
          <w:bCs/>
          <w:sz w:val="32"/>
          <w:szCs w:val="32"/>
          <w:lang w:val="ro-MD"/>
        </w:rPr>
      </w:pPr>
    </w:p>
    <w:p w:rsidR="00163442" w:rsidRDefault="00163442" w:rsidP="009B6AF0">
      <w:pPr>
        <w:tabs>
          <w:tab w:val="left" w:pos="720"/>
        </w:tabs>
        <w:spacing w:after="0" w:line="276" w:lineRule="auto"/>
        <w:rPr>
          <w:rFonts w:asciiTheme="majorHAnsi" w:eastAsia="Times New Roman" w:hAnsiTheme="majorHAnsi" w:cs="Times New Roman"/>
          <w:b/>
          <w:bCs/>
          <w:sz w:val="32"/>
          <w:szCs w:val="32"/>
          <w:lang w:val="ro-MD"/>
        </w:rPr>
      </w:pPr>
    </w:p>
    <w:p w:rsidR="00E91BDB" w:rsidRPr="00AE29D2" w:rsidRDefault="00E91BDB" w:rsidP="00E91BDB">
      <w:pPr>
        <w:pStyle w:val="ListParagraph"/>
        <w:numPr>
          <w:ilvl w:val="0"/>
          <w:numId w:val="1"/>
        </w:numPr>
        <w:tabs>
          <w:tab w:val="left" w:pos="284"/>
        </w:tabs>
        <w:spacing w:after="0" w:line="276" w:lineRule="auto"/>
        <w:ind w:left="0" w:firstLine="0"/>
        <w:jc w:val="center"/>
        <w:outlineLvl w:val="0"/>
        <w:rPr>
          <w:rFonts w:asciiTheme="majorHAnsi" w:eastAsia="Times New Roman" w:hAnsiTheme="majorHAnsi" w:cs="Times New Roman"/>
          <w:b/>
          <w:bCs/>
          <w:sz w:val="28"/>
          <w:szCs w:val="28"/>
          <w:lang w:val="ro-MD"/>
        </w:rPr>
      </w:pPr>
      <w:bookmarkStart w:id="0" w:name="_Toc9071229"/>
      <w:bookmarkStart w:id="1" w:name="_Toc10031817"/>
      <w:bookmarkStart w:id="2" w:name="_Toc10126076"/>
      <w:r w:rsidRPr="00AE29D2">
        <w:rPr>
          <w:rFonts w:asciiTheme="majorHAnsi" w:eastAsia="Times New Roman" w:hAnsiTheme="majorHAnsi" w:cs="Times New Roman"/>
          <w:b/>
          <w:bCs/>
          <w:sz w:val="28"/>
          <w:szCs w:val="28"/>
          <w:lang w:val="ro-MD"/>
        </w:rPr>
        <w:lastRenderedPageBreak/>
        <w:t>OPINIE</w:t>
      </w:r>
      <w:r>
        <w:rPr>
          <w:rFonts w:asciiTheme="majorHAnsi" w:eastAsia="Times New Roman" w:hAnsiTheme="majorHAnsi" w:cs="Times New Roman"/>
          <w:b/>
          <w:bCs/>
          <w:sz w:val="28"/>
          <w:szCs w:val="28"/>
          <w:lang w:val="ro-MD"/>
        </w:rPr>
        <w:t xml:space="preserve"> FĂRĂ REZERVE</w:t>
      </w:r>
      <w:bookmarkEnd w:id="0"/>
      <w:bookmarkEnd w:id="1"/>
      <w:bookmarkEnd w:id="2"/>
    </w:p>
    <w:p w:rsidR="00E91BDB" w:rsidRPr="00F03BD8" w:rsidRDefault="00E91BDB" w:rsidP="00E91BDB">
      <w:pPr>
        <w:pStyle w:val="ListParagraph"/>
        <w:tabs>
          <w:tab w:val="left" w:pos="720"/>
        </w:tabs>
        <w:spacing w:after="0" w:line="276" w:lineRule="auto"/>
        <w:ind w:left="0"/>
        <w:jc w:val="both"/>
        <w:rPr>
          <w:rFonts w:asciiTheme="majorHAnsi" w:hAnsiTheme="majorHAnsi" w:cstheme="majorHAnsi"/>
          <w:sz w:val="24"/>
          <w:szCs w:val="24"/>
        </w:rPr>
      </w:pPr>
      <w:r w:rsidRPr="00F03BD8">
        <w:rPr>
          <w:rFonts w:asciiTheme="majorHAnsi" w:hAnsiTheme="majorHAnsi" w:cstheme="majorHAnsi"/>
          <w:sz w:val="24"/>
          <w:szCs w:val="24"/>
        </w:rPr>
        <w:t xml:space="preserve">Am auditat </w:t>
      </w:r>
      <w:r w:rsidRPr="0047769C">
        <w:rPr>
          <w:rFonts w:asciiTheme="majorHAnsi" w:hAnsiTheme="majorHAnsi" w:cstheme="majorHAnsi"/>
          <w:sz w:val="24"/>
          <w:szCs w:val="24"/>
        </w:rPr>
        <w:t>Raportul Guvernului privind executarea bugetului de stat</w:t>
      </w:r>
      <w:r>
        <w:rPr>
          <w:rFonts w:asciiTheme="majorHAnsi" w:hAnsiTheme="majorHAnsi" w:cstheme="majorHAnsi"/>
          <w:sz w:val="24"/>
          <w:szCs w:val="24"/>
        </w:rPr>
        <w:t>,</w:t>
      </w:r>
      <w:r w:rsidRPr="0047769C">
        <w:rPr>
          <w:rFonts w:asciiTheme="majorHAnsi" w:hAnsiTheme="majorHAnsi" w:cstheme="majorHAnsi"/>
          <w:sz w:val="24"/>
          <w:szCs w:val="24"/>
        </w:rPr>
        <w:t xml:space="preserve"> </w:t>
      </w:r>
      <w:r>
        <w:rPr>
          <w:rFonts w:asciiTheme="majorHAnsi" w:hAnsiTheme="majorHAnsi" w:cstheme="majorHAnsi"/>
          <w:sz w:val="24"/>
          <w:szCs w:val="24"/>
        </w:rPr>
        <w:t>întocmit de Ministerul Finanțelor</w:t>
      </w:r>
      <w:r w:rsidRPr="00F03BD8">
        <w:rPr>
          <w:rFonts w:asciiTheme="majorHAnsi" w:hAnsiTheme="majorHAnsi" w:cstheme="majorHAnsi"/>
          <w:sz w:val="24"/>
          <w:szCs w:val="24"/>
        </w:rPr>
        <w:t xml:space="preserve"> pentru exerciți</w:t>
      </w:r>
      <w:r>
        <w:rPr>
          <w:rFonts w:asciiTheme="majorHAnsi" w:hAnsiTheme="majorHAnsi" w:cstheme="majorHAnsi"/>
          <w:sz w:val="24"/>
          <w:szCs w:val="24"/>
        </w:rPr>
        <w:t>ul încheiat la 31 decembrie 2018</w:t>
      </w:r>
      <w:r w:rsidRPr="00F03BD8">
        <w:rPr>
          <w:rFonts w:asciiTheme="majorHAnsi" w:hAnsiTheme="majorHAnsi" w:cstheme="majorHAnsi"/>
          <w:sz w:val="24"/>
          <w:szCs w:val="24"/>
        </w:rPr>
        <w:t>, ce cuprind</w:t>
      </w:r>
      <w:r>
        <w:rPr>
          <w:rFonts w:asciiTheme="majorHAnsi" w:hAnsiTheme="majorHAnsi" w:cstheme="majorHAnsi"/>
          <w:sz w:val="24"/>
          <w:szCs w:val="24"/>
        </w:rPr>
        <w:t>e</w:t>
      </w:r>
      <w:r w:rsidRPr="00F03BD8">
        <w:rPr>
          <w:rFonts w:asciiTheme="majorHAnsi" w:hAnsiTheme="majorHAnsi" w:cstheme="majorHAnsi"/>
          <w:sz w:val="24"/>
          <w:szCs w:val="24"/>
        </w:rPr>
        <w:t xml:space="preserve"> </w:t>
      </w:r>
      <w:r w:rsidRPr="0047769C">
        <w:rPr>
          <w:rFonts w:asciiTheme="majorHAnsi" w:hAnsiTheme="majorHAnsi" w:cstheme="majorHAnsi"/>
          <w:sz w:val="24"/>
          <w:szCs w:val="24"/>
        </w:rPr>
        <w:t>Formularele nr.1; nr.2; nr.3; nr.4; nr.4.1; nr.4.2; nr.5; nr.5.1; nr.5.1.1; nr.6; nr.7; nr.8; nr.9; nr.10 și nr.11, precum și descrierea narativă</w:t>
      </w:r>
      <w:r>
        <w:rPr>
          <w:rFonts w:asciiTheme="majorHAnsi" w:hAnsiTheme="majorHAnsi" w:cstheme="majorHAnsi"/>
          <w:sz w:val="24"/>
          <w:szCs w:val="24"/>
        </w:rPr>
        <w:t xml:space="preserve">.  </w:t>
      </w:r>
      <w:r w:rsidRPr="0047769C">
        <w:rPr>
          <w:rFonts w:asciiTheme="majorHAnsi" w:hAnsiTheme="majorHAnsi" w:cstheme="majorHAnsi"/>
          <w:i/>
          <w:sz w:val="24"/>
          <w:szCs w:val="24"/>
        </w:rPr>
        <w:t xml:space="preserve">(Componența și </w:t>
      </w:r>
      <w:r w:rsidRPr="0047769C">
        <w:rPr>
          <w:rFonts w:asciiTheme="majorHAnsi" w:eastAsia="Times New Roman" w:hAnsiTheme="majorHAnsi" w:cstheme="majorHAnsi"/>
          <w:i/>
          <w:sz w:val="24"/>
          <w:szCs w:val="24"/>
          <w:lang w:eastAsia="ru-RU"/>
        </w:rPr>
        <w:t>denumirea completă a formularelor</w:t>
      </w:r>
      <w:r>
        <w:rPr>
          <w:rFonts w:asciiTheme="majorHAnsi" w:eastAsia="Times New Roman" w:hAnsiTheme="majorHAnsi" w:cstheme="majorHAnsi"/>
          <w:i/>
          <w:sz w:val="24"/>
          <w:szCs w:val="24"/>
          <w:lang w:eastAsia="ru-RU"/>
        </w:rPr>
        <w:t xml:space="preserve"> se prezintă în Anexa nr.1</w:t>
      </w:r>
      <w:r w:rsidRPr="0047769C">
        <w:rPr>
          <w:rFonts w:asciiTheme="majorHAnsi" w:eastAsia="Times New Roman" w:hAnsiTheme="majorHAnsi" w:cstheme="majorHAnsi"/>
          <w:i/>
          <w:sz w:val="24"/>
          <w:szCs w:val="24"/>
          <w:lang w:eastAsia="ru-RU"/>
        </w:rPr>
        <w:t xml:space="preserve"> la prezentul Raport de audit</w:t>
      </w:r>
      <w:r>
        <w:rPr>
          <w:rFonts w:asciiTheme="majorHAnsi" w:eastAsia="Times New Roman" w:hAnsiTheme="majorHAnsi" w:cstheme="majorHAnsi"/>
          <w:i/>
          <w:sz w:val="24"/>
          <w:szCs w:val="24"/>
          <w:lang w:eastAsia="ru-RU"/>
        </w:rPr>
        <w:t>, iar publicate sunt pe pagina oficială a Ministerului Finanțelor</w:t>
      </w:r>
      <w:r w:rsidRPr="0047769C">
        <w:rPr>
          <w:rFonts w:asciiTheme="majorHAnsi" w:eastAsia="Times New Roman" w:hAnsiTheme="majorHAnsi" w:cstheme="majorHAnsi"/>
          <w:i/>
          <w:sz w:val="24"/>
          <w:szCs w:val="24"/>
          <w:lang w:eastAsia="ru-RU"/>
        </w:rPr>
        <w:t>)</w:t>
      </w:r>
      <w:r w:rsidRPr="0047769C">
        <w:rPr>
          <w:rFonts w:asciiTheme="majorHAnsi" w:eastAsia="Times New Roman" w:hAnsiTheme="majorHAnsi" w:cstheme="majorHAnsi"/>
          <w:sz w:val="24"/>
          <w:szCs w:val="24"/>
          <w:lang w:eastAsia="ru-RU"/>
        </w:rPr>
        <w:t>.</w:t>
      </w:r>
      <w:r>
        <w:rPr>
          <w:rFonts w:asciiTheme="majorHAnsi" w:eastAsia="Times New Roman" w:hAnsiTheme="majorHAnsi" w:cstheme="majorHAnsi"/>
          <w:sz w:val="24"/>
          <w:szCs w:val="24"/>
          <w:lang w:eastAsia="ru-RU"/>
        </w:rPr>
        <w:t xml:space="preserve"> </w:t>
      </w:r>
      <w:r w:rsidRPr="00F03BD8">
        <w:rPr>
          <w:rFonts w:asciiTheme="majorHAnsi" w:hAnsiTheme="majorHAnsi" w:cstheme="majorHAnsi"/>
          <w:sz w:val="24"/>
          <w:szCs w:val="24"/>
        </w:rPr>
        <w:t xml:space="preserve">În opinia noastră, </w:t>
      </w:r>
      <w:r w:rsidRPr="0047769C">
        <w:rPr>
          <w:rFonts w:asciiTheme="majorHAnsi" w:hAnsiTheme="majorHAnsi" w:cstheme="majorHAnsi"/>
          <w:sz w:val="24"/>
          <w:szCs w:val="24"/>
        </w:rPr>
        <w:t>Raportul Guvernului privind executarea bugetului de stat</w:t>
      </w:r>
      <w:r w:rsidRPr="00F03BD8">
        <w:rPr>
          <w:rFonts w:asciiTheme="majorHAnsi" w:hAnsiTheme="majorHAnsi" w:cstheme="majorHAnsi"/>
          <w:sz w:val="24"/>
          <w:szCs w:val="24"/>
        </w:rPr>
        <w:t xml:space="preserve">, sub toate aspectele semnificative, </w:t>
      </w:r>
      <w:r w:rsidRPr="00F03BD8">
        <w:rPr>
          <w:rFonts w:asciiTheme="majorHAnsi" w:hAnsiTheme="majorHAnsi" w:cstheme="majorHAnsi"/>
          <w:i/>
          <w:iCs/>
          <w:sz w:val="24"/>
          <w:szCs w:val="24"/>
        </w:rPr>
        <w:t xml:space="preserve">oferă o imagine corectă și fidelă </w:t>
      </w:r>
      <w:r w:rsidRPr="00F03BD8">
        <w:rPr>
          <w:rFonts w:asciiTheme="majorHAnsi" w:hAnsiTheme="majorHAnsi" w:cstheme="majorHAnsi"/>
          <w:sz w:val="24"/>
          <w:szCs w:val="24"/>
        </w:rPr>
        <w:t>în conformitate cu cadrul de raportare financiară a</w:t>
      </w:r>
      <w:r>
        <w:rPr>
          <w:rFonts w:asciiTheme="majorHAnsi" w:hAnsiTheme="majorHAnsi" w:cstheme="majorHAnsi"/>
          <w:sz w:val="24"/>
          <w:szCs w:val="24"/>
        </w:rPr>
        <w:t>plicabil</w:t>
      </w:r>
      <w:r>
        <w:rPr>
          <w:rStyle w:val="FootnoteReference"/>
          <w:rFonts w:asciiTheme="majorHAnsi" w:hAnsiTheme="majorHAnsi" w:cstheme="majorHAnsi"/>
          <w:sz w:val="24"/>
          <w:szCs w:val="24"/>
        </w:rPr>
        <w:footnoteReference w:id="1"/>
      </w:r>
      <w:r w:rsidRPr="00F03BD8">
        <w:rPr>
          <w:rFonts w:asciiTheme="majorHAnsi" w:hAnsiTheme="majorHAnsi" w:cstheme="majorHAnsi"/>
          <w:sz w:val="24"/>
          <w:szCs w:val="24"/>
        </w:rPr>
        <w:t>.</w:t>
      </w:r>
    </w:p>
    <w:p w:rsidR="00E91BDB" w:rsidRPr="00940BF6" w:rsidRDefault="00E91BDB" w:rsidP="00E91BDB">
      <w:pPr>
        <w:pStyle w:val="ListParagraph"/>
        <w:tabs>
          <w:tab w:val="left" w:pos="720"/>
        </w:tabs>
        <w:spacing w:after="0" w:line="276" w:lineRule="auto"/>
        <w:ind w:left="1440"/>
        <w:rPr>
          <w:rFonts w:asciiTheme="majorHAnsi" w:eastAsia="Times New Roman" w:hAnsiTheme="majorHAnsi" w:cs="Times New Roman"/>
          <w:b/>
          <w:bCs/>
          <w:sz w:val="24"/>
          <w:szCs w:val="24"/>
          <w:lang w:val="ro-MD"/>
        </w:rPr>
      </w:pPr>
    </w:p>
    <w:p w:rsidR="00E91BDB" w:rsidRPr="00AE29D2" w:rsidRDefault="00E91BDB" w:rsidP="00E91BDB">
      <w:pPr>
        <w:pStyle w:val="ListParagraph"/>
        <w:numPr>
          <w:ilvl w:val="0"/>
          <w:numId w:val="1"/>
        </w:numPr>
        <w:tabs>
          <w:tab w:val="left" w:pos="284"/>
          <w:tab w:val="left" w:pos="1560"/>
        </w:tabs>
        <w:spacing w:after="0" w:line="276" w:lineRule="auto"/>
        <w:ind w:left="0" w:firstLine="0"/>
        <w:jc w:val="center"/>
        <w:outlineLvl w:val="0"/>
        <w:rPr>
          <w:rFonts w:asciiTheme="majorHAnsi" w:eastAsia="Times New Roman" w:hAnsiTheme="majorHAnsi" w:cs="Times New Roman"/>
          <w:b/>
          <w:bCs/>
          <w:sz w:val="28"/>
          <w:szCs w:val="28"/>
          <w:lang w:val="ro-MD"/>
        </w:rPr>
      </w:pPr>
      <w:bookmarkStart w:id="3" w:name="_Toc9071230"/>
      <w:bookmarkStart w:id="4" w:name="_Toc10031818"/>
      <w:bookmarkStart w:id="5" w:name="_Toc10126077"/>
      <w:r>
        <w:rPr>
          <w:rFonts w:asciiTheme="majorHAnsi" w:eastAsia="Times New Roman" w:hAnsiTheme="majorHAnsi" w:cs="Times New Roman"/>
          <w:b/>
          <w:bCs/>
          <w:sz w:val="28"/>
          <w:szCs w:val="28"/>
          <w:lang w:val="ro-MD"/>
        </w:rPr>
        <w:t>BAZA PENTRU OPINIA FĂRĂ REZERVE</w:t>
      </w:r>
      <w:bookmarkEnd w:id="3"/>
      <w:bookmarkEnd w:id="4"/>
      <w:bookmarkEnd w:id="5"/>
    </w:p>
    <w:p w:rsidR="006A74B6" w:rsidRPr="00E91BDB" w:rsidRDefault="00E91BDB" w:rsidP="00E91BDB">
      <w:pPr>
        <w:tabs>
          <w:tab w:val="num" w:pos="0"/>
        </w:tabs>
        <w:spacing w:after="0" w:line="276" w:lineRule="auto"/>
        <w:jc w:val="both"/>
        <w:rPr>
          <w:rFonts w:asciiTheme="majorHAnsi" w:hAnsiTheme="majorHAnsi" w:cstheme="majorHAnsi"/>
          <w:sz w:val="24"/>
          <w:szCs w:val="24"/>
        </w:rPr>
      </w:pPr>
      <w:r w:rsidRPr="0035514E">
        <w:rPr>
          <w:rFonts w:asciiTheme="majorHAnsi" w:hAnsiTheme="majorHAnsi" w:cstheme="majorHAnsi"/>
          <w:sz w:val="24"/>
          <w:szCs w:val="24"/>
        </w:rPr>
        <w:t>Am realizat misiunea de audit în conformitate cu Standardele Internaționale de Audit</w:t>
      </w:r>
      <w:r>
        <w:rPr>
          <w:rStyle w:val="FootnoteReference"/>
          <w:rFonts w:asciiTheme="majorHAnsi" w:hAnsiTheme="majorHAnsi" w:cstheme="majorHAnsi"/>
          <w:sz w:val="24"/>
          <w:szCs w:val="24"/>
        </w:rPr>
        <w:footnoteReference w:id="2"/>
      </w:r>
      <w:r w:rsidRPr="0035514E">
        <w:rPr>
          <w:rFonts w:asciiTheme="majorHAnsi" w:hAnsiTheme="majorHAnsi" w:cstheme="majorHAnsi"/>
          <w:sz w:val="24"/>
          <w:szCs w:val="24"/>
        </w:rPr>
        <w:t xml:space="preserve">. Responsabilitățile noastre, potrivit standardelor respective, sunt expuse în secțiunea </w:t>
      </w:r>
      <w:r w:rsidRPr="0035514E">
        <w:rPr>
          <w:rFonts w:asciiTheme="majorHAnsi" w:hAnsiTheme="majorHAnsi" w:cstheme="majorHAnsi"/>
          <w:i/>
          <w:iCs/>
          <w:sz w:val="24"/>
          <w:szCs w:val="24"/>
        </w:rPr>
        <w:t xml:space="preserve">Responsabilitățile auditorului într-un audit al situațiilor financiare </w:t>
      </w:r>
      <w:r w:rsidRPr="0035514E">
        <w:rPr>
          <w:rFonts w:asciiTheme="majorHAnsi" w:hAnsiTheme="majorHAnsi" w:cstheme="majorHAnsi"/>
          <w:sz w:val="24"/>
          <w:szCs w:val="24"/>
        </w:rPr>
        <w:t>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rsidR="004D5489" w:rsidRPr="00293568" w:rsidRDefault="004D5489" w:rsidP="00F5188C">
      <w:pPr>
        <w:shd w:val="clear" w:color="auto" w:fill="FFFFFF"/>
        <w:spacing w:after="0" w:line="276" w:lineRule="auto"/>
        <w:ind w:right="45" w:firstLine="709"/>
        <w:jc w:val="both"/>
        <w:rPr>
          <w:rFonts w:asciiTheme="majorHAnsi" w:eastAsia="Times New Roman" w:hAnsiTheme="majorHAnsi" w:cstheme="majorHAnsi"/>
          <w:sz w:val="24"/>
          <w:szCs w:val="24"/>
          <w:lang w:eastAsia="ru-RU"/>
        </w:rPr>
      </w:pPr>
    </w:p>
    <w:p w:rsidR="00CD1BD0" w:rsidRDefault="000F440D" w:rsidP="003C5E92">
      <w:pPr>
        <w:pStyle w:val="ListParagraph"/>
        <w:numPr>
          <w:ilvl w:val="0"/>
          <w:numId w:val="1"/>
        </w:numPr>
        <w:ind w:left="0" w:firstLine="0"/>
        <w:jc w:val="center"/>
        <w:outlineLvl w:val="0"/>
        <w:rPr>
          <w:rFonts w:asciiTheme="majorHAnsi" w:hAnsiTheme="majorHAnsi" w:cstheme="majorHAnsi"/>
          <w:b/>
          <w:sz w:val="28"/>
          <w:szCs w:val="28"/>
        </w:rPr>
      </w:pPr>
      <w:bookmarkStart w:id="6" w:name="_Toc10126078"/>
      <w:r w:rsidRPr="00AE29D2">
        <w:rPr>
          <w:rFonts w:asciiTheme="majorHAnsi" w:hAnsiTheme="majorHAnsi" w:cstheme="majorHAnsi"/>
          <w:b/>
          <w:sz w:val="28"/>
          <w:szCs w:val="28"/>
        </w:rPr>
        <w:t>ASPECTE</w:t>
      </w:r>
      <w:r w:rsidR="00524FD8">
        <w:rPr>
          <w:rFonts w:asciiTheme="majorHAnsi" w:hAnsiTheme="majorHAnsi" w:cstheme="majorHAnsi"/>
          <w:b/>
          <w:sz w:val="28"/>
          <w:szCs w:val="28"/>
        </w:rPr>
        <w:t>LE</w:t>
      </w:r>
      <w:r w:rsidR="00E6384E">
        <w:rPr>
          <w:rFonts w:asciiTheme="majorHAnsi" w:hAnsiTheme="majorHAnsi" w:cstheme="majorHAnsi"/>
          <w:b/>
          <w:sz w:val="28"/>
          <w:szCs w:val="28"/>
        </w:rPr>
        <w:t>-</w:t>
      </w:r>
      <w:r w:rsidRPr="00AE29D2">
        <w:rPr>
          <w:rFonts w:asciiTheme="majorHAnsi" w:hAnsiTheme="majorHAnsi" w:cstheme="majorHAnsi"/>
          <w:b/>
          <w:sz w:val="28"/>
          <w:szCs w:val="28"/>
        </w:rPr>
        <w:t>CHEIE DE AUDIT</w:t>
      </w:r>
      <w:bookmarkEnd w:id="6"/>
    </w:p>
    <w:p w:rsidR="00E91BDB" w:rsidRPr="00D42BF7" w:rsidRDefault="00E91BDB" w:rsidP="00D42BF7">
      <w:pPr>
        <w:pStyle w:val="Heading2"/>
        <w:rPr>
          <w:rFonts w:eastAsia="Times New Roman" w:cstheme="majorHAnsi"/>
          <w:b/>
          <w:color w:val="000000" w:themeColor="text1"/>
          <w:sz w:val="24"/>
          <w:szCs w:val="24"/>
          <w:lang w:eastAsia="ru-RU"/>
        </w:rPr>
      </w:pPr>
      <w:bookmarkStart w:id="7" w:name="_Toc10126079"/>
      <w:r w:rsidRPr="00D42BF7">
        <w:rPr>
          <w:rFonts w:eastAsia="Times New Roman" w:cstheme="majorHAnsi"/>
          <w:b/>
          <w:color w:val="000000" w:themeColor="text1"/>
          <w:sz w:val="24"/>
          <w:szCs w:val="24"/>
          <w:lang w:eastAsia="ru-RU"/>
        </w:rPr>
        <w:t xml:space="preserve">3.1 </w:t>
      </w:r>
      <w:r w:rsidR="000D3173" w:rsidRPr="00D42BF7">
        <w:rPr>
          <w:rFonts w:eastAsia="Times New Roman" w:cstheme="majorHAnsi"/>
          <w:b/>
          <w:color w:val="000000" w:themeColor="text1"/>
          <w:sz w:val="24"/>
          <w:szCs w:val="24"/>
          <w:lang w:eastAsia="ru-RU"/>
        </w:rPr>
        <w:t>PREZENTAREA DOMENIULUI AUDITAT</w:t>
      </w:r>
      <w:bookmarkEnd w:id="7"/>
    </w:p>
    <w:p w:rsidR="00E91BDB" w:rsidRDefault="00E91BDB" w:rsidP="00E91BDB">
      <w:pPr>
        <w:spacing w:after="0" w:line="276" w:lineRule="auto"/>
        <w:jc w:val="both"/>
        <w:rPr>
          <w:rFonts w:asciiTheme="majorHAnsi" w:eastAsia="Times New Roman" w:hAnsiTheme="majorHAnsi" w:cstheme="majorHAnsi"/>
          <w:sz w:val="24"/>
          <w:szCs w:val="24"/>
          <w:lang w:eastAsia="ru-RU"/>
        </w:rPr>
      </w:pPr>
      <w:r w:rsidRPr="00AE29D2">
        <w:rPr>
          <w:rFonts w:asciiTheme="majorHAnsi" w:eastAsia="Times New Roman" w:hAnsiTheme="majorHAnsi" w:cstheme="majorHAnsi"/>
          <w:sz w:val="24"/>
          <w:szCs w:val="24"/>
          <w:lang w:eastAsia="ru-RU"/>
        </w:rPr>
        <w:t>Ministerul Finanțelor este organul central de specialitate al administrației publice care asigură realizarea politicii guvernamentale în domeniul finanțelor publice, cu competențele și responsabilitățile respective</w:t>
      </w:r>
      <w:r w:rsidRPr="00AE29D2">
        <w:rPr>
          <w:rFonts w:asciiTheme="majorHAnsi" w:eastAsia="Times New Roman" w:hAnsiTheme="majorHAnsi" w:cstheme="majorHAnsi"/>
          <w:sz w:val="24"/>
          <w:szCs w:val="24"/>
          <w:vertAlign w:val="superscript"/>
          <w:lang w:eastAsia="ru-RU"/>
        </w:rPr>
        <w:footnoteReference w:id="3"/>
      </w:r>
      <w:r w:rsidRPr="00AE29D2">
        <w:rPr>
          <w:rFonts w:asciiTheme="majorHAnsi" w:eastAsia="Times New Roman" w:hAnsiTheme="majorHAnsi" w:cstheme="majorHAnsi"/>
          <w:sz w:val="24"/>
          <w:szCs w:val="24"/>
          <w:lang w:eastAsia="ru-RU"/>
        </w:rPr>
        <w:t>. În conformitate cu cadrul legal</w:t>
      </w:r>
      <w:r w:rsidRPr="00AE29D2">
        <w:rPr>
          <w:rStyle w:val="FootnoteReference"/>
          <w:rFonts w:asciiTheme="majorHAnsi" w:eastAsia="Times New Roman" w:hAnsiTheme="majorHAnsi" w:cstheme="majorHAnsi"/>
          <w:sz w:val="24"/>
          <w:szCs w:val="24"/>
          <w:lang w:eastAsia="ru-RU"/>
        </w:rPr>
        <w:footnoteReference w:id="4"/>
      </w:r>
      <w:r w:rsidRPr="00AE29D2">
        <w:rPr>
          <w:rFonts w:asciiTheme="majorHAnsi" w:eastAsia="Times New Roman" w:hAnsiTheme="majorHAnsi" w:cstheme="majorHAnsi"/>
          <w:sz w:val="24"/>
          <w:szCs w:val="24"/>
          <w:lang w:eastAsia="ru-RU"/>
        </w:rPr>
        <w:t>, M</w:t>
      </w:r>
      <w:r>
        <w:rPr>
          <w:rFonts w:asciiTheme="majorHAnsi" w:eastAsia="Times New Roman" w:hAnsiTheme="majorHAnsi" w:cstheme="majorHAnsi"/>
          <w:sz w:val="24"/>
          <w:szCs w:val="24"/>
          <w:lang w:eastAsia="ru-RU"/>
        </w:rPr>
        <w:t xml:space="preserve">inisterului </w:t>
      </w:r>
      <w:r w:rsidRPr="00AE29D2">
        <w:rPr>
          <w:rFonts w:asciiTheme="majorHAnsi" w:eastAsia="Times New Roman" w:hAnsiTheme="majorHAnsi" w:cstheme="majorHAnsi"/>
          <w:sz w:val="24"/>
          <w:szCs w:val="24"/>
          <w:lang w:eastAsia="ru-RU"/>
        </w:rPr>
        <w:t>F</w:t>
      </w:r>
      <w:r>
        <w:rPr>
          <w:rFonts w:asciiTheme="majorHAnsi" w:eastAsia="Times New Roman" w:hAnsiTheme="majorHAnsi" w:cstheme="majorHAnsi"/>
          <w:sz w:val="24"/>
          <w:szCs w:val="24"/>
          <w:lang w:eastAsia="ru-RU"/>
        </w:rPr>
        <w:t xml:space="preserve">inanțelor </w:t>
      </w:r>
      <w:r w:rsidRPr="00AE29D2">
        <w:rPr>
          <w:rFonts w:asciiTheme="majorHAnsi" w:eastAsia="Times New Roman" w:hAnsiTheme="majorHAnsi" w:cstheme="majorHAnsi"/>
          <w:sz w:val="24"/>
          <w:szCs w:val="24"/>
          <w:lang w:eastAsia="ru-RU"/>
        </w:rPr>
        <w:t>îi revine funcția de administrator a</w:t>
      </w:r>
      <w:r>
        <w:rPr>
          <w:rFonts w:asciiTheme="majorHAnsi" w:eastAsia="Times New Roman" w:hAnsiTheme="majorHAnsi" w:cstheme="majorHAnsi"/>
          <w:sz w:val="24"/>
          <w:szCs w:val="24"/>
          <w:lang w:eastAsia="ru-RU"/>
        </w:rPr>
        <w:t>l bugetului de stat</w:t>
      </w:r>
      <w:r w:rsidRPr="00AE29D2">
        <w:rPr>
          <w:rFonts w:asciiTheme="majorHAnsi" w:eastAsia="Times New Roman" w:hAnsiTheme="majorHAnsi" w:cstheme="majorHAnsi"/>
          <w:sz w:val="24"/>
          <w:szCs w:val="24"/>
          <w:lang w:eastAsia="ru-RU"/>
        </w:rPr>
        <w:t>.</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eastAsia="ru-RU"/>
        </w:rPr>
      </w:pPr>
      <w:r w:rsidRPr="00AE29D2">
        <w:rPr>
          <w:rFonts w:asciiTheme="majorHAnsi" w:eastAsia="Times New Roman" w:hAnsiTheme="majorHAnsi" w:cstheme="majorHAnsi"/>
          <w:sz w:val="24"/>
          <w:szCs w:val="24"/>
          <w:lang w:eastAsia="ru-RU"/>
        </w:rPr>
        <w:t>Raportul anual privind executarea bugetului de stat pe anul bugetar încheiat, potrivit prevederilor legale</w:t>
      </w:r>
      <w:r w:rsidRPr="00AE29D2">
        <w:rPr>
          <w:rFonts w:asciiTheme="majorHAnsi" w:eastAsia="Times New Roman" w:hAnsiTheme="majorHAnsi" w:cstheme="majorHAnsi"/>
          <w:sz w:val="24"/>
          <w:szCs w:val="24"/>
          <w:vertAlign w:val="superscript"/>
          <w:lang w:eastAsia="ru-RU"/>
        </w:rPr>
        <w:footnoteReference w:id="5"/>
      </w:r>
      <w:r w:rsidRPr="00AE29D2">
        <w:rPr>
          <w:rFonts w:asciiTheme="majorHAnsi" w:eastAsia="Times New Roman" w:hAnsiTheme="majorHAnsi" w:cstheme="majorHAnsi"/>
          <w:sz w:val="24"/>
          <w:szCs w:val="24"/>
          <w:lang w:eastAsia="ru-RU"/>
        </w:rPr>
        <w:t>, se</w:t>
      </w:r>
      <w:r>
        <w:rPr>
          <w:rFonts w:asciiTheme="majorHAnsi" w:eastAsia="Times New Roman" w:hAnsiTheme="majorHAnsi" w:cstheme="majorHAnsi"/>
          <w:sz w:val="24"/>
          <w:szCs w:val="24"/>
          <w:lang w:eastAsia="ru-RU"/>
        </w:rPr>
        <w:t xml:space="preserve"> </w:t>
      </w:r>
      <w:r w:rsidRPr="00AE29D2">
        <w:rPr>
          <w:rFonts w:asciiTheme="majorHAnsi" w:eastAsia="Times New Roman" w:hAnsiTheme="majorHAnsi" w:cstheme="majorHAnsi"/>
          <w:sz w:val="24"/>
          <w:szCs w:val="24"/>
          <w:lang w:eastAsia="ru-RU"/>
        </w:rPr>
        <w:t>întocmeș</w:t>
      </w:r>
      <w:r>
        <w:rPr>
          <w:rFonts w:asciiTheme="majorHAnsi" w:eastAsia="Times New Roman" w:hAnsiTheme="majorHAnsi" w:cstheme="majorHAnsi"/>
          <w:sz w:val="24"/>
          <w:szCs w:val="24"/>
          <w:lang w:eastAsia="ru-RU"/>
        </w:rPr>
        <w:t xml:space="preserve">te și se prezintă </w:t>
      </w:r>
      <w:r w:rsidRPr="00AE29D2">
        <w:rPr>
          <w:rFonts w:asciiTheme="majorHAnsi" w:eastAsia="Times New Roman" w:hAnsiTheme="majorHAnsi" w:cstheme="majorHAnsi"/>
          <w:sz w:val="24"/>
          <w:szCs w:val="24"/>
          <w:lang w:eastAsia="ru-RU"/>
        </w:rPr>
        <w:t>Guvernului</w:t>
      </w:r>
      <w:r>
        <w:rPr>
          <w:rFonts w:asciiTheme="majorHAnsi" w:eastAsia="Times New Roman" w:hAnsiTheme="majorHAnsi" w:cstheme="majorHAnsi"/>
          <w:sz w:val="24"/>
          <w:szCs w:val="24"/>
          <w:lang w:eastAsia="ru-RU"/>
        </w:rPr>
        <w:t xml:space="preserve"> de către MF</w:t>
      </w:r>
      <w:r w:rsidRPr="00AE29D2">
        <w:rPr>
          <w:rFonts w:asciiTheme="majorHAnsi" w:eastAsia="Times New Roman" w:hAnsiTheme="majorHAnsi" w:cstheme="majorHAnsi"/>
          <w:sz w:val="24"/>
          <w:szCs w:val="24"/>
          <w:lang w:eastAsia="ru-RU"/>
        </w:rPr>
        <w:t>, spre examinare și aprobare, iar Guvernul îl prezintă spre aprobare Parlamentului până la 01.06.2019.</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eastAsia="ru-RU"/>
        </w:rPr>
      </w:pPr>
      <w:r w:rsidRPr="00AE29D2">
        <w:rPr>
          <w:rFonts w:asciiTheme="majorHAnsi" w:eastAsia="Times New Roman" w:hAnsiTheme="majorHAnsi" w:cstheme="majorHAnsi"/>
          <w:sz w:val="24"/>
          <w:szCs w:val="24"/>
          <w:lang w:eastAsia="ru-RU"/>
        </w:rPr>
        <w:t xml:space="preserve">Direcția Trezoreria de Stat și trezoreriile regionale ale MF exercită executarea de casă a bugetelor componente ale BPN și asigură reflectarea distinctă, transparentă, exactă și în termen a operațiunilor </w:t>
      </w:r>
      <w:proofErr w:type="spellStart"/>
      <w:r w:rsidRPr="00AE29D2">
        <w:rPr>
          <w:rFonts w:asciiTheme="majorHAnsi" w:eastAsia="Times New Roman" w:hAnsiTheme="majorHAnsi" w:cstheme="majorHAnsi"/>
          <w:sz w:val="24"/>
          <w:szCs w:val="24"/>
          <w:lang w:eastAsia="ru-RU"/>
        </w:rPr>
        <w:t>trezoreriale</w:t>
      </w:r>
      <w:proofErr w:type="spellEnd"/>
      <w:r>
        <w:rPr>
          <w:rFonts w:asciiTheme="majorHAnsi" w:eastAsia="Times New Roman" w:hAnsiTheme="majorHAnsi" w:cstheme="majorHAnsi"/>
          <w:sz w:val="24"/>
          <w:szCs w:val="24"/>
          <w:lang w:eastAsia="ru-RU"/>
        </w:rPr>
        <w:t xml:space="preserve"> </w:t>
      </w:r>
      <w:r w:rsidRPr="00AE29D2">
        <w:rPr>
          <w:rFonts w:asciiTheme="majorHAnsi" w:eastAsia="Times New Roman" w:hAnsiTheme="majorHAnsi" w:cstheme="majorHAnsi"/>
          <w:sz w:val="24"/>
          <w:szCs w:val="24"/>
          <w:lang w:eastAsia="ru-RU"/>
        </w:rPr>
        <w:t xml:space="preserve">în evidența contabilă în baza planului de conturi. Gestionarea mijloacelor BS se efectuează prin contul unic </w:t>
      </w:r>
      <w:proofErr w:type="spellStart"/>
      <w:r w:rsidRPr="00AE29D2">
        <w:rPr>
          <w:rFonts w:asciiTheme="majorHAnsi" w:eastAsia="Times New Roman" w:hAnsiTheme="majorHAnsi" w:cstheme="majorHAnsi"/>
          <w:sz w:val="24"/>
          <w:szCs w:val="24"/>
          <w:lang w:eastAsia="ru-RU"/>
        </w:rPr>
        <w:t>trezorerial</w:t>
      </w:r>
      <w:proofErr w:type="spellEnd"/>
      <w:r w:rsidRPr="00AE29D2">
        <w:rPr>
          <w:rFonts w:asciiTheme="majorHAnsi" w:eastAsia="Times New Roman" w:hAnsiTheme="majorHAnsi" w:cstheme="majorHAnsi"/>
          <w:sz w:val="24"/>
          <w:szCs w:val="24"/>
          <w:lang w:eastAsia="ru-RU"/>
        </w:rPr>
        <w:t>, deschis în sistemul de evidență contabilă al BNM.</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eastAsia="ru-RU"/>
        </w:rPr>
      </w:pPr>
      <w:r w:rsidRPr="00AE29D2">
        <w:rPr>
          <w:rFonts w:asciiTheme="majorHAnsi" w:eastAsia="Times New Roman" w:hAnsiTheme="majorHAnsi" w:cstheme="majorHAnsi"/>
          <w:sz w:val="24"/>
          <w:szCs w:val="24"/>
          <w:lang w:eastAsia="ru-RU"/>
        </w:rPr>
        <w:t>Calendarul activităților pentru întocmirea Raportului anual privind executarea bugetului de stat, inclusiv componența și formatul acestuia, se aprobă prin ordinele ministrului finanțelor</w:t>
      </w:r>
      <w:r w:rsidRPr="00AE29D2">
        <w:rPr>
          <w:rFonts w:asciiTheme="majorHAnsi" w:eastAsia="Times New Roman" w:hAnsiTheme="majorHAnsi" w:cstheme="majorHAnsi"/>
          <w:sz w:val="24"/>
          <w:szCs w:val="24"/>
          <w:vertAlign w:val="superscript"/>
          <w:lang w:eastAsia="ru-RU"/>
        </w:rPr>
        <w:footnoteReference w:id="6"/>
      </w:r>
      <w:r w:rsidRPr="00AE29D2">
        <w:rPr>
          <w:rFonts w:asciiTheme="majorHAnsi" w:eastAsia="Times New Roman" w:hAnsiTheme="majorHAnsi" w:cstheme="majorHAnsi"/>
          <w:sz w:val="24"/>
          <w:szCs w:val="24"/>
          <w:lang w:eastAsia="ru-RU"/>
        </w:rPr>
        <w:t xml:space="preserve">. </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val="en-US" w:eastAsia="ru-RU"/>
        </w:rPr>
      </w:pPr>
      <w:r w:rsidRPr="00AE29D2">
        <w:rPr>
          <w:rFonts w:asciiTheme="majorHAnsi" w:eastAsia="Times New Roman" w:hAnsiTheme="majorHAnsi" w:cstheme="majorHAnsi"/>
          <w:sz w:val="24"/>
          <w:szCs w:val="24"/>
          <w:lang w:eastAsia="ru-RU"/>
        </w:rPr>
        <w:lastRenderedPageBreak/>
        <w:t>Componența și formatul Raportului includ formularele de raportare a executării bugetului de stat în toate aspectele Clasificației bugetare, o notă narativă privind politica bugetar-fiscală și formularul „Raport privind executarea bugetului public național” etc</w:t>
      </w:r>
      <w:r>
        <w:rPr>
          <w:rFonts w:asciiTheme="majorHAnsi" w:eastAsia="Times New Roman" w:hAnsiTheme="majorHAnsi" w:cstheme="majorHAnsi"/>
          <w:sz w:val="24"/>
          <w:szCs w:val="24"/>
          <w:lang w:eastAsia="ru-RU"/>
        </w:rPr>
        <w:t>.</w:t>
      </w:r>
      <w:r w:rsidRPr="00AE29D2">
        <w:rPr>
          <w:rFonts w:asciiTheme="majorHAnsi" w:eastAsia="Times New Roman" w:hAnsiTheme="majorHAnsi" w:cstheme="majorHAnsi"/>
          <w:sz w:val="24"/>
          <w:szCs w:val="24"/>
          <w:lang w:eastAsia="ru-RU"/>
        </w:rPr>
        <w:t xml:space="preserve"> </w:t>
      </w:r>
      <w:r w:rsidRPr="00FB186A">
        <w:rPr>
          <w:rFonts w:asciiTheme="majorHAnsi" w:eastAsia="Times New Roman" w:hAnsiTheme="majorHAnsi" w:cstheme="majorHAnsi"/>
          <w:i/>
          <w:sz w:val="24"/>
          <w:szCs w:val="24"/>
          <w:lang w:eastAsia="ru-RU"/>
        </w:rPr>
        <w:t>(</w:t>
      </w:r>
      <w:r w:rsidRPr="00F930EE">
        <w:rPr>
          <w:rFonts w:asciiTheme="majorHAnsi" w:eastAsia="Times New Roman" w:hAnsiTheme="majorHAnsi" w:cstheme="majorHAnsi"/>
          <w:i/>
          <w:sz w:val="24"/>
          <w:szCs w:val="24"/>
          <w:lang w:eastAsia="ru-RU"/>
        </w:rPr>
        <w:t>denumirea completă a ac</w:t>
      </w:r>
      <w:r w:rsidRPr="0001736A">
        <w:rPr>
          <w:rFonts w:asciiTheme="majorHAnsi" w:eastAsia="Times New Roman" w:hAnsiTheme="majorHAnsi" w:cstheme="majorHAnsi"/>
          <w:i/>
          <w:sz w:val="24"/>
          <w:szCs w:val="24"/>
          <w:lang w:eastAsia="ru-RU"/>
        </w:rPr>
        <w:t xml:space="preserve">estora </w:t>
      </w:r>
      <w:r w:rsidRPr="00A1775E">
        <w:rPr>
          <w:rFonts w:asciiTheme="majorHAnsi" w:eastAsia="Times New Roman" w:hAnsiTheme="majorHAnsi" w:cstheme="majorHAnsi"/>
          <w:i/>
          <w:sz w:val="24"/>
          <w:szCs w:val="24"/>
          <w:lang w:eastAsia="ru-RU"/>
        </w:rPr>
        <w:t>este prezentată în Anexa nr.1 la prezentul Raport de audit)</w:t>
      </w:r>
      <w:r w:rsidRPr="00AE29D2">
        <w:rPr>
          <w:rFonts w:asciiTheme="majorHAnsi" w:eastAsia="Times New Roman" w:hAnsiTheme="majorHAnsi" w:cstheme="majorHAnsi"/>
          <w:i/>
          <w:sz w:val="24"/>
          <w:szCs w:val="24"/>
          <w:lang w:eastAsia="ru-RU"/>
        </w:rPr>
        <w:t>.</w:t>
      </w:r>
    </w:p>
    <w:p w:rsidR="00E91BDB" w:rsidRPr="00F121E5" w:rsidRDefault="00E91BDB" w:rsidP="00E91BDB">
      <w:pPr>
        <w:shd w:val="clear" w:color="auto" w:fill="FFFFFF"/>
        <w:tabs>
          <w:tab w:val="left" w:pos="9355"/>
        </w:tabs>
        <w:spacing w:after="0" w:line="276" w:lineRule="auto"/>
        <w:ind w:left="34" w:right="-5" w:firstLine="706"/>
        <w:jc w:val="both"/>
        <w:rPr>
          <w:rFonts w:asciiTheme="majorHAnsi" w:hAnsiTheme="majorHAnsi" w:cstheme="majorHAnsi"/>
          <w:sz w:val="24"/>
          <w:szCs w:val="24"/>
        </w:rPr>
      </w:pPr>
      <w:r w:rsidRPr="00AE29D2">
        <w:rPr>
          <w:rFonts w:asciiTheme="majorHAnsi" w:hAnsiTheme="majorHAnsi" w:cstheme="majorHAnsi"/>
          <w:sz w:val="24"/>
          <w:szCs w:val="24"/>
        </w:rPr>
        <w:t>Potrivit Raportului privind executarea bugetului public național pe anul 2018</w:t>
      </w:r>
      <w:r w:rsidRPr="00AE29D2">
        <w:rPr>
          <w:rFonts w:asciiTheme="majorHAnsi" w:hAnsiTheme="majorHAnsi" w:cstheme="majorHAnsi"/>
          <w:sz w:val="24"/>
          <w:szCs w:val="24"/>
          <w:vertAlign w:val="superscript"/>
        </w:rPr>
        <w:footnoteReference w:id="7"/>
      </w:r>
      <w:r w:rsidRPr="00AE29D2">
        <w:rPr>
          <w:rFonts w:asciiTheme="majorHAnsi" w:hAnsiTheme="majorHAnsi" w:cstheme="majorHAnsi"/>
          <w:sz w:val="24"/>
          <w:szCs w:val="24"/>
        </w:rPr>
        <w:t xml:space="preserve">, </w:t>
      </w:r>
      <w:r w:rsidR="00364452" w:rsidRPr="00364452">
        <w:rPr>
          <w:rFonts w:asciiTheme="majorHAnsi" w:hAnsiTheme="majorHAnsi" w:cstheme="majorHAnsi"/>
          <w:sz w:val="24"/>
          <w:szCs w:val="24"/>
        </w:rPr>
        <w:t>în</w:t>
      </w:r>
      <w:r w:rsidR="00524FD8" w:rsidRPr="00364452">
        <w:rPr>
          <w:rFonts w:asciiTheme="majorHAnsi" w:hAnsiTheme="majorHAnsi" w:cstheme="majorHAnsi"/>
          <w:sz w:val="24"/>
          <w:szCs w:val="24"/>
        </w:rPr>
        <w:t xml:space="preserve"> </w:t>
      </w:r>
      <w:r w:rsidR="00364452" w:rsidRPr="00364452">
        <w:rPr>
          <w:rFonts w:asciiTheme="majorHAnsi" w:hAnsiTheme="majorHAnsi" w:cstheme="majorHAnsi"/>
          <w:sz w:val="24"/>
          <w:szCs w:val="24"/>
        </w:rPr>
        <w:t>BS</w:t>
      </w:r>
      <w:r w:rsidR="00364452">
        <w:rPr>
          <w:rFonts w:asciiTheme="majorHAnsi" w:hAnsiTheme="majorHAnsi" w:cstheme="majorHAnsi"/>
          <w:sz w:val="24"/>
          <w:szCs w:val="24"/>
        </w:rPr>
        <w:t xml:space="preserve"> </w:t>
      </w:r>
      <w:r w:rsidRPr="00AE29D2">
        <w:rPr>
          <w:rFonts w:asciiTheme="majorHAnsi" w:hAnsiTheme="majorHAnsi" w:cstheme="majorHAnsi"/>
          <w:sz w:val="24"/>
          <w:szCs w:val="24"/>
        </w:rPr>
        <w:t>au fost încasate venituri în sumă totală de 57 995,9 mil.</w:t>
      </w:r>
      <w:r>
        <w:rPr>
          <w:rFonts w:asciiTheme="majorHAnsi" w:hAnsiTheme="majorHAnsi" w:cstheme="majorHAnsi"/>
          <w:sz w:val="24"/>
          <w:szCs w:val="24"/>
        </w:rPr>
        <w:t xml:space="preserve"> MDL</w:t>
      </w:r>
      <w:r w:rsidRPr="00AE29D2">
        <w:rPr>
          <w:rFonts w:asciiTheme="majorHAnsi" w:hAnsiTheme="majorHAnsi" w:cstheme="majorHAnsi"/>
          <w:sz w:val="24"/>
          <w:szCs w:val="24"/>
        </w:rPr>
        <w:t>, ceea ce reprezintă 30,5% din PIB. Veniturile BPN</w:t>
      </w:r>
      <w:r>
        <w:rPr>
          <w:rFonts w:asciiTheme="majorHAnsi" w:hAnsiTheme="majorHAnsi" w:cstheme="majorHAnsi"/>
          <w:sz w:val="24"/>
          <w:szCs w:val="24"/>
        </w:rPr>
        <w:t>,</w:t>
      </w:r>
      <w:r w:rsidRPr="00AE29D2">
        <w:rPr>
          <w:rFonts w:asciiTheme="majorHAnsi" w:hAnsiTheme="majorHAnsi" w:cstheme="majorHAnsi"/>
          <w:sz w:val="24"/>
          <w:szCs w:val="24"/>
        </w:rPr>
        <w:t xml:space="preserve"> în comparație cu indicatorii precizați</w:t>
      </w:r>
      <w:r>
        <w:rPr>
          <w:rFonts w:asciiTheme="majorHAnsi" w:hAnsiTheme="majorHAnsi" w:cstheme="majorHAnsi"/>
          <w:sz w:val="24"/>
          <w:szCs w:val="24"/>
        </w:rPr>
        <w:t>,</w:t>
      </w:r>
      <w:r w:rsidRPr="00AE29D2">
        <w:rPr>
          <w:rFonts w:asciiTheme="majorHAnsi" w:hAnsiTheme="majorHAnsi" w:cstheme="majorHAnsi"/>
          <w:sz w:val="24"/>
          <w:szCs w:val="24"/>
        </w:rPr>
        <w:t xml:space="preserve"> au înregistrat o descreștere cu 0,2%, echivalentă cu (-123,1</w:t>
      </w:r>
      <w:r w:rsidR="00524FD8">
        <w:rPr>
          <w:rFonts w:asciiTheme="majorHAnsi" w:hAnsiTheme="majorHAnsi" w:cstheme="majorHAnsi"/>
          <w:sz w:val="24"/>
          <w:szCs w:val="24"/>
        </w:rPr>
        <w:t>)</w:t>
      </w:r>
      <w:r w:rsidRPr="00AE29D2">
        <w:rPr>
          <w:rFonts w:asciiTheme="majorHAnsi" w:hAnsiTheme="majorHAnsi" w:cstheme="majorHAnsi"/>
          <w:sz w:val="24"/>
          <w:szCs w:val="24"/>
        </w:rPr>
        <w:t xml:space="preserve"> mil.</w:t>
      </w:r>
      <w:r>
        <w:rPr>
          <w:rFonts w:asciiTheme="majorHAnsi" w:hAnsiTheme="majorHAnsi" w:cstheme="majorHAnsi"/>
          <w:sz w:val="24"/>
          <w:szCs w:val="24"/>
        </w:rPr>
        <w:t xml:space="preserve"> MDL</w:t>
      </w:r>
      <w:r w:rsidRPr="00AE29D2">
        <w:rPr>
          <w:rFonts w:asciiTheme="majorHAnsi" w:hAnsiTheme="majorHAnsi" w:cstheme="majorHAnsi"/>
          <w:sz w:val="24"/>
          <w:szCs w:val="24"/>
        </w:rPr>
        <w:t>. Totodată</w:t>
      </w:r>
      <w:r>
        <w:rPr>
          <w:rFonts w:asciiTheme="majorHAnsi" w:hAnsiTheme="majorHAnsi" w:cstheme="majorHAnsi"/>
          <w:sz w:val="24"/>
          <w:szCs w:val="24"/>
        </w:rPr>
        <w:t>,</w:t>
      </w:r>
      <w:r w:rsidRPr="00AE29D2">
        <w:rPr>
          <w:rFonts w:asciiTheme="majorHAnsi" w:hAnsiTheme="majorHAnsi" w:cstheme="majorHAnsi"/>
          <w:sz w:val="24"/>
          <w:szCs w:val="24"/>
        </w:rPr>
        <w:t xml:space="preserve"> comparativ cu anul 2017, veniturile încasate în BPN au fost în creștere cu 8,7%, sau cu 4</w:t>
      </w:r>
      <w:r>
        <w:rPr>
          <w:rFonts w:asciiTheme="majorHAnsi" w:hAnsiTheme="majorHAnsi" w:cstheme="majorHAnsi"/>
          <w:sz w:val="24"/>
          <w:szCs w:val="24"/>
        </w:rPr>
        <w:t xml:space="preserve"> </w:t>
      </w:r>
      <w:r w:rsidRPr="00AE29D2">
        <w:rPr>
          <w:rFonts w:asciiTheme="majorHAnsi" w:hAnsiTheme="majorHAnsi" w:cstheme="majorHAnsi"/>
          <w:sz w:val="24"/>
          <w:szCs w:val="24"/>
        </w:rPr>
        <w:t>618,3 mil.</w:t>
      </w:r>
      <w:r>
        <w:rPr>
          <w:rFonts w:asciiTheme="majorHAnsi" w:hAnsiTheme="majorHAnsi" w:cstheme="majorHAnsi"/>
          <w:sz w:val="24"/>
          <w:szCs w:val="24"/>
        </w:rPr>
        <w:t xml:space="preserve"> MDL</w:t>
      </w:r>
      <w:r w:rsidRPr="00AE29D2">
        <w:rPr>
          <w:rFonts w:asciiTheme="majorHAnsi" w:hAnsiTheme="majorHAnsi" w:cstheme="majorHAnsi"/>
          <w:sz w:val="24"/>
          <w:szCs w:val="24"/>
        </w:rPr>
        <w:t>.</w:t>
      </w:r>
      <w:r w:rsidRPr="00AE29D2">
        <w:rPr>
          <w:rFonts w:asciiTheme="majorHAnsi" w:eastAsia="Times New Roman" w:hAnsiTheme="majorHAnsi" w:cstheme="majorHAnsi"/>
          <w:color w:val="000000"/>
          <w:spacing w:val="-1"/>
          <w:sz w:val="24"/>
          <w:szCs w:val="24"/>
          <w:lang w:eastAsia="ru-RU"/>
        </w:rPr>
        <w:t xml:space="preserve"> </w:t>
      </w:r>
      <w:r w:rsidRPr="00AE29D2">
        <w:rPr>
          <w:rFonts w:asciiTheme="majorHAnsi" w:eastAsia="Times New Roman" w:hAnsiTheme="majorHAnsi" w:cstheme="majorHAnsi"/>
          <w:i/>
          <w:color w:val="000000"/>
          <w:spacing w:val="-1"/>
          <w:sz w:val="24"/>
          <w:szCs w:val="24"/>
          <w:lang w:eastAsia="ru-RU"/>
        </w:rPr>
        <w:t>Executarea principalilor indicatori ai BPN pe anul 2018 s</w:t>
      </w:r>
      <w:r>
        <w:rPr>
          <w:rFonts w:asciiTheme="majorHAnsi" w:eastAsia="Times New Roman" w:hAnsiTheme="majorHAnsi" w:cstheme="majorHAnsi"/>
          <w:i/>
          <w:color w:val="000000"/>
          <w:spacing w:val="-1"/>
          <w:sz w:val="24"/>
          <w:szCs w:val="24"/>
          <w:lang w:eastAsia="ru-RU"/>
        </w:rPr>
        <w:t>e prezintă în Tabelul nr.1.</w:t>
      </w:r>
    </w:p>
    <w:p w:rsidR="00E91BDB" w:rsidRPr="00742117" w:rsidRDefault="00E91BDB" w:rsidP="00E91BDB">
      <w:pPr>
        <w:spacing w:after="0" w:line="276" w:lineRule="auto"/>
        <w:ind w:firstLine="709"/>
        <w:jc w:val="right"/>
        <w:rPr>
          <w:rFonts w:asciiTheme="majorHAnsi" w:hAnsiTheme="majorHAnsi" w:cstheme="majorHAnsi"/>
          <w:i/>
          <w:sz w:val="24"/>
          <w:szCs w:val="24"/>
        </w:rPr>
      </w:pPr>
      <w:r w:rsidRPr="00742117">
        <w:rPr>
          <w:rFonts w:asciiTheme="majorHAnsi" w:hAnsiTheme="majorHAnsi" w:cstheme="majorHAnsi"/>
          <w:i/>
          <w:sz w:val="24"/>
          <w:szCs w:val="24"/>
        </w:rPr>
        <w:t>Tabelul nr.1</w:t>
      </w:r>
    </w:p>
    <w:p w:rsidR="00E91BDB" w:rsidRPr="00742117" w:rsidRDefault="00E91BDB" w:rsidP="00E91BDB">
      <w:pPr>
        <w:spacing w:after="0" w:line="276" w:lineRule="auto"/>
        <w:jc w:val="center"/>
        <w:rPr>
          <w:rFonts w:asciiTheme="majorHAnsi" w:hAnsiTheme="majorHAnsi" w:cstheme="majorHAnsi"/>
          <w:b/>
          <w:sz w:val="24"/>
          <w:szCs w:val="24"/>
        </w:rPr>
      </w:pPr>
      <w:r w:rsidRPr="00742117">
        <w:rPr>
          <w:rFonts w:asciiTheme="majorHAnsi" w:hAnsiTheme="majorHAnsi" w:cstheme="majorHAnsi"/>
          <w:b/>
          <w:sz w:val="24"/>
          <w:szCs w:val="24"/>
        </w:rPr>
        <w:t xml:space="preserve">Executarea principalilor indicatori ai BPN pe tipuri de bugete </w:t>
      </w:r>
      <w:r>
        <w:rPr>
          <w:rFonts w:asciiTheme="majorHAnsi" w:hAnsiTheme="majorHAnsi" w:cstheme="majorHAnsi"/>
          <w:b/>
          <w:sz w:val="24"/>
          <w:szCs w:val="24"/>
        </w:rPr>
        <w:t>în</w:t>
      </w:r>
      <w:r w:rsidRPr="00742117">
        <w:rPr>
          <w:rFonts w:asciiTheme="majorHAnsi" w:hAnsiTheme="majorHAnsi" w:cstheme="majorHAnsi"/>
          <w:b/>
          <w:sz w:val="24"/>
          <w:szCs w:val="24"/>
        </w:rPr>
        <w:t xml:space="preserve"> anul 2018, comparativ cu anul 2017, și ponderea acestora în PIB</w:t>
      </w:r>
    </w:p>
    <w:p w:rsidR="00E91BDB" w:rsidRPr="00742117" w:rsidRDefault="00E91BDB" w:rsidP="00E91BDB">
      <w:pPr>
        <w:spacing w:after="0" w:line="276" w:lineRule="auto"/>
        <w:jc w:val="right"/>
        <w:rPr>
          <w:rFonts w:asciiTheme="majorHAnsi" w:eastAsia="Times New Roman" w:hAnsiTheme="majorHAnsi" w:cstheme="majorHAnsi"/>
          <w:b/>
          <w:iCs/>
          <w:color w:val="000000"/>
          <w:spacing w:val="2"/>
          <w:sz w:val="24"/>
          <w:szCs w:val="24"/>
          <w:lang w:eastAsia="ru-RU"/>
        </w:rPr>
      </w:pPr>
      <w:r>
        <w:rPr>
          <w:rFonts w:asciiTheme="majorHAnsi" w:hAnsiTheme="majorHAnsi" w:cstheme="majorHAnsi"/>
          <w:b/>
          <w:sz w:val="24"/>
          <w:szCs w:val="24"/>
        </w:rPr>
        <w:t xml:space="preserve">                             </w:t>
      </w:r>
      <w:r w:rsidRPr="00742117">
        <w:rPr>
          <w:rFonts w:asciiTheme="majorHAnsi" w:eastAsia="Times New Roman" w:hAnsiTheme="majorHAnsi" w:cstheme="majorHAnsi"/>
          <w:b/>
          <w:iCs/>
          <w:color w:val="000000"/>
          <w:spacing w:val="2"/>
          <w:sz w:val="24"/>
          <w:szCs w:val="24"/>
          <w:lang w:eastAsia="ru-RU"/>
        </w:rPr>
        <w:t>(</w:t>
      </w:r>
      <w:r w:rsidRPr="00742117">
        <w:rPr>
          <w:rFonts w:asciiTheme="majorHAnsi" w:eastAsia="Times New Roman" w:hAnsiTheme="majorHAnsi" w:cstheme="majorHAnsi"/>
          <w:b/>
          <w:bCs/>
          <w:color w:val="000000"/>
          <w:spacing w:val="-3"/>
          <w:sz w:val="24"/>
          <w:szCs w:val="24"/>
          <w:lang w:eastAsia="ru-RU"/>
        </w:rPr>
        <w:t>mil.</w:t>
      </w:r>
      <w:r>
        <w:rPr>
          <w:rFonts w:asciiTheme="majorHAnsi" w:eastAsia="Times New Roman" w:hAnsiTheme="majorHAnsi" w:cstheme="majorHAnsi"/>
          <w:b/>
          <w:bCs/>
          <w:color w:val="000000"/>
          <w:spacing w:val="-3"/>
          <w:sz w:val="24"/>
          <w:szCs w:val="24"/>
          <w:lang w:eastAsia="ru-RU"/>
        </w:rPr>
        <w:t xml:space="preserve"> MDL</w:t>
      </w:r>
      <w:r w:rsidRPr="00742117">
        <w:rPr>
          <w:rFonts w:asciiTheme="majorHAnsi" w:eastAsia="Times New Roman" w:hAnsiTheme="majorHAnsi" w:cstheme="majorHAnsi"/>
          <w:b/>
          <w:bCs/>
          <w:color w:val="000000"/>
          <w:spacing w:val="-3"/>
          <w:sz w:val="24"/>
          <w:szCs w:val="24"/>
          <w:lang w:eastAsia="ru-RU"/>
        </w:rPr>
        <w:t xml:space="preserve">) </w:t>
      </w:r>
    </w:p>
    <w:tbl>
      <w:tblPr>
        <w:tblStyle w:val="GridTable4-Accent61"/>
        <w:tblW w:w="10246" w:type="dxa"/>
        <w:jc w:val="center"/>
        <w:tblLayout w:type="fixed"/>
        <w:tblLook w:val="04A0" w:firstRow="1" w:lastRow="0" w:firstColumn="1" w:lastColumn="0" w:noHBand="0" w:noVBand="1"/>
      </w:tblPr>
      <w:tblGrid>
        <w:gridCol w:w="1129"/>
        <w:gridCol w:w="1134"/>
        <w:gridCol w:w="993"/>
        <w:gridCol w:w="1133"/>
        <w:gridCol w:w="989"/>
        <w:gridCol w:w="10"/>
        <w:gridCol w:w="1170"/>
        <w:gridCol w:w="10"/>
        <w:gridCol w:w="983"/>
        <w:gridCol w:w="992"/>
        <w:gridCol w:w="10"/>
        <w:gridCol w:w="840"/>
        <w:gridCol w:w="808"/>
        <w:gridCol w:w="45"/>
      </w:tblGrid>
      <w:tr w:rsidR="00E91BDB" w:rsidRPr="0060742A" w:rsidTr="00524FD8">
        <w:trPr>
          <w:gridAfter w:val="1"/>
          <w:cnfStyle w:val="100000000000" w:firstRow="1" w:lastRow="0" w:firstColumn="0" w:lastColumn="0" w:oddVBand="0" w:evenVBand="0" w:oddHBand="0"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70AD47" w:themeColor="accent6"/>
            </w:tcBorders>
            <w:shd w:val="clear" w:color="auto" w:fill="556B45"/>
            <w:vAlign w:val="center"/>
            <w:hideMark/>
          </w:tcPr>
          <w:p w:rsidR="00E91BDB" w:rsidRPr="0060742A" w:rsidRDefault="00E91BDB" w:rsidP="00524FD8">
            <w:pPr>
              <w:ind w:left="-120"/>
              <w:jc w:val="center"/>
              <w:rPr>
                <w:rFonts w:asciiTheme="majorHAnsi" w:eastAsia="Times New Roman" w:hAnsiTheme="majorHAnsi" w:cstheme="majorHAnsi"/>
                <w:lang w:val="ru-RU" w:eastAsia="ru-RU"/>
              </w:rPr>
            </w:pPr>
            <w:r w:rsidRPr="0060742A">
              <w:rPr>
                <w:rFonts w:asciiTheme="majorHAnsi" w:eastAsia="Times New Roman" w:hAnsiTheme="majorHAnsi" w:cstheme="majorHAnsi"/>
                <w:lang w:eastAsia="ru-RU"/>
              </w:rPr>
              <w:t>Indicatori</w:t>
            </w:r>
          </w:p>
        </w:tc>
        <w:tc>
          <w:tcPr>
            <w:tcW w:w="1134" w:type="dxa"/>
            <w:vMerge w:val="restart"/>
            <w:tcBorders>
              <w:left w:val="single" w:sz="4" w:space="0" w:color="70AD47" w:themeColor="accent6"/>
              <w:right w:val="single" w:sz="4" w:space="0" w:color="70AD47" w:themeColor="accent6"/>
            </w:tcBorders>
            <w:shd w:val="clear" w:color="auto" w:fill="556B45"/>
            <w:vAlign w:val="center"/>
          </w:tcPr>
          <w:p w:rsidR="00E91BDB" w:rsidRPr="0060742A" w:rsidRDefault="00E91BDB" w:rsidP="00524FD8">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Precizat pe an</w:t>
            </w:r>
          </w:p>
        </w:tc>
        <w:tc>
          <w:tcPr>
            <w:tcW w:w="993" w:type="dxa"/>
            <w:vMerge w:val="restart"/>
            <w:tcBorders>
              <w:left w:val="single" w:sz="4" w:space="0" w:color="70AD47" w:themeColor="accent6"/>
              <w:right w:val="single" w:sz="4" w:space="0" w:color="70AD47" w:themeColor="accent6"/>
            </w:tcBorders>
            <w:shd w:val="clear" w:color="auto" w:fill="556B45"/>
            <w:vAlign w:val="center"/>
          </w:tcPr>
          <w:p w:rsidR="00E91BDB" w:rsidRPr="0060742A" w:rsidRDefault="00E91BDB" w:rsidP="00524FD8">
            <w:pPr>
              <w:ind w:left="-101"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Executat în anul 2018</w:t>
            </w:r>
          </w:p>
        </w:tc>
        <w:tc>
          <w:tcPr>
            <w:tcW w:w="2132" w:type="dxa"/>
            <w:gridSpan w:val="3"/>
            <w:tcBorders>
              <w:left w:val="single" w:sz="4" w:space="0" w:color="70AD47" w:themeColor="accent6"/>
              <w:right w:val="single" w:sz="4" w:space="0" w:color="70AD47" w:themeColor="accent6"/>
            </w:tcBorders>
            <w:shd w:val="clear" w:color="auto" w:fill="556B45"/>
          </w:tcPr>
          <w:p w:rsidR="00E91BDB" w:rsidRPr="0060742A" w:rsidRDefault="00E91BDB" w:rsidP="00524F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Executat față de precizat</w:t>
            </w:r>
          </w:p>
        </w:tc>
        <w:tc>
          <w:tcPr>
            <w:tcW w:w="1180" w:type="dxa"/>
            <w:gridSpan w:val="2"/>
            <w:tcBorders>
              <w:left w:val="single" w:sz="4" w:space="0" w:color="70AD47" w:themeColor="accent6"/>
              <w:right w:val="single" w:sz="4" w:space="0" w:color="70AD47" w:themeColor="accent6"/>
            </w:tcBorders>
            <w:shd w:val="clear" w:color="auto" w:fill="556B45"/>
            <w:vAlign w:val="center"/>
            <w:hideMark/>
          </w:tcPr>
          <w:p w:rsidR="00E91BDB" w:rsidRPr="0060742A" w:rsidRDefault="00E91BDB" w:rsidP="00524FD8">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Executat</w:t>
            </w:r>
          </w:p>
          <w:p w:rsidR="00E91BDB" w:rsidRPr="0060742A" w:rsidRDefault="00E91BDB" w:rsidP="00524FD8">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anul 2017</w:t>
            </w:r>
          </w:p>
        </w:tc>
        <w:tc>
          <w:tcPr>
            <w:tcW w:w="1985" w:type="dxa"/>
            <w:gridSpan w:val="3"/>
            <w:tcBorders>
              <w:left w:val="single" w:sz="4" w:space="0" w:color="70AD47" w:themeColor="accent6"/>
              <w:right w:val="single" w:sz="4" w:space="0" w:color="70AD47" w:themeColor="accent6"/>
            </w:tcBorders>
            <w:shd w:val="clear" w:color="auto" w:fill="556B45"/>
            <w:vAlign w:val="center"/>
            <w:hideMark/>
          </w:tcPr>
          <w:p w:rsidR="00E91BDB" w:rsidRPr="0060742A" w:rsidRDefault="00E91BDB" w:rsidP="00524F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Executat în 2018 față de 2017</w:t>
            </w:r>
          </w:p>
        </w:tc>
        <w:tc>
          <w:tcPr>
            <w:tcW w:w="1648" w:type="dxa"/>
            <w:gridSpan w:val="2"/>
            <w:tcBorders>
              <w:left w:val="single" w:sz="4" w:space="0" w:color="70AD47" w:themeColor="accent6"/>
            </w:tcBorders>
            <w:shd w:val="clear" w:color="auto" w:fill="556B45"/>
            <w:vAlign w:val="center"/>
            <w:hideMark/>
          </w:tcPr>
          <w:p w:rsidR="00E91BDB" w:rsidRPr="0060742A" w:rsidRDefault="00E91BDB" w:rsidP="00524F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60742A">
              <w:rPr>
                <w:rFonts w:asciiTheme="majorHAnsi" w:eastAsia="Times New Roman" w:hAnsiTheme="majorHAnsi" w:cstheme="majorHAnsi"/>
                <w:lang w:eastAsia="ru-RU"/>
              </w:rPr>
              <w:t>Ponderea în PIB (%)</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70AD47" w:themeColor="accent6"/>
            </w:tcBorders>
            <w:shd w:val="clear" w:color="auto" w:fill="556B45"/>
            <w:hideMark/>
          </w:tcPr>
          <w:p w:rsidR="00E91BDB" w:rsidRPr="0060742A" w:rsidRDefault="00E91BDB" w:rsidP="00524FD8">
            <w:pPr>
              <w:rPr>
                <w:rFonts w:asciiTheme="majorHAnsi" w:eastAsia="Times New Roman" w:hAnsiTheme="majorHAnsi" w:cstheme="majorHAnsi"/>
                <w:color w:val="FFFFFF" w:themeColor="background1"/>
                <w:lang w:eastAsia="ru-RU"/>
              </w:rPr>
            </w:pPr>
          </w:p>
        </w:tc>
        <w:tc>
          <w:tcPr>
            <w:tcW w:w="1134" w:type="dxa"/>
            <w:vMerge/>
            <w:tcBorders>
              <w:left w:val="single" w:sz="4" w:space="0" w:color="70AD47" w:themeColor="accent6"/>
              <w:right w:val="single" w:sz="4" w:space="0" w:color="70AD47" w:themeColor="accent6"/>
            </w:tcBorders>
            <w:shd w:val="clear" w:color="auto" w:fill="556B45"/>
            <w:vAlign w:val="center"/>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p>
        </w:tc>
        <w:tc>
          <w:tcPr>
            <w:tcW w:w="993" w:type="dxa"/>
            <w:vMerge/>
            <w:tcBorders>
              <w:left w:val="single" w:sz="4" w:space="0" w:color="70AD47" w:themeColor="accent6"/>
              <w:right w:val="single" w:sz="4" w:space="0" w:color="70AD47" w:themeColor="accent6"/>
            </w:tcBorders>
            <w:shd w:val="clear" w:color="auto" w:fill="556B45"/>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p>
        </w:tc>
        <w:tc>
          <w:tcPr>
            <w:tcW w:w="1133" w:type="dxa"/>
            <w:tcBorders>
              <w:left w:val="single" w:sz="4" w:space="0" w:color="70AD47" w:themeColor="accent6"/>
              <w:right w:val="single" w:sz="4" w:space="0" w:color="70AD47" w:themeColor="accent6"/>
            </w:tcBorders>
            <w:shd w:val="clear" w:color="auto" w:fill="556B45"/>
            <w:vAlign w:val="center"/>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suma (+/-)</w:t>
            </w:r>
          </w:p>
        </w:tc>
        <w:tc>
          <w:tcPr>
            <w:tcW w:w="989" w:type="dxa"/>
            <w:tcBorders>
              <w:left w:val="single" w:sz="4" w:space="0" w:color="70AD47" w:themeColor="accent6"/>
              <w:right w:val="single" w:sz="4" w:space="0" w:color="70AD47" w:themeColor="accent6"/>
            </w:tcBorders>
            <w:shd w:val="clear" w:color="auto" w:fill="556B45"/>
            <w:vAlign w:val="center"/>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w:t>
            </w:r>
          </w:p>
        </w:tc>
        <w:tc>
          <w:tcPr>
            <w:tcW w:w="1180" w:type="dxa"/>
            <w:gridSpan w:val="2"/>
            <w:tcBorders>
              <w:left w:val="single" w:sz="4" w:space="0" w:color="70AD47" w:themeColor="accent6"/>
              <w:right w:val="single" w:sz="4" w:space="0" w:color="70AD47" w:themeColor="accent6"/>
            </w:tcBorders>
            <w:shd w:val="clear" w:color="auto" w:fill="556B45"/>
            <w:vAlign w:val="center"/>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p>
        </w:tc>
        <w:tc>
          <w:tcPr>
            <w:tcW w:w="993" w:type="dxa"/>
            <w:gridSpan w:val="2"/>
            <w:tcBorders>
              <w:left w:val="single" w:sz="4" w:space="0" w:color="70AD47" w:themeColor="accent6"/>
            </w:tcBorders>
            <w:shd w:val="clear" w:color="auto" w:fill="556B45"/>
            <w:vAlign w:val="center"/>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suma (+/-)</w:t>
            </w:r>
          </w:p>
        </w:tc>
        <w:tc>
          <w:tcPr>
            <w:tcW w:w="992" w:type="dxa"/>
            <w:shd w:val="clear" w:color="auto" w:fill="556B45"/>
            <w:vAlign w:val="center"/>
            <w:hideMark/>
          </w:tcPr>
          <w:p w:rsidR="00E91BDB" w:rsidRPr="0060742A" w:rsidRDefault="00E91BDB" w:rsidP="00524FD8">
            <w:pPr>
              <w:ind w:left="-104" w:right="-107"/>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w:t>
            </w:r>
          </w:p>
        </w:tc>
        <w:tc>
          <w:tcPr>
            <w:tcW w:w="850" w:type="dxa"/>
            <w:gridSpan w:val="2"/>
            <w:shd w:val="clear" w:color="auto" w:fill="556B45"/>
            <w:vAlign w:val="center"/>
            <w:hideMark/>
          </w:tcPr>
          <w:p w:rsidR="00E91BDB" w:rsidRPr="0060742A" w:rsidRDefault="00E91BDB" w:rsidP="00524FD8">
            <w:pPr>
              <w:ind w:left="-8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2017*</w:t>
            </w:r>
          </w:p>
        </w:tc>
        <w:tc>
          <w:tcPr>
            <w:tcW w:w="808" w:type="dxa"/>
            <w:shd w:val="clear" w:color="auto" w:fill="556B45"/>
            <w:vAlign w:val="center"/>
            <w:hideMark/>
          </w:tcPr>
          <w:p w:rsidR="00E91BDB" w:rsidRPr="0060742A" w:rsidRDefault="00E91BDB" w:rsidP="00524FD8">
            <w:pPr>
              <w:ind w:left="-107" w:right="-11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eastAsia="ru-RU"/>
              </w:rPr>
            </w:pPr>
            <w:r w:rsidRPr="0060742A">
              <w:rPr>
                <w:rFonts w:asciiTheme="majorHAnsi" w:eastAsia="Times New Roman" w:hAnsiTheme="majorHAnsi" w:cstheme="majorHAnsi"/>
                <w:b/>
                <w:bCs/>
                <w:color w:val="FFFFFF" w:themeColor="background1"/>
                <w:lang w:eastAsia="ru-RU"/>
              </w:rPr>
              <w:t>2018**</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E91BDB" w:rsidRPr="001E58AF" w:rsidRDefault="00E91BDB" w:rsidP="00524FD8">
            <w:pPr>
              <w:jc w:val="center"/>
              <w:rPr>
                <w:rFonts w:asciiTheme="majorHAnsi" w:eastAsia="Times New Roman" w:hAnsiTheme="majorHAnsi" w:cstheme="majorHAnsi"/>
                <w:b w:val="0"/>
                <w:i/>
                <w:color w:val="000000"/>
                <w:sz w:val="16"/>
                <w:szCs w:val="16"/>
                <w:lang w:eastAsia="ru-RU"/>
              </w:rPr>
            </w:pPr>
            <w:r w:rsidRPr="001E58AF">
              <w:rPr>
                <w:rFonts w:asciiTheme="majorHAnsi" w:eastAsia="Times New Roman" w:hAnsiTheme="majorHAnsi" w:cstheme="majorHAnsi"/>
                <w:b w:val="0"/>
                <w:i/>
                <w:color w:val="000000"/>
                <w:sz w:val="16"/>
                <w:szCs w:val="16"/>
                <w:lang w:eastAsia="ru-RU"/>
              </w:rPr>
              <w:t>1</w:t>
            </w:r>
          </w:p>
        </w:tc>
        <w:tc>
          <w:tcPr>
            <w:tcW w:w="1134" w:type="dxa"/>
            <w:vAlign w:val="center"/>
          </w:tcPr>
          <w:p w:rsidR="00E91BDB" w:rsidRPr="001E58AF"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2</w:t>
            </w:r>
          </w:p>
        </w:tc>
        <w:tc>
          <w:tcPr>
            <w:tcW w:w="993" w:type="dxa"/>
            <w:vAlign w:val="center"/>
          </w:tcPr>
          <w:p w:rsidR="00E91BDB" w:rsidRPr="001E58AF"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3</w:t>
            </w:r>
          </w:p>
        </w:tc>
        <w:tc>
          <w:tcPr>
            <w:tcW w:w="1133" w:type="dxa"/>
            <w:vAlign w:val="center"/>
          </w:tcPr>
          <w:p w:rsidR="00E91BDB" w:rsidRPr="001E58AF"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4=3-2</w:t>
            </w:r>
          </w:p>
        </w:tc>
        <w:tc>
          <w:tcPr>
            <w:tcW w:w="989" w:type="dxa"/>
            <w:vAlign w:val="center"/>
          </w:tcPr>
          <w:p w:rsidR="00E91BDB" w:rsidRPr="001E58AF" w:rsidRDefault="00E91BDB" w:rsidP="00524FD8">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5=3/2*100</w:t>
            </w:r>
          </w:p>
        </w:tc>
        <w:tc>
          <w:tcPr>
            <w:tcW w:w="1180" w:type="dxa"/>
            <w:gridSpan w:val="2"/>
            <w:vAlign w:val="center"/>
          </w:tcPr>
          <w:p w:rsidR="00E91BDB" w:rsidRPr="001E58AF"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6</w:t>
            </w:r>
          </w:p>
        </w:tc>
        <w:tc>
          <w:tcPr>
            <w:tcW w:w="993" w:type="dxa"/>
            <w:gridSpan w:val="2"/>
            <w:vAlign w:val="center"/>
          </w:tcPr>
          <w:p w:rsidR="00E91BDB" w:rsidRPr="001E58AF"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7=3-6</w:t>
            </w:r>
          </w:p>
        </w:tc>
        <w:tc>
          <w:tcPr>
            <w:tcW w:w="992" w:type="dxa"/>
            <w:vAlign w:val="center"/>
          </w:tcPr>
          <w:p w:rsidR="00E91BDB" w:rsidRPr="001E58AF" w:rsidRDefault="00E91BDB" w:rsidP="00524FD8">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8=3/6*100</w:t>
            </w:r>
          </w:p>
        </w:tc>
        <w:tc>
          <w:tcPr>
            <w:tcW w:w="850" w:type="dxa"/>
            <w:gridSpan w:val="2"/>
            <w:vAlign w:val="center"/>
          </w:tcPr>
          <w:p w:rsidR="00E91BDB" w:rsidRPr="001E58AF" w:rsidRDefault="00E91BDB" w:rsidP="00524FD8">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9=6/PIB*</w:t>
            </w:r>
          </w:p>
          <w:p w:rsidR="00E91BDB" w:rsidRPr="001E58AF" w:rsidRDefault="00E91BDB" w:rsidP="00524FD8">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100</w:t>
            </w:r>
          </w:p>
        </w:tc>
        <w:tc>
          <w:tcPr>
            <w:tcW w:w="808" w:type="dxa"/>
            <w:vAlign w:val="center"/>
          </w:tcPr>
          <w:p w:rsidR="00E91BDB" w:rsidRPr="001E58AF" w:rsidRDefault="00E91BDB" w:rsidP="00524FD8">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10=3/PIB*</w:t>
            </w:r>
          </w:p>
          <w:p w:rsidR="00E91BDB" w:rsidRPr="001E58AF" w:rsidRDefault="00E91BDB" w:rsidP="00524FD8">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eastAsia="ru-RU"/>
              </w:rPr>
            </w:pPr>
            <w:r w:rsidRPr="001E58AF">
              <w:rPr>
                <w:rFonts w:asciiTheme="majorHAnsi" w:eastAsia="Times New Roman" w:hAnsiTheme="majorHAnsi" w:cstheme="majorHAnsi"/>
                <w:bCs/>
                <w:i/>
                <w:color w:val="000000"/>
                <w:sz w:val="16"/>
                <w:szCs w:val="16"/>
                <w:lang w:eastAsia="ru-RU"/>
              </w:rPr>
              <w:t>100</w:t>
            </w:r>
          </w:p>
        </w:tc>
      </w:tr>
      <w:tr w:rsidR="00E91BDB" w:rsidRPr="0060742A" w:rsidTr="00524F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E91BDB" w:rsidRPr="0060742A" w:rsidRDefault="00E91BDB" w:rsidP="00524FD8">
            <w:pPr>
              <w:jc w:val="center"/>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Venituri</w:t>
            </w:r>
          </w:p>
        </w:tc>
      </w:tr>
      <w:tr w:rsidR="00E91BDB" w:rsidRPr="0060742A" w:rsidTr="00524FD8">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 xml:space="preserve">BPN, </w:t>
            </w:r>
            <w:r w:rsidRPr="0060742A">
              <w:rPr>
                <w:rFonts w:asciiTheme="majorHAnsi" w:eastAsia="Times New Roman" w:hAnsiTheme="majorHAnsi" w:cstheme="majorHAnsi"/>
                <w:i/>
                <w:iCs/>
                <w:color w:val="000000"/>
                <w:lang w:eastAsia="ru-RU"/>
              </w:rPr>
              <w:t>inclusiv:</w:t>
            </w:r>
          </w:p>
        </w:tc>
        <w:tc>
          <w:tcPr>
            <w:tcW w:w="1134" w:type="dxa"/>
            <w:shd w:val="clear" w:color="auto" w:fill="auto"/>
          </w:tcPr>
          <w:p w:rsidR="00E91BDB" w:rsidRPr="0060742A" w:rsidRDefault="00E91BDB" w:rsidP="00524FD8">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58 119,0</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57 995,9</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eastAsia="ru-RU"/>
              </w:rPr>
            </w:pPr>
            <w:r w:rsidRPr="0060742A">
              <w:rPr>
                <w:rFonts w:asciiTheme="majorHAnsi" w:eastAsia="Times New Roman" w:hAnsiTheme="majorHAnsi" w:cstheme="majorHAnsi"/>
                <w:b/>
                <w:bCs/>
                <w:color w:val="000000"/>
                <w:lang w:eastAsia="ru-RU"/>
              </w:rPr>
              <w:t>-123,1</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99,8%</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eastAsia="ru-RU"/>
              </w:rPr>
            </w:pPr>
            <w:r w:rsidRPr="0060742A">
              <w:rPr>
                <w:rFonts w:asciiTheme="majorHAnsi" w:eastAsia="Times New Roman" w:hAnsiTheme="majorHAnsi" w:cstheme="majorHAnsi"/>
                <w:b/>
                <w:bCs/>
                <w:color w:val="000000"/>
                <w:lang w:eastAsia="ru-RU"/>
              </w:rPr>
              <w:t>53 377,6</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eastAsia="ru-RU"/>
              </w:rPr>
            </w:pPr>
            <w:r w:rsidRPr="0060742A">
              <w:rPr>
                <w:rFonts w:asciiTheme="majorHAnsi" w:eastAsia="Times New Roman" w:hAnsiTheme="majorHAnsi" w:cstheme="majorHAnsi"/>
                <w:b/>
                <w:bCs/>
                <w:color w:val="000000"/>
                <w:lang w:eastAsia="ru-RU"/>
              </w:rPr>
              <w:t>4 618,3</w:t>
            </w:r>
          </w:p>
        </w:tc>
        <w:tc>
          <w:tcPr>
            <w:tcW w:w="992" w:type="dxa"/>
            <w:shd w:val="clear" w:color="auto" w:fill="auto"/>
          </w:tcPr>
          <w:p w:rsidR="00E91BDB" w:rsidRPr="0060742A" w:rsidRDefault="00E91BDB" w:rsidP="00524FD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108,7%</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29,8%</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30,5%</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BS</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36 969,4</w:t>
            </w:r>
          </w:p>
        </w:tc>
        <w:tc>
          <w:tcPr>
            <w:tcW w:w="993" w:type="dxa"/>
            <w:shd w:val="clear" w:color="auto" w:fill="auto"/>
          </w:tcPr>
          <w:p w:rsidR="00E91BDB" w:rsidRPr="0060742A" w:rsidRDefault="00E91BDB" w:rsidP="00524FD8">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en-US" w:eastAsia="ru-RU"/>
              </w:rPr>
            </w:pPr>
            <w:r w:rsidRPr="0060742A">
              <w:rPr>
                <w:rFonts w:asciiTheme="majorHAnsi" w:eastAsia="Times New Roman" w:hAnsiTheme="majorHAnsi" w:cstheme="majorHAnsi"/>
                <w:iCs/>
                <w:color w:val="000000"/>
                <w:lang w:val="en-US" w:eastAsia="ru-RU"/>
              </w:rPr>
              <w:t>36 432,7</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highlight w:val="yellow"/>
                <w:lang w:eastAsia="ru-RU"/>
              </w:rPr>
            </w:pPr>
            <w:r w:rsidRPr="0060742A">
              <w:rPr>
                <w:rFonts w:asciiTheme="majorHAnsi" w:eastAsia="Times New Roman" w:hAnsiTheme="majorHAnsi" w:cstheme="majorHAnsi"/>
                <w:iCs/>
                <w:color w:val="000000"/>
                <w:lang w:eastAsia="ru-RU"/>
              </w:rPr>
              <w:t>-536,7</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98,5%</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33 947,4</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2 485,3</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107,3%</w:t>
            </w:r>
          </w:p>
        </w:tc>
        <w:tc>
          <w:tcPr>
            <w:tcW w:w="85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19,0%</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19,2%</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BASS</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highlight w:val="yellow"/>
                <w:lang w:eastAsia="ru-RU"/>
              </w:rPr>
            </w:pPr>
            <w:r w:rsidRPr="0060742A">
              <w:rPr>
                <w:rFonts w:asciiTheme="majorHAnsi" w:eastAsia="Times New Roman" w:hAnsiTheme="majorHAnsi" w:cstheme="majorHAnsi"/>
                <w:iCs/>
                <w:color w:val="000000"/>
                <w:lang w:eastAsia="ru-RU"/>
              </w:rPr>
              <w:t>19 629,0</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19 790,3</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+161,3</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100,8%</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17 818,7</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1 971,6</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111,1%</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10,0%</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10,4%</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FAOAM</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highlight w:val="yellow"/>
                <w:lang w:eastAsia="ru-RU"/>
              </w:rPr>
            </w:pPr>
            <w:r w:rsidRPr="0060742A">
              <w:rPr>
                <w:rFonts w:asciiTheme="majorHAnsi" w:eastAsia="Times New Roman" w:hAnsiTheme="majorHAnsi" w:cstheme="majorHAnsi"/>
                <w:iCs/>
                <w:color w:val="000000"/>
                <w:lang w:eastAsia="ru-RU"/>
              </w:rPr>
              <w:t>6 773,3</w:t>
            </w:r>
          </w:p>
        </w:tc>
        <w:tc>
          <w:tcPr>
            <w:tcW w:w="993" w:type="dxa"/>
            <w:shd w:val="clear" w:color="auto" w:fill="auto"/>
          </w:tcPr>
          <w:p w:rsidR="00E91BDB" w:rsidRPr="0060742A" w:rsidRDefault="00E91BDB" w:rsidP="00524FD8">
            <w:pPr>
              <w:ind w:left="-1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 xml:space="preserve"> 6 877,4</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+144,1</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102,1%</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6 256,6</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620,8</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109,9%</w:t>
            </w:r>
          </w:p>
        </w:tc>
        <w:tc>
          <w:tcPr>
            <w:tcW w:w="85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3,5%</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3,6%</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BUAT</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highlight w:val="yellow"/>
                <w:lang w:eastAsia="ru-RU"/>
              </w:rPr>
            </w:pPr>
            <w:r w:rsidRPr="0060742A">
              <w:rPr>
                <w:rFonts w:asciiTheme="majorHAnsi" w:eastAsia="Times New Roman" w:hAnsiTheme="majorHAnsi" w:cstheme="majorHAnsi"/>
                <w:iCs/>
                <w:color w:val="000000"/>
                <w:lang w:eastAsia="ru-RU"/>
              </w:rPr>
              <w:t>14 770,7</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 xml:space="preserve">14 683,6 </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-87,1</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99,4%</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13 461,5</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1 222,1</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109,1%</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7,5%</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7,7%</w:t>
            </w:r>
          </w:p>
        </w:tc>
      </w:tr>
      <w:tr w:rsidR="00E91BDB" w:rsidRPr="0060742A" w:rsidTr="00524F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E91BDB" w:rsidRPr="0060742A" w:rsidRDefault="00E91BDB" w:rsidP="00524FD8">
            <w:pPr>
              <w:jc w:val="center"/>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Cheltuieli</w:t>
            </w:r>
          </w:p>
        </w:tc>
      </w:tr>
      <w:tr w:rsidR="00E91BDB" w:rsidRPr="0060742A" w:rsidTr="00524FD8">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 xml:space="preserve">BPN, </w:t>
            </w:r>
            <w:r w:rsidRPr="0060742A">
              <w:rPr>
                <w:rFonts w:asciiTheme="majorHAnsi" w:eastAsia="Times New Roman" w:hAnsiTheme="majorHAnsi" w:cstheme="majorHAnsi"/>
                <w:i/>
                <w:iCs/>
                <w:color w:val="000000"/>
                <w:lang w:eastAsia="ru-RU"/>
              </w:rPr>
              <w:t>inclusiv:</w:t>
            </w:r>
          </w:p>
        </w:tc>
        <w:tc>
          <w:tcPr>
            <w:tcW w:w="1134" w:type="dxa"/>
            <w:shd w:val="clear" w:color="auto" w:fill="auto"/>
          </w:tcPr>
          <w:p w:rsidR="00E91BDB" w:rsidRPr="0060742A" w:rsidRDefault="00E91BDB" w:rsidP="00524FD8">
            <w:pPr>
              <w:ind w:left="2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 xml:space="preserve"> 64 580,3</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59 608,9</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eastAsia="ru-RU"/>
              </w:rPr>
            </w:pPr>
            <w:r w:rsidRPr="0060742A">
              <w:rPr>
                <w:rFonts w:asciiTheme="majorHAnsi" w:eastAsia="Times New Roman" w:hAnsiTheme="majorHAnsi" w:cstheme="majorHAnsi"/>
                <w:b/>
                <w:bCs/>
                <w:color w:val="000000"/>
                <w:lang w:eastAsia="ru-RU"/>
              </w:rPr>
              <w:t>-4 971,4</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92,3%</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54 522,4</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5 086,5</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109,3%</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30,5%</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31,4%</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BS</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lang w:eastAsia="ru-RU"/>
              </w:rPr>
            </w:pPr>
            <w:r w:rsidRPr="0060742A">
              <w:rPr>
                <w:rFonts w:asciiTheme="majorHAnsi" w:eastAsia="Times New Roman" w:hAnsiTheme="majorHAnsi" w:cstheme="majorHAnsi"/>
                <w:bCs/>
                <w:color w:val="000000"/>
                <w:lang w:eastAsia="ru-RU"/>
              </w:rPr>
              <w:t xml:space="preserve"> 42 031,9</w:t>
            </w:r>
          </w:p>
        </w:tc>
        <w:tc>
          <w:tcPr>
            <w:tcW w:w="993" w:type="dxa"/>
            <w:shd w:val="clear" w:color="auto" w:fill="auto"/>
          </w:tcPr>
          <w:p w:rsidR="00E91BDB" w:rsidRPr="0060742A" w:rsidRDefault="00E91BDB" w:rsidP="00524FD8">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38 708,3</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-3 323,6</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92,1%</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35 479,1</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3 229,2</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109,1%</w:t>
            </w:r>
          </w:p>
        </w:tc>
        <w:tc>
          <w:tcPr>
            <w:tcW w:w="850" w:type="dxa"/>
            <w:gridSpan w:val="2"/>
            <w:shd w:val="clear" w:color="auto" w:fill="auto"/>
            <w:hideMark/>
          </w:tcPr>
          <w:p w:rsidR="00E91BDB" w:rsidRPr="0060742A" w:rsidRDefault="00E91BDB" w:rsidP="00524FD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19,8%</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20,4%</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BASS</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19 629,0</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19 426,5</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-202,5</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99,0%</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17 614,5</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1 273,5</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109,6%</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9,8%</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10,2%</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FAOAM</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6 733,3</w:t>
            </w:r>
          </w:p>
        </w:tc>
        <w:tc>
          <w:tcPr>
            <w:tcW w:w="993" w:type="dxa"/>
            <w:shd w:val="clear" w:color="auto" w:fill="auto"/>
          </w:tcPr>
          <w:p w:rsidR="00E91BDB" w:rsidRPr="0060742A" w:rsidRDefault="00E91BDB" w:rsidP="00524FD8">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6 714,1</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-19,2</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99,7%</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6 260,8</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453,3</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107,4%</w:t>
            </w:r>
          </w:p>
        </w:tc>
        <w:tc>
          <w:tcPr>
            <w:tcW w:w="85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3,5%</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3,5%</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BUAT</w:t>
            </w:r>
          </w:p>
        </w:tc>
        <w:tc>
          <w:tcPr>
            <w:tcW w:w="1134" w:type="dxa"/>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16 169,5</w:t>
            </w:r>
          </w:p>
        </w:tc>
        <w:tc>
          <w:tcPr>
            <w:tcW w:w="993" w:type="dxa"/>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14 548,1</w:t>
            </w:r>
          </w:p>
        </w:tc>
        <w:tc>
          <w:tcPr>
            <w:tcW w:w="1133" w:type="dxa"/>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-1 621,4</w:t>
            </w:r>
          </w:p>
        </w:tc>
        <w:tc>
          <w:tcPr>
            <w:tcW w:w="989" w:type="dxa"/>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90,0%</w:t>
            </w:r>
          </w:p>
        </w:tc>
        <w:tc>
          <w:tcPr>
            <w:tcW w:w="1180" w:type="dxa"/>
            <w:gridSpan w:val="2"/>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13 274,6</w:t>
            </w:r>
          </w:p>
        </w:tc>
        <w:tc>
          <w:tcPr>
            <w:tcW w:w="993" w:type="dxa"/>
            <w:gridSpan w:val="2"/>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1 959,9</w:t>
            </w:r>
          </w:p>
        </w:tc>
        <w:tc>
          <w:tcPr>
            <w:tcW w:w="992" w:type="dxa"/>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117,3%</w:t>
            </w:r>
          </w:p>
        </w:tc>
        <w:tc>
          <w:tcPr>
            <w:tcW w:w="850" w:type="dxa"/>
            <w:gridSpan w:val="2"/>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7,4%</w:t>
            </w:r>
          </w:p>
        </w:tc>
        <w:tc>
          <w:tcPr>
            <w:tcW w:w="808" w:type="dxa"/>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7,7%</w:t>
            </w:r>
          </w:p>
        </w:tc>
      </w:tr>
      <w:tr w:rsidR="00E91BDB" w:rsidRPr="0060742A" w:rsidTr="00524F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E91BDB" w:rsidRPr="0060742A" w:rsidRDefault="00E91BDB" w:rsidP="00524FD8">
            <w:pPr>
              <w:jc w:val="center"/>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Deficit (-) / Excedent (+)</w:t>
            </w:r>
          </w:p>
        </w:tc>
      </w:tr>
      <w:tr w:rsidR="00E91BDB" w:rsidRPr="0060742A" w:rsidTr="00524FD8">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color w:val="000000"/>
                <w:lang w:eastAsia="ru-RU"/>
              </w:rPr>
            </w:pPr>
            <w:r w:rsidRPr="0060742A">
              <w:rPr>
                <w:rFonts w:asciiTheme="majorHAnsi" w:eastAsia="Times New Roman" w:hAnsiTheme="majorHAnsi" w:cstheme="majorHAnsi"/>
                <w:color w:val="000000"/>
                <w:lang w:eastAsia="ru-RU"/>
              </w:rPr>
              <w:t xml:space="preserve">BPN, </w:t>
            </w:r>
            <w:r w:rsidRPr="0060742A">
              <w:rPr>
                <w:rFonts w:asciiTheme="majorHAnsi" w:eastAsia="Times New Roman" w:hAnsiTheme="majorHAnsi" w:cstheme="majorHAnsi"/>
                <w:i/>
                <w:iCs/>
                <w:color w:val="000000"/>
                <w:lang w:eastAsia="ru-RU"/>
              </w:rPr>
              <w:t>inclusiv:</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-6 461,3</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-1 613,0</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4 848,3</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25,0%</w:t>
            </w:r>
          </w:p>
        </w:tc>
        <w:tc>
          <w:tcPr>
            <w:tcW w:w="1180" w:type="dxa"/>
            <w:gridSpan w:val="2"/>
            <w:shd w:val="clear" w:color="auto" w:fill="auto"/>
            <w:hideMark/>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-1 144,8</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468,2</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140,9%</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-0,64%</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eastAsia="ru-RU"/>
              </w:rPr>
            </w:pPr>
            <w:r w:rsidRPr="0060742A">
              <w:rPr>
                <w:rFonts w:asciiTheme="majorHAnsi" w:eastAsia="Times New Roman" w:hAnsiTheme="majorHAnsi" w:cstheme="majorHAnsi"/>
                <w:b/>
                <w:bCs/>
                <w:color w:val="000000"/>
                <w:lang w:eastAsia="ru-RU"/>
              </w:rPr>
              <w:t>-0,85%</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BS</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-5 062,5</w:t>
            </w:r>
          </w:p>
        </w:tc>
        <w:tc>
          <w:tcPr>
            <w:tcW w:w="993" w:type="dxa"/>
            <w:shd w:val="clear" w:color="auto" w:fill="auto"/>
          </w:tcPr>
          <w:p w:rsidR="00E91BDB" w:rsidRPr="0060742A" w:rsidRDefault="00E91BDB" w:rsidP="00524FD8">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-2 275,6</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2 786,9</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45,0%</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-1 531,7</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-743,9</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148,6%</w:t>
            </w:r>
          </w:p>
        </w:tc>
        <w:tc>
          <w:tcPr>
            <w:tcW w:w="85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-0,85%</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w:t>
            </w:r>
          </w:p>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1,2%</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BASS</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+363,8</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363,8</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Pr>
                <w:rFonts w:asciiTheme="majorHAnsi" w:eastAsia="Times New Roman" w:hAnsiTheme="majorHAnsi" w:cstheme="majorHAnsi"/>
                <w:iCs/>
                <w:color w:val="000000"/>
                <w:lang w:eastAsia="ru-RU"/>
              </w:rPr>
              <w:t>-</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204,2</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159,6</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178,2%</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0,11</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0,19</w:t>
            </w:r>
          </w:p>
        </w:tc>
      </w:tr>
      <w:tr w:rsidR="00E91BDB" w:rsidRPr="0060742A" w:rsidTr="00524FD8">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E91BDB" w:rsidRPr="0060742A" w:rsidRDefault="00E91BDB" w:rsidP="00524FD8">
            <w:pPr>
              <w:jc w:val="both"/>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FAOAM</w:t>
            </w:r>
          </w:p>
        </w:tc>
        <w:tc>
          <w:tcPr>
            <w:tcW w:w="1134" w:type="dxa"/>
            <w:shd w:val="clear" w:color="auto" w:fill="auto"/>
          </w:tcPr>
          <w:p w:rsidR="00E91BDB" w:rsidRPr="0060742A" w:rsidRDefault="00E91BDB" w:rsidP="00524FD8">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w:t>
            </w:r>
          </w:p>
        </w:tc>
        <w:tc>
          <w:tcPr>
            <w:tcW w:w="993" w:type="dxa"/>
            <w:shd w:val="clear" w:color="auto" w:fill="auto"/>
          </w:tcPr>
          <w:p w:rsidR="00E91BDB" w:rsidRPr="0060742A" w:rsidRDefault="00E91BDB" w:rsidP="00524FD8">
            <w:pPr>
              <w:ind w:left="-1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Pr>
                <w:rFonts w:asciiTheme="majorHAnsi" w:eastAsia="Times New Roman" w:hAnsiTheme="majorHAnsi" w:cstheme="majorHAnsi"/>
                <w:iCs/>
                <w:color w:val="000000"/>
                <w:lang w:eastAsia="ru-RU"/>
              </w:rPr>
              <w:t xml:space="preserve"> </w:t>
            </w:r>
            <w:r w:rsidRPr="0060742A">
              <w:rPr>
                <w:rFonts w:asciiTheme="majorHAnsi" w:eastAsia="Times New Roman" w:hAnsiTheme="majorHAnsi" w:cstheme="majorHAnsi"/>
                <w:iCs/>
                <w:color w:val="000000"/>
                <w:lang w:eastAsia="ru-RU"/>
              </w:rPr>
              <w:t>+163,3</w:t>
            </w:r>
          </w:p>
        </w:tc>
        <w:tc>
          <w:tcPr>
            <w:tcW w:w="1133"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163,3</w:t>
            </w:r>
          </w:p>
        </w:tc>
        <w:tc>
          <w:tcPr>
            <w:tcW w:w="989"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Pr>
                <w:rFonts w:asciiTheme="majorHAnsi" w:eastAsia="Times New Roman" w:hAnsiTheme="majorHAnsi" w:cstheme="majorHAnsi"/>
                <w:iCs/>
                <w:color w:val="000000"/>
                <w:lang w:eastAsia="ru-RU"/>
              </w:rPr>
              <w:t>-</w:t>
            </w:r>
          </w:p>
        </w:tc>
        <w:tc>
          <w:tcPr>
            <w:tcW w:w="118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-4,2</w:t>
            </w:r>
          </w:p>
        </w:tc>
        <w:tc>
          <w:tcPr>
            <w:tcW w:w="993" w:type="dxa"/>
            <w:gridSpan w:val="2"/>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-167,5</w:t>
            </w:r>
          </w:p>
        </w:tc>
        <w:tc>
          <w:tcPr>
            <w:tcW w:w="992" w:type="dxa"/>
            <w:shd w:val="clear" w:color="auto" w:fill="auto"/>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w:t>
            </w:r>
          </w:p>
        </w:tc>
        <w:tc>
          <w:tcPr>
            <w:tcW w:w="850" w:type="dxa"/>
            <w:gridSpan w:val="2"/>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w:t>
            </w:r>
          </w:p>
        </w:tc>
        <w:tc>
          <w:tcPr>
            <w:tcW w:w="808" w:type="dxa"/>
            <w:shd w:val="clear" w:color="auto" w:fill="auto"/>
            <w:hideMark/>
          </w:tcPr>
          <w:p w:rsidR="00E91BDB" w:rsidRPr="0060742A" w:rsidRDefault="00E91BDB" w:rsidP="00524FD8">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0,08</w:t>
            </w:r>
          </w:p>
        </w:tc>
      </w:tr>
      <w:tr w:rsidR="00E91BDB" w:rsidRPr="0060742A" w:rsidTr="00524FD8">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E91BDB" w:rsidRPr="0060742A" w:rsidRDefault="00E91BDB" w:rsidP="00524FD8">
            <w:pPr>
              <w:rPr>
                <w:rFonts w:asciiTheme="majorHAnsi" w:eastAsia="Times New Roman" w:hAnsiTheme="majorHAnsi" w:cstheme="majorHAnsi"/>
                <w:i/>
                <w:iCs/>
                <w:color w:val="000000"/>
                <w:lang w:eastAsia="ru-RU"/>
              </w:rPr>
            </w:pPr>
            <w:r w:rsidRPr="0060742A">
              <w:rPr>
                <w:rFonts w:asciiTheme="majorHAnsi" w:eastAsia="Times New Roman" w:hAnsiTheme="majorHAnsi" w:cstheme="majorHAnsi"/>
                <w:i/>
                <w:iCs/>
                <w:color w:val="000000"/>
                <w:lang w:eastAsia="ru-RU"/>
              </w:rPr>
              <w:t>BUAT</w:t>
            </w:r>
          </w:p>
        </w:tc>
        <w:tc>
          <w:tcPr>
            <w:tcW w:w="1134" w:type="dxa"/>
            <w:shd w:val="clear" w:color="auto" w:fill="auto"/>
          </w:tcPr>
          <w:p w:rsidR="00E91BDB" w:rsidRPr="0060742A" w:rsidRDefault="00E91BDB" w:rsidP="00524FD8">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-1398,8</w:t>
            </w:r>
          </w:p>
        </w:tc>
        <w:tc>
          <w:tcPr>
            <w:tcW w:w="993" w:type="dxa"/>
            <w:shd w:val="clear" w:color="auto" w:fill="auto"/>
          </w:tcPr>
          <w:p w:rsidR="00E91BDB" w:rsidRPr="0060742A" w:rsidRDefault="00E91BDB" w:rsidP="00524FD8">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+135,5</w:t>
            </w:r>
          </w:p>
        </w:tc>
        <w:tc>
          <w:tcPr>
            <w:tcW w:w="1133"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1534,3</w:t>
            </w:r>
          </w:p>
        </w:tc>
        <w:tc>
          <w:tcPr>
            <w:tcW w:w="989"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Pr>
                <w:rFonts w:asciiTheme="majorHAnsi" w:eastAsia="Times New Roman" w:hAnsiTheme="majorHAnsi" w:cstheme="majorHAnsi"/>
                <w:iCs/>
                <w:color w:val="000000"/>
                <w:lang w:eastAsia="ru-RU"/>
              </w:rPr>
              <w:t>-</w:t>
            </w:r>
          </w:p>
        </w:tc>
        <w:tc>
          <w:tcPr>
            <w:tcW w:w="118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186,9</w:t>
            </w:r>
          </w:p>
        </w:tc>
        <w:tc>
          <w:tcPr>
            <w:tcW w:w="993" w:type="dxa"/>
            <w:gridSpan w:val="2"/>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-51,4</w:t>
            </w:r>
          </w:p>
        </w:tc>
        <w:tc>
          <w:tcPr>
            <w:tcW w:w="992" w:type="dxa"/>
            <w:shd w:val="clear" w:color="auto" w:fill="auto"/>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72,5%</w:t>
            </w:r>
          </w:p>
        </w:tc>
        <w:tc>
          <w:tcPr>
            <w:tcW w:w="850" w:type="dxa"/>
            <w:gridSpan w:val="2"/>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0,11</w:t>
            </w:r>
          </w:p>
        </w:tc>
        <w:tc>
          <w:tcPr>
            <w:tcW w:w="808" w:type="dxa"/>
            <w:shd w:val="clear" w:color="auto" w:fill="auto"/>
            <w:hideMark/>
          </w:tcPr>
          <w:p w:rsidR="00E91BDB" w:rsidRPr="0060742A" w:rsidRDefault="00E91BDB" w:rsidP="00524FD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eastAsia="ru-RU"/>
              </w:rPr>
            </w:pPr>
            <w:r w:rsidRPr="0060742A">
              <w:rPr>
                <w:rFonts w:asciiTheme="majorHAnsi" w:eastAsia="Times New Roman" w:hAnsiTheme="majorHAnsi" w:cstheme="majorHAnsi"/>
                <w:iCs/>
                <w:color w:val="000000"/>
                <w:lang w:eastAsia="ru-RU"/>
              </w:rPr>
              <w:t>0,07</w:t>
            </w:r>
          </w:p>
        </w:tc>
      </w:tr>
      <w:tr w:rsidR="00E91BDB" w:rsidRPr="0060742A" w:rsidTr="00524FD8">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E91BDB" w:rsidRPr="00321962" w:rsidRDefault="00E91BDB" w:rsidP="00524FD8">
            <w:pPr>
              <w:ind w:left="23"/>
              <w:jc w:val="both"/>
              <w:rPr>
                <w:rFonts w:asciiTheme="majorHAnsi" w:eastAsia="Times New Roman" w:hAnsiTheme="majorHAnsi" w:cstheme="majorHAnsi"/>
                <w:b w:val="0"/>
                <w:i/>
                <w:lang w:eastAsia="ru-RU"/>
              </w:rPr>
            </w:pPr>
            <w:r w:rsidRPr="00321962">
              <w:rPr>
                <w:rFonts w:asciiTheme="majorHAnsi" w:eastAsia="Times New Roman" w:hAnsiTheme="majorHAnsi" w:cstheme="majorHAnsi"/>
                <w:lang w:eastAsia="ru-RU"/>
              </w:rPr>
              <w:t xml:space="preserve">* </w:t>
            </w:r>
            <w:r w:rsidRPr="00321962">
              <w:rPr>
                <w:rFonts w:asciiTheme="majorHAnsi" w:eastAsia="Times New Roman" w:hAnsiTheme="majorHAnsi" w:cstheme="majorHAnsi"/>
                <w:b w:val="0"/>
                <w:i/>
                <w:lang w:eastAsia="ru-RU"/>
              </w:rPr>
              <w:t>Produsul intern brut luat în calcul pentru anul 2017, conform datelor BNS, este de 178 881,0 mil. MDL  (actualizat).</w:t>
            </w:r>
          </w:p>
          <w:p w:rsidR="00E91BDB" w:rsidRPr="00321962" w:rsidRDefault="00E91BDB" w:rsidP="00524FD8">
            <w:pPr>
              <w:jc w:val="both"/>
              <w:rPr>
                <w:rFonts w:asciiTheme="majorHAnsi" w:eastAsia="Times New Roman" w:hAnsiTheme="majorHAnsi" w:cstheme="majorHAnsi"/>
                <w:iCs/>
                <w:color w:val="000000"/>
                <w:lang w:eastAsia="ru-RU"/>
              </w:rPr>
            </w:pPr>
            <w:r w:rsidRPr="00321962">
              <w:rPr>
                <w:rFonts w:asciiTheme="majorHAnsi" w:eastAsia="Times New Roman" w:hAnsiTheme="majorHAnsi" w:cstheme="majorHAnsi"/>
                <w:b w:val="0"/>
                <w:i/>
                <w:lang w:eastAsia="ru-RU"/>
              </w:rPr>
              <w:t>** Produsul intern brut luat în calcul pentru anul 2018, conform datelor preliminare ale BNS, este de 190 016,0 mil. MDL.</w:t>
            </w:r>
          </w:p>
        </w:tc>
      </w:tr>
    </w:tbl>
    <w:p w:rsidR="00E91BDB" w:rsidRPr="002B6C1C" w:rsidRDefault="00E91BDB" w:rsidP="00E91BDB">
      <w:pPr>
        <w:spacing w:after="0"/>
        <w:rPr>
          <w:rFonts w:asciiTheme="majorHAnsi" w:hAnsiTheme="majorHAnsi" w:cstheme="majorHAnsi"/>
          <w:i/>
          <w:sz w:val="20"/>
          <w:szCs w:val="20"/>
        </w:rPr>
      </w:pPr>
      <w:r w:rsidRPr="008A2324">
        <w:rPr>
          <w:rFonts w:asciiTheme="majorHAnsi" w:hAnsiTheme="majorHAnsi" w:cstheme="majorHAnsi"/>
          <w:b/>
          <w:i/>
          <w:sz w:val="20"/>
          <w:szCs w:val="20"/>
        </w:rPr>
        <w:lastRenderedPageBreak/>
        <w:t>Notă:</w:t>
      </w:r>
      <w:r w:rsidRPr="002B6C1C">
        <w:rPr>
          <w:rFonts w:asciiTheme="majorHAnsi" w:hAnsiTheme="majorHAnsi" w:cstheme="majorHAnsi"/>
          <w:b/>
          <w:sz w:val="20"/>
          <w:szCs w:val="20"/>
        </w:rPr>
        <w:t xml:space="preserve"> </w:t>
      </w:r>
      <w:r w:rsidRPr="002B6C1C">
        <w:rPr>
          <w:rFonts w:asciiTheme="majorHAnsi" w:hAnsiTheme="majorHAnsi" w:cstheme="majorHAnsi"/>
          <w:i/>
          <w:sz w:val="20"/>
          <w:szCs w:val="20"/>
        </w:rPr>
        <w:t>Datele referitor la venituri și cheltuieli ale componentelor BPN sunt prezentate cu transferurile între bugete.</w:t>
      </w:r>
    </w:p>
    <w:p w:rsidR="00E91BDB" w:rsidRPr="002B6C1C" w:rsidRDefault="00E91BDB" w:rsidP="00E91BDB">
      <w:pPr>
        <w:spacing w:after="0" w:line="276" w:lineRule="auto"/>
        <w:jc w:val="both"/>
        <w:rPr>
          <w:rFonts w:asciiTheme="majorHAnsi" w:hAnsiTheme="majorHAnsi" w:cstheme="majorHAnsi"/>
          <w:sz w:val="20"/>
          <w:szCs w:val="20"/>
        </w:rPr>
      </w:pPr>
      <w:r w:rsidRPr="002B6C1C">
        <w:rPr>
          <w:rFonts w:asciiTheme="majorHAnsi" w:hAnsiTheme="majorHAnsi" w:cstheme="majorHAnsi"/>
          <w:b/>
          <w:i/>
          <w:sz w:val="20"/>
          <w:szCs w:val="20"/>
        </w:rPr>
        <w:t>Sursă:</w:t>
      </w:r>
      <w:r w:rsidRPr="002B6C1C">
        <w:rPr>
          <w:rFonts w:asciiTheme="majorHAnsi" w:hAnsiTheme="majorHAnsi" w:cstheme="majorHAnsi"/>
          <w:sz w:val="20"/>
          <w:szCs w:val="20"/>
        </w:rPr>
        <w:t xml:space="preserve"> </w:t>
      </w:r>
      <w:r w:rsidRPr="002B6C1C">
        <w:rPr>
          <w:rFonts w:asciiTheme="majorHAnsi" w:hAnsiTheme="majorHAnsi" w:cstheme="majorHAnsi"/>
          <w:i/>
          <w:sz w:val="20"/>
          <w:szCs w:val="20"/>
        </w:rPr>
        <w:t>Date generalizate de echipa de audit din Raportul privind executarea bugetului de stat pentru anul 2018 și Raportul privind executarea bugetului de stat pentru anul 2017.</w:t>
      </w:r>
    </w:p>
    <w:p w:rsidR="00E91BDB" w:rsidRPr="00AE29D2" w:rsidRDefault="00E91BDB" w:rsidP="00E91BDB">
      <w:pPr>
        <w:spacing w:before="120"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Auditul relevă că, potrivit datelor Raportului, î</w:t>
      </w:r>
      <w:r w:rsidRPr="00AE29D2">
        <w:rPr>
          <w:rFonts w:asciiTheme="majorHAnsi" w:hAnsiTheme="majorHAnsi" w:cstheme="majorHAnsi"/>
          <w:sz w:val="24"/>
          <w:szCs w:val="24"/>
        </w:rPr>
        <w:t>ncasarea veniturilor peste nivelul precizat a fost asigurată doar la 2 bugete – BASS</w:t>
      </w:r>
      <w:r>
        <w:rPr>
          <w:rFonts w:asciiTheme="majorHAnsi" w:hAnsiTheme="majorHAnsi" w:cstheme="majorHAnsi"/>
          <w:sz w:val="24"/>
          <w:szCs w:val="24"/>
        </w:rPr>
        <w:t>,</w:t>
      </w:r>
      <w:r w:rsidRPr="00AE29D2">
        <w:rPr>
          <w:rFonts w:asciiTheme="majorHAnsi" w:hAnsiTheme="majorHAnsi" w:cstheme="majorHAnsi"/>
          <w:sz w:val="24"/>
          <w:szCs w:val="24"/>
        </w:rPr>
        <w:t xml:space="preserve"> cu +161,3 mil. </w:t>
      </w:r>
      <w:r>
        <w:rPr>
          <w:rFonts w:asciiTheme="majorHAnsi" w:hAnsiTheme="majorHAnsi" w:cstheme="majorHAnsi"/>
          <w:sz w:val="24"/>
          <w:szCs w:val="24"/>
        </w:rPr>
        <w:t>MDL,</w:t>
      </w:r>
      <w:r w:rsidRPr="00AE29D2">
        <w:rPr>
          <w:rFonts w:asciiTheme="majorHAnsi" w:hAnsiTheme="majorHAnsi" w:cstheme="majorHAnsi"/>
          <w:sz w:val="24"/>
          <w:szCs w:val="24"/>
        </w:rPr>
        <w:t xml:space="preserve"> și FAOAM</w:t>
      </w:r>
      <w:r>
        <w:rPr>
          <w:rFonts w:asciiTheme="majorHAnsi" w:hAnsiTheme="majorHAnsi" w:cstheme="majorHAnsi"/>
          <w:sz w:val="24"/>
          <w:szCs w:val="24"/>
        </w:rPr>
        <w:t>,</w:t>
      </w:r>
      <w:r w:rsidRPr="00AE29D2">
        <w:rPr>
          <w:rFonts w:asciiTheme="majorHAnsi" w:hAnsiTheme="majorHAnsi" w:cstheme="majorHAnsi"/>
          <w:sz w:val="24"/>
          <w:szCs w:val="24"/>
        </w:rPr>
        <w:t xml:space="preserve"> cu +144,1 mil. </w:t>
      </w:r>
      <w:r>
        <w:rPr>
          <w:rFonts w:asciiTheme="majorHAnsi" w:hAnsiTheme="majorHAnsi" w:cstheme="majorHAnsi"/>
          <w:sz w:val="24"/>
          <w:szCs w:val="24"/>
        </w:rPr>
        <w:t>MDL,</w:t>
      </w:r>
      <w:r w:rsidRPr="00AE29D2">
        <w:rPr>
          <w:rFonts w:asciiTheme="majorHAnsi" w:hAnsiTheme="majorHAnsi" w:cstheme="majorHAnsi"/>
          <w:sz w:val="24"/>
          <w:szCs w:val="24"/>
        </w:rPr>
        <w:t xml:space="preserve"> pe când încasările în BS au fost realizate sub nivelul precizat cu </w:t>
      </w:r>
      <w:r>
        <w:rPr>
          <w:rFonts w:asciiTheme="majorHAnsi" w:hAnsiTheme="majorHAnsi" w:cstheme="majorHAnsi"/>
          <w:sz w:val="24"/>
          <w:szCs w:val="24"/>
        </w:rPr>
        <w:t>(</w:t>
      </w:r>
      <w:r w:rsidRPr="00AE29D2">
        <w:rPr>
          <w:rFonts w:asciiTheme="majorHAnsi" w:hAnsiTheme="majorHAnsi" w:cstheme="majorHAnsi"/>
          <w:sz w:val="24"/>
          <w:szCs w:val="24"/>
        </w:rPr>
        <w:t>-</w:t>
      </w:r>
      <w:r>
        <w:rPr>
          <w:rFonts w:asciiTheme="majorHAnsi" w:hAnsiTheme="majorHAnsi" w:cstheme="majorHAnsi"/>
          <w:sz w:val="24"/>
          <w:szCs w:val="24"/>
        </w:rPr>
        <w:t xml:space="preserve"> </w:t>
      </w:r>
      <w:r w:rsidRPr="00AE29D2">
        <w:rPr>
          <w:rFonts w:asciiTheme="majorHAnsi" w:hAnsiTheme="majorHAnsi" w:cstheme="majorHAnsi"/>
          <w:sz w:val="24"/>
          <w:szCs w:val="24"/>
        </w:rPr>
        <w:t>536,7</w:t>
      </w:r>
      <w:r>
        <w:rPr>
          <w:rFonts w:asciiTheme="majorHAnsi" w:hAnsiTheme="majorHAnsi" w:cstheme="majorHAnsi"/>
          <w:sz w:val="24"/>
          <w:szCs w:val="24"/>
        </w:rPr>
        <w:t>)</w:t>
      </w:r>
      <w:r w:rsidRPr="00AE29D2">
        <w:rPr>
          <w:rFonts w:asciiTheme="majorHAnsi" w:hAnsiTheme="majorHAnsi" w:cstheme="majorHAnsi"/>
          <w:sz w:val="24"/>
          <w:szCs w:val="24"/>
        </w:rPr>
        <w:t xml:space="preserve"> mil.</w:t>
      </w:r>
      <w:r>
        <w:rPr>
          <w:rFonts w:asciiTheme="majorHAnsi" w:hAnsiTheme="majorHAnsi" w:cstheme="majorHAnsi"/>
          <w:sz w:val="24"/>
          <w:szCs w:val="24"/>
        </w:rPr>
        <w:t xml:space="preserve"> MDL</w:t>
      </w:r>
      <w:r w:rsidRPr="00AE29D2">
        <w:rPr>
          <w:rFonts w:asciiTheme="majorHAnsi" w:hAnsiTheme="majorHAnsi" w:cstheme="majorHAnsi"/>
          <w:sz w:val="24"/>
          <w:szCs w:val="24"/>
        </w:rPr>
        <w:t xml:space="preserve"> și </w:t>
      </w:r>
      <w:r w:rsidR="007B330D">
        <w:rPr>
          <w:rFonts w:asciiTheme="majorHAnsi" w:hAnsiTheme="majorHAnsi" w:cstheme="majorHAnsi"/>
          <w:sz w:val="24"/>
          <w:szCs w:val="24"/>
        </w:rPr>
        <w:t>în</w:t>
      </w:r>
      <w:r w:rsidRPr="00AE29D2">
        <w:rPr>
          <w:rFonts w:asciiTheme="majorHAnsi" w:hAnsiTheme="majorHAnsi" w:cstheme="majorHAnsi"/>
          <w:sz w:val="24"/>
          <w:szCs w:val="24"/>
        </w:rPr>
        <w:t xml:space="preserve"> BUAT </w:t>
      </w:r>
      <w:r w:rsidR="007B330D">
        <w:rPr>
          <w:rFonts w:asciiTheme="majorHAnsi" w:hAnsiTheme="majorHAnsi" w:cstheme="majorHAnsi"/>
          <w:sz w:val="24"/>
          <w:szCs w:val="24"/>
        </w:rPr>
        <w:t xml:space="preserve">– </w:t>
      </w:r>
      <w:r w:rsidRPr="00AE29D2">
        <w:rPr>
          <w:rFonts w:asciiTheme="majorHAnsi" w:hAnsiTheme="majorHAnsi" w:cstheme="majorHAnsi"/>
          <w:sz w:val="24"/>
          <w:szCs w:val="24"/>
        </w:rPr>
        <w:t xml:space="preserve">cu </w:t>
      </w:r>
      <w:r>
        <w:rPr>
          <w:rFonts w:asciiTheme="majorHAnsi" w:hAnsiTheme="majorHAnsi" w:cstheme="majorHAnsi"/>
          <w:sz w:val="24"/>
          <w:szCs w:val="24"/>
        </w:rPr>
        <w:t>(</w:t>
      </w:r>
      <w:r w:rsidRPr="00AE29D2">
        <w:rPr>
          <w:rFonts w:asciiTheme="majorHAnsi" w:hAnsiTheme="majorHAnsi" w:cstheme="majorHAnsi"/>
          <w:sz w:val="24"/>
          <w:szCs w:val="24"/>
        </w:rPr>
        <w:t>-</w:t>
      </w:r>
      <w:r>
        <w:rPr>
          <w:rFonts w:asciiTheme="majorHAnsi" w:hAnsiTheme="majorHAnsi" w:cstheme="majorHAnsi"/>
          <w:sz w:val="24"/>
          <w:szCs w:val="24"/>
        </w:rPr>
        <w:t xml:space="preserve"> </w:t>
      </w:r>
      <w:r w:rsidRPr="00AE29D2">
        <w:rPr>
          <w:rFonts w:asciiTheme="majorHAnsi" w:hAnsiTheme="majorHAnsi" w:cstheme="majorHAnsi"/>
          <w:sz w:val="24"/>
          <w:szCs w:val="24"/>
        </w:rPr>
        <w:t>87,1</w:t>
      </w:r>
      <w:r>
        <w:rPr>
          <w:rFonts w:asciiTheme="majorHAnsi" w:hAnsiTheme="majorHAnsi" w:cstheme="majorHAnsi"/>
          <w:sz w:val="24"/>
          <w:szCs w:val="24"/>
        </w:rPr>
        <w:t>)</w:t>
      </w:r>
      <w:r w:rsidRPr="00AE29D2">
        <w:rPr>
          <w:rFonts w:asciiTheme="majorHAnsi" w:hAnsiTheme="majorHAnsi" w:cstheme="majorHAnsi"/>
          <w:sz w:val="24"/>
          <w:szCs w:val="24"/>
        </w:rPr>
        <w:t xml:space="preserve"> mil.</w:t>
      </w:r>
      <w:r>
        <w:rPr>
          <w:rFonts w:asciiTheme="majorHAnsi" w:hAnsiTheme="majorHAnsi" w:cstheme="majorHAnsi"/>
          <w:sz w:val="24"/>
          <w:szCs w:val="24"/>
        </w:rPr>
        <w:t xml:space="preserve"> MDL</w:t>
      </w:r>
      <w:r w:rsidRPr="00AE29D2">
        <w:rPr>
          <w:rFonts w:asciiTheme="majorHAnsi" w:hAnsiTheme="majorHAnsi" w:cstheme="majorHAnsi"/>
          <w:sz w:val="24"/>
          <w:szCs w:val="24"/>
        </w:rPr>
        <w:t>.</w:t>
      </w:r>
      <w:r>
        <w:rPr>
          <w:rFonts w:asciiTheme="majorHAnsi" w:hAnsiTheme="majorHAnsi" w:cstheme="majorHAnsi"/>
          <w:sz w:val="24"/>
          <w:szCs w:val="24"/>
        </w:rPr>
        <w:t xml:space="preserve"> </w:t>
      </w:r>
    </w:p>
    <w:p w:rsidR="00E91BDB" w:rsidRPr="007B330D" w:rsidRDefault="00E91BDB" w:rsidP="00E91BDB">
      <w:pPr>
        <w:spacing w:after="0" w:line="276" w:lineRule="auto"/>
        <w:ind w:firstLine="709"/>
        <w:jc w:val="both"/>
        <w:rPr>
          <w:rFonts w:asciiTheme="majorHAnsi" w:hAnsiTheme="majorHAnsi" w:cstheme="majorHAnsi"/>
          <w:sz w:val="24"/>
          <w:szCs w:val="24"/>
          <w:lang w:val="en-US"/>
        </w:rPr>
      </w:pPr>
      <w:r w:rsidRPr="00AE29D2">
        <w:rPr>
          <w:rFonts w:asciiTheme="majorHAnsi" w:hAnsiTheme="majorHAnsi" w:cstheme="majorHAnsi"/>
          <w:sz w:val="24"/>
          <w:szCs w:val="24"/>
        </w:rPr>
        <w:t xml:space="preserve">Deși execuția BPN la partea de cheltuieli în anul 2018 a fost sub nivelul precizat </w:t>
      </w:r>
      <w:r w:rsidRPr="007B330D">
        <w:rPr>
          <w:rFonts w:asciiTheme="majorHAnsi" w:hAnsiTheme="majorHAnsi" w:cstheme="majorHAnsi"/>
          <w:sz w:val="24"/>
          <w:szCs w:val="24"/>
        </w:rPr>
        <w:t xml:space="preserve">cu </w:t>
      </w:r>
      <w:r w:rsidR="007B330D" w:rsidRPr="00222F03">
        <w:rPr>
          <w:rFonts w:asciiTheme="majorHAnsi" w:hAnsiTheme="majorHAnsi" w:cstheme="majorHAnsi"/>
          <w:sz w:val="24"/>
          <w:szCs w:val="24"/>
        </w:rPr>
        <w:t>(-</w:t>
      </w:r>
      <w:r w:rsidRPr="007B330D">
        <w:rPr>
          <w:rFonts w:asciiTheme="majorHAnsi" w:hAnsiTheme="majorHAnsi" w:cstheme="majorHAnsi"/>
          <w:sz w:val="24"/>
          <w:szCs w:val="24"/>
        </w:rPr>
        <w:t>4 971,4</w:t>
      </w:r>
      <w:r w:rsidR="007B330D" w:rsidRPr="007B330D">
        <w:rPr>
          <w:rFonts w:asciiTheme="majorHAnsi" w:hAnsiTheme="majorHAnsi" w:cstheme="majorHAnsi"/>
          <w:sz w:val="24"/>
          <w:szCs w:val="24"/>
        </w:rPr>
        <w:t>)</w:t>
      </w:r>
      <w:r w:rsidRPr="007B330D">
        <w:rPr>
          <w:rFonts w:asciiTheme="majorHAnsi" w:hAnsiTheme="majorHAnsi" w:cstheme="majorHAnsi"/>
          <w:sz w:val="24"/>
          <w:szCs w:val="24"/>
        </w:rPr>
        <w:t xml:space="preserve"> mil. MDL, sau cu 7,7% mai puțin, în comparație cu anul precedent, cheltuielile sunt în creștere cu 5 086,5 mil. MDL, sau cu 9,3%. Ca pondere în PIB, cheltuielile BPN constituie 31,4%, ceea ce denotă o creștere față de anul precedent cu 0,9%. </w:t>
      </w:r>
    </w:p>
    <w:p w:rsidR="00E91BDB" w:rsidRDefault="00E91BDB" w:rsidP="00E91BDB">
      <w:pPr>
        <w:spacing w:after="0" w:line="276" w:lineRule="auto"/>
        <w:ind w:firstLine="709"/>
        <w:jc w:val="both"/>
        <w:rPr>
          <w:rFonts w:asciiTheme="majorHAnsi" w:hAnsiTheme="majorHAnsi" w:cstheme="majorHAnsi"/>
          <w:sz w:val="24"/>
          <w:szCs w:val="24"/>
        </w:rPr>
      </w:pPr>
      <w:r w:rsidRPr="007B330D">
        <w:rPr>
          <w:rFonts w:asciiTheme="majorHAnsi" w:hAnsiTheme="majorHAnsi" w:cstheme="majorHAnsi"/>
          <w:sz w:val="24"/>
          <w:szCs w:val="24"/>
        </w:rPr>
        <w:t xml:space="preserve"> În anul 2018, cel mai scăzut nivel de executare a cheltuielilor bugetelor componente ale BPN, față de cheltuielile precizate, a fost raportat de BUAT – </w:t>
      </w:r>
      <w:r w:rsidR="007B330D" w:rsidRPr="007B330D">
        <w:rPr>
          <w:rFonts w:asciiTheme="majorHAnsi" w:hAnsiTheme="majorHAnsi" w:cstheme="majorHAnsi"/>
          <w:sz w:val="24"/>
          <w:szCs w:val="24"/>
        </w:rPr>
        <w:t xml:space="preserve">de </w:t>
      </w:r>
      <w:r w:rsidRPr="007B330D">
        <w:rPr>
          <w:rFonts w:asciiTheme="majorHAnsi" w:hAnsiTheme="majorHAnsi" w:cstheme="majorHAnsi"/>
          <w:sz w:val="24"/>
          <w:szCs w:val="24"/>
        </w:rPr>
        <w:t xml:space="preserve">90,0%, urmate fiind de BS – </w:t>
      </w:r>
      <w:r w:rsidR="007B330D" w:rsidRPr="007B330D">
        <w:rPr>
          <w:rFonts w:asciiTheme="majorHAnsi" w:hAnsiTheme="majorHAnsi" w:cstheme="majorHAnsi"/>
          <w:sz w:val="24"/>
          <w:szCs w:val="24"/>
        </w:rPr>
        <w:t xml:space="preserve">de </w:t>
      </w:r>
      <w:r w:rsidRPr="007B330D">
        <w:rPr>
          <w:rFonts w:asciiTheme="majorHAnsi" w:hAnsiTheme="majorHAnsi" w:cstheme="majorHAnsi"/>
          <w:sz w:val="24"/>
          <w:szCs w:val="24"/>
        </w:rPr>
        <w:t>92,1%, totodată cheltuielile la FAOAM au înregistrat o execuție de 99,7% și, respectiv, la BASS de 99,0%. BPN s-a încheiat cu un deficit de (-1 613,0</w:t>
      </w:r>
      <w:r w:rsidR="007B330D" w:rsidRPr="007B330D">
        <w:rPr>
          <w:rFonts w:asciiTheme="majorHAnsi" w:hAnsiTheme="majorHAnsi" w:cstheme="majorHAnsi"/>
          <w:sz w:val="24"/>
          <w:szCs w:val="24"/>
        </w:rPr>
        <w:t>)</w:t>
      </w:r>
      <w:r w:rsidRPr="007B330D">
        <w:rPr>
          <w:rFonts w:asciiTheme="majorHAnsi" w:hAnsiTheme="majorHAnsi" w:cstheme="majorHAnsi"/>
          <w:sz w:val="24"/>
          <w:szCs w:val="24"/>
        </w:rPr>
        <w:t xml:space="preserve"> mil. MDL, înregistrând o scădere de </w:t>
      </w:r>
      <w:r w:rsidR="007B330D" w:rsidRPr="007B330D">
        <w:rPr>
          <w:rFonts w:asciiTheme="majorHAnsi" w:hAnsiTheme="majorHAnsi" w:cstheme="majorHAnsi"/>
          <w:sz w:val="24"/>
          <w:szCs w:val="24"/>
        </w:rPr>
        <w:t>(-</w:t>
      </w:r>
      <w:r w:rsidRPr="007B330D">
        <w:rPr>
          <w:rFonts w:asciiTheme="majorHAnsi" w:hAnsiTheme="majorHAnsi" w:cstheme="majorHAnsi"/>
          <w:sz w:val="24"/>
          <w:szCs w:val="24"/>
        </w:rPr>
        <w:t>4 848,3</w:t>
      </w:r>
      <w:r w:rsidR="007B330D" w:rsidRPr="00222F03">
        <w:rPr>
          <w:rFonts w:asciiTheme="majorHAnsi" w:hAnsiTheme="majorHAnsi" w:cstheme="majorHAnsi"/>
          <w:sz w:val="24"/>
          <w:szCs w:val="24"/>
        </w:rPr>
        <w:t>)</w:t>
      </w:r>
      <w:r w:rsidRPr="007B330D">
        <w:rPr>
          <w:rFonts w:asciiTheme="majorHAnsi" w:hAnsiTheme="majorHAnsi" w:cstheme="majorHAnsi"/>
          <w:sz w:val="24"/>
          <w:szCs w:val="24"/>
        </w:rPr>
        <w:t xml:space="preserve"> mil. MD</w:t>
      </w:r>
      <w:r>
        <w:rPr>
          <w:rFonts w:asciiTheme="majorHAnsi" w:hAnsiTheme="majorHAnsi" w:cstheme="majorHAnsi"/>
          <w:sz w:val="24"/>
          <w:szCs w:val="24"/>
        </w:rPr>
        <w:t>L, față de nivelul precizat.</w:t>
      </w:r>
    </w:p>
    <w:p w:rsidR="00E91BDB" w:rsidRPr="00AE29D2" w:rsidRDefault="00E91BDB" w:rsidP="00E91BDB">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Se atestă că execuția</w:t>
      </w:r>
      <w:r w:rsidRPr="00AE29D2">
        <w:rPr>
          <w:rFonts w:asciiTheme="majorHAnsi" w:hAnsiTheme="majorHAnsi" w:cstheme="majorHAnsi"/>
          <w:sz w:val="24"/>
          <w:szCs w:val="24"/>
        </w:rPr>
        <w:t xml:space="preserve"> BS pentru anul 2018 a fost încheiat</w:t>
      </w:r>
      <w:r>
        <w:rPr>
          <w:rFonts w:asciiTheme="majorHAnsi" w:hAnsiTheme="majorHAnsi" w:cstheme="majorHAnsi"/>
          <w:sz w:val="24"/>
          <w:szCs w:val="24"/>
        </w:rPr>
        <w:t>ă</w:t>
      </w:r>
      <w:r w:rsidRPr="00AE29D2">
        <w:rPr>
          <w:rFonts w:asciiTheme="majorHAnsi" w:hAnsiTheme="majorHAnsi" w:cstheme="majorHAnsi"/>
          <w:sz w:val="24"/>
          <w:szCs w:val="24"/>
        </w:rPr>
        <w:t xml:space="preserve"> cu un deficit de (-2 275,6</w:t>
      </w:r>
      <w:r w:rsidR="007B330D">
        <w:rPr>
          <w:rFonts w:asciiTheme="majorHAnsi" w:hAnsiTheme="majorHAnsi" w:cstheme="majorHAnsi"/>
          <w:sz w:val="24"/>
          <w:szCs w:val="24"/>
        </w:rPr>
        <w:t>)</w:t>
      </w:r>
      <w:r w:rsidRPr="00AE29D2">
        <w:rPr>
          <w:rFonts w:asciiTheme="majorHAnsi" w:hAnsiTheme="majorHAnsi" w:cstheme="majorHAnsi"/>
          <w:sz w:val="24"/>
          <w:szCs w:val="24"/>
        </w:rPr>
        <w:t xml:space="preserve"> mil.</w:t>
      </w:r>
      <w:r>
        <w:rPr>
          <w:rFonts w:asciiTheme="majorHAnsi" w:hAnsiTheme="majorHAnsi" w:cstheme="majorHAnsi"/>
          <w:sz w:val="24"/>
          <w:szCs w:val="24"/>
        </w:rPr>
        <w:t xml:space="preserve"> MDL</w:t>
      </w:r>
      <w:r w:rsidRPr="00AE29D2">
        <w:rPr>
          <w:rFonts w:asciiTheme="majorHAnsi" w:hAnsiTheme="majorHAnsi" w:cstheme="majorHAnsi"/>
          <w:sz w:val="24"/>
          <w:szCs w:val="24"/>
        </w:rPr>
        <w:t>, pe când alte 3 componente ale BPN au fost încheiate cu un sold b</w:t>
      </w:r>
      <w:r>
        <w:rPr>
          <w:rFonts w:asciiTheme="majorHAnsi" w:hAnsiTheme="majorHAnsi" w:cstheme="majorHAnsi"/>
          <w:sz w:val="24"/>
          <w:szCs w:val="24"/>
        </w:rPr>
        <w:t>ugetar (excedent) de 662,6 mil. MDL</w:t>
      </w:r>
      <w:r w:rsidRPr="00AE29D2">
        <w:rPr>
          <w:rFonts w:asciiTheme="majorHAnsi" w:hAnsiTheme="majorHAnsi" w:cstheme="majorHAnsi"/>
          <w:sz w:val="24"/>
          <w:szCs w:val="24"/>
        </w:rPr>
        <w:t xml:space="preserve"> înregistrat la: BASS – 363,8 mil.</w:t>
      </w:r>
      <w:r>
        <w:rPr>
          <w:rFonts w:asciiTheme="majorHAnsi" w:hAnsiTheme="majorHAnsi" w:cstheme="majorHAnsi"/>
          <w:sz w:val="24"/>
          <w:szCs w:val="24"/>
        </w:rPr>
        <w:t xml:space="preserve"> MDL</w:t>
      </w:r>
      <w:r w:rsidRPr="00AE29D2">
        <w:rPr>
          <w:rFonts w:asciiTheme="majorHAnsi" w:hAnsiTheme="majorHAnsi" w:cstheme="majorHAnsi"/>
          <w:sz w:val="24"/>
          <w:szCs w:val="24"/>
        </w:rPr>
        <w:t>, la</w:t>
      </w:r>
      <w:r>
        <w:rPr>
          <w:rFonts w:asciiTheme="majorHAnsi" w:hAnsiTheme="majorHAnsi" w:cstheme="majorHAnsi"/>
          <w:sz w:val="24"/>
          <w:szCs w:val="24"/>
        </w:rPr>
        <w:t xml:space="preserve"> </w:t>
      </w:r>
      <w:r w:rsidRPr="00AE29D2">
        <w:rPr>
          <w:rFonts w:asciiTheme="majorHAnsi" w:hAnsiTheme="majorHAnsi" w:cstheme="majorHAnsi"/>
          <w:sz w:val="24"/>
          <w:szCs w:val="24"/>
        </w:rPr>
        <w:t>FAOAM – 163,3 mil.</w:t>
      </w:r>
      <w:r>
        <w:rPr>
          <w:rFonts w:asciiTheme="majorHAnsi" w:hAnsiTheme="majorHAnsi" w:cstheme="majorHAnsi"/>
          <w:sz w:val="24"/>
          <w:szCs w:val="24"/>
        </w:rPr>
        <w:t xml:space="preserve"> MDL,</w:t>
      </w:r>
      <w:r w:rsidRPr="00AE29D2">
        <w:rPr>
          <w:rFonts w:asciiTheme="majorHAnsi" w:hAnsiTheme="majorHAnsi" w:cstheme="majorHAnsi"/>
          <w:sz w:val="24"/>
          <w:szCs w:val="24"/>
        </w:rPr>
        <w:t xml:space="preserve"> și de 135,5 mil.</w:t>
      </w:r>
      <w:r>
        <w:rPr>
          <w:rFonts w:asciiTheme="majorHAnsi" w:hAnsiTheme="majorHAnsi" w:cstheme="majorHAnsi"/>
          <w:sz w:val="24"/>
          <w:szCs w:val="24"/>
        </w:rPr>
        <w:t xml:space="preserve"> MDL</w:t>
      </w:r>
      <w:r w:rsidRPr="00AE29D2">
        <w:rPr>
          <w:rFonts w:asciiTheme="majorHAnsi" w:hAnsiTheme="majorHAnsi" w:cstheme="majorHAnsi"/>
          <w:sz w:val="24"/>
          <w:szCs w:val="24"/>
        </w:rPr>
        <w:t xml:space="preserve"> – la BUAT.</w:t>
      </w:r>
    </w:p>
    <w:p w:rsidR="00E91BDB" w:rsidRPr="00AE29D2" w:rsidRDefault="00E91BDB" w:rsidP="00E91BDB">
      <w:pPr>
        <w:shd w:val="clear" w:color="auto" w:fill="FFFFFF"/>
        <w:tabs>
          <w:tab w:val="left" w:pos="9355"/>
        </w:tabs>
        <w:spacing w:after="0" w:line="276" w:lineRule="auto"/>
        <w:ind w:right="-5" w:firstLine="709"/>
        <w:jc w:val="both"/>
        <w:rPr>
          <w:rFonts w:asciiTheme="majorHAnsi" w:hAnsiTheme="majorHAnsi" w:cstheme="majorHAnsi"/>
          <w:i/>
          <w:sz w:val="24"/>
          <w:szCs w:val="24"/>
        </w:rPr>
      </w:pPr>
      <w:r w:rsidRPr="00AE29D2">
        <w:rPr>
          <w:rFonts w:asciiTheme="majorHAnsi" w:hAnsiTheme="majorHAnsi" w:cstheme="majorHAnsi"/>
          <w:sz w:val="24"/>
          <w:szCs w:val="24"/>
        </w:rPr>
        <w:t>Totodată</w:t>
      </w:r>
      <w:r>
        <w:rPr>
          <w:rFonts w:asciiTheme="majorHAnsi" w:hAnsiTheme="majorHAnsi" w:cstheme="majorHAnsi"/>
          <w:sz w:val="24"/>
          <w:szCs w:val="24"/>
        </w:rPr>
        <w:t xml:space="preserve">, </w:t>
      </w:r>
      <w:r w:rsidRPr="00AE29D2">
        <w:rPr>
          <w:rFonts w:asciiTheme="majorHAnsi" w:hAnsiTheme="majorHAnsi" w:cstheme="majorHAnsi"/>
          <w:sz w:val="24"/>
          <w:szCs w:val="24"/>
        </w:rPr>
        <w:t>soldurile mijloacelor bănești în conturile bugetelor componente ale BPN</w:t>
      </w:r>
      <w:r>
        <w:rPr>
          <w:rFonts w:asciiTheme="majorHAnsi" w:hAnsiTheme="majorHAnsi" w:cstheme="majorHAnsi"/>
          <w:sz w:val="24"/>
          <w:szCs w:val="24"/>
        </w:rPr>
        <w:t>,</w:t>
      </w:r>
      <w:r w:rsidRPr="00AE29D2">
        <w:rPr>
          <w:rFonts w:asciiTheme="majorHAnsi" w:hAnsiTheme="majorHAnsi" w:cstheme="majorHAnsi"/>
          <w:sz w:val="24"/>
          <w:szCs w:val="24"/>
        </w:rPr>
        <w:t xml:space="preserve"> la situația din 31.12.2018, au înregistrat o tendință de </w:t>
      </w:r>
      <w:r w:rsidRPr="00196BD6">
        <w:rPr>
          <w:rFonts w:asciiTheme="majorHAnsi" w:hAnsiTheme="majorHAnsi" w:cstheme="majorHAnsi"/>
          <w:sz w:val="24"/>
          <w:szCs w:val="24"/>
        </w:rPr>
        <w:t>descreștere f</w:t>
      </w:r>
      <w:r w:rsidRPr="00AE29D2">
        <w:rPr>
          <w:rFonts w:asciiTheme="majorHAnsi" w:hAnsiTheme="majorHAnsi" w:cstheme="majorHAnsi"/>
          <w:sz w:val="24"/>
          <w:szCs w:val="24"/>
        </w:rPr>
        <w:t xml:space="preserve">ață de 31.12.2017 cu </w:t>
      </w:r>
      <w:r w:rsidR="00196BD6" w:rsidRPr="00364452">
        <w:rPr>
          <w:rFonts w:asciiTheme="majorHAnsi" w:hAnsiTheme="majorHAnsi" w:cstheme="majorHAnsi"/>
          <w:sz w:val="24"/>
          <w:szCs w:val="24"/>
        </w:rPr>
        <w:t>(-</w:t>
      </w:r>
      <w:r w:rsidRPr="00364452">
        <w:rPr>
          <w:rFonts w:asciiTheme="majorHAnsi" w:hAnsiTheme="majorHAnsi" w:cstheme="majorHAnsi"/>
          <w:sz w:val="24"/>
          <w:szCs w:val="24"/>
        </w:rPr>
        <w:t>372,9</w:t>
      </w:r>
      <w:r w:rsidR="00196BD6" w:rsidRPr="00364452">
        <w:rPr>
          <w:rFonts w:asciiTheme="majorHAnsi" w:hAnsiTheme="majorHAnsi" w:cstheme="majorHAnsi"/>
          <w:sz w:val="24"/>
          <w:szCs w:val="24"/>
        </w:rPr>
        <w:t>)</w:t>
      </w:r>
      <w:r w:rsidRPr="00AE29D2">
        <w:rPr>
          <w:rFonts w:asciiTheme="majorHAnsi" w:hAnsiTheme="majorHAnsi" w:cstheme="majorHAnsi"/>
          <w:sz w:val="24"/>
          <w:szCs w:val="24"/>
        </w:rPr>
        <w:t xml:space="preserve"> mil.</w:t>
      </w:r>
      <w:r>
        <w:rPr>
          <w:rFonts w:asciiTheme="majorHAnsi" w:hAnsiTheme="majorHAnsi" w:cstheme="majorHAnsi"/>
          <w:sz w:val="24"/>
          <w:szCs w:val="24"/>
        </w:rPr>
        <w:t xml:space="preserve"> MDL</w:t>
      </w:r>
      <w:r w:rsidRPr="00AE29D2">
        <w:rPr>
          <w:rFonts w:asciiTheme="majorHAnsi" w:hAnsiTheme="majorHAnsi" w:cstheme="majorHAnsi"/>
          <w:sz w:val="24"/>
          <w:szCs w:val="24"/>
        </w:rPr>
        <w:t>, însumând în total 6 404,0 mil.</w:t>
      </w:r>
      <w:r>
        <w:rPr>
          <w:rFonts w:asciiTheme="majorHAnsi" w:hAnsiTheme="majorHAnsi" w:cstheme="majorHAnsi"/>
          <w:sz w:val="24"/>
          <w:szCs w:val="24"/>
        </w:rPr>
        <w:t xml:space="preserve"> MDL</w:t>
      </w:r>
      <w:r w:rsidRPr="00AE29D2">
        <w:rPr>
          <w:rFonts w:asciiTheme="majorHAnsi" w:hAnsiTheme="majorHAnsi" w:cstheme="majorHAnsi"/>
          <w:sz w:val="24"/>
          <w:szCs w:val="24"/>
        </w:rPr>
        <w:t>, dintre care: BS – 4 299,1 mil.</w:t>
      </w:r>
      <w:r>
        <w:rPr>
          <w:rFonts w:asciiTheme="majorHAnsi" w:hAnsiTheme="majorHAnsi" w:cstheme="majorHAnsi"/>
          <w:sz w:val="24"/>
          <w:szCs w:val="24"/>
        </w:rPr>
        <w:t xml:space="preserve"> MDL</w:t>
      </w:r>
      <w:r w:rsidRPr="00AE29D2">
        <w:rPr>
          <w:rFonts w:asciiTheme="majorHAnsi" w:hAnsiTheme="majorHAnsi" w:cstheme="majorHAnsi"/>
          <w:sz w:val="24"/>
          <w:szCs w:val="24"/>
        </w:rPr>
        <w:t xml:space="preserve">; BUAT – 1 338,1 mil. </w:t>
      </w:r>
      <w:r>
        <w:rPr>
          <w:rFonts w:asciiTheme="majorHAnsi" w:hAnsiTheme="majorHAnsi" w:cstheme="majorHAnsi"/>
          <w:sz w:val="24"/>
          <w:szCs w:val="24"/>
        </w:rPr>
        <w:t>MDL</w:t>
      </w:r>
      <w:r w:rsidRPr="00AE29D2">
        <w:rPr>
          <w:rFonts w:asciiTheme="majorHAnsi" w:hAnsiTheme="majorHAnsi" w:cstheme="majorHAnsi"/>
          <w:sz w:val="24"/>
          <w:szCs w:val="24"/>
        </w:rPr>
        <w:t xml:space="preserve">; BASS – 363,8 mil. </w:t>
      </w:r>
      <w:r>
        <w:rPr>
          <w:rFonts w:asciiTheme="majorHAnsi" w:hAnsiTheme="majorHAnsi" w:cstheme="majorHAnsi"/>
          <w:sz w:val="24"/>
          <w:szCs w:val="24"/>
        </w:rPr>
        <w:t>MDL</w:t>
      </w:r>
      <w:r w:rsidRPr="00AE29D2">
        <w:rPr>
          <w:rFonts w:asciiTheme="majorHAnsi" w:hAnsiTheme="majorHAnsi" w:cstheme="majorHAnsi"/>
          <w:sz w:val="24"/>
          <w:szCs w:val="24"/>
        </w:rPr>
        <w:t xml:space="preserve">; FAOAM – 403,0 mil. </w:t>
      </w:r>
      <w:r>
        <w:rPr>
          <w:rFonts w:asciiTheme="majorHAnsi" w:hAnsiTheme="majorHAnsi" w:cstheme="majorHAnsi"/>
          <w:sz w:val="24"/>
          <w:szCs w:val="24"/>
        </w:rPr>
        <w:t>MDL</w:t>
      </w:r>
      <w:r w:rsidRPr="00AE29D2">
        <w:rPr>
          <w:rFonts w:asciiTheme="majorHAnsi" w:hAnsiTheme="majorHAnsi" w:cstheme="majorHAnsi"/>
          <w:sz w:val="24"/>
          <w:szCs w:val="24"/>
        </w:rPr>
        <w:t>.</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eastAsia="ru-RU"/>
        </w:rPr>
      </w:pPr>
      <w:r w:rsidRPr="00AE29D2">
        <w:rPr>
          <w:rFonts w:asciiTheme="majorHAnsi" w:hAnsiTheme="majorHAnsi" w:cstheme="majorHAnsi"/>
          <w:sz w:val="24"/>
          <w:szCs w:val="24"/>
        </w:rPr>
        <w:t>Potrivit cadrului legal</w:t>
      </w:r>
      <w:r w:rsidRPr="00AE29D2">
        <w:rPr>
          <w:rFonts w:asciiTheme="majorHAnsi" w:hAnsiTheme="majorHAnsi" w:cstheme="majorHAnsi"/>
          <w:sz w:val="24"/>
          <w:szCs w:val="24"/>
          <w:vertAlign w:val="superscript"/>
        </w:rPr>
        <w:footnoteReference w:id="8"/>
      </w:r>
      <w:r w:rsidRPr="00AE29D2">
        <w:rPr>
          <w:rFonts w:asciiTheme="majorHAnsi" w:hAnsiTheme="majorHAnsi" w:cstheme="majorHAnsi"/>
          <w:sz w:val="24"/>
          <w:szCs w:val="24"/>
        </w:rPr>
        <w:t xml:space="preserve">, Curtea de Conturi efectuează auditul financiar anual al Raportului Guvernului privind executarea bugetului de stat în anul bugetar încheiat. Se atestă că </w:t>
      </w:r>
      <w:r w:rsidRPr="00AE29D2">
        <w:rPr>
          <w:rFonts w:asciiTheme="majorHAnsi" w:eastAsia="Times New Roman" w:hAnsiTheme="majorHAnsi" w:cstheme="majorHAnsi"/>
          <w:sz w:val="24"/>
          <w:szCs w:val="24"/>
          <w:lang w:eastAsia="ru-RU"/>
        </w:rPr>
        <w:t>formatul/structura Raportului privind executarea bugetului de stat pentru anul 2018</w:t>
      </w:r>
      <w:r w:rsidRPr="00AE29D2">
        <w:rPr>
          <w:rFonts w:asciiTheme="majorHAnsi" w:eastAsia="Times New Roman" w:hAnsiTheme="majorHAnsi" w:cstheme="majorHAnsi"/>
          <w:sz w:val="24"/>
          <w:szCs w:val="24"/>
          <w:vertAlign w:val="superscript"/>
          <w:lang w:eastAsia="ru-RU"/>
        </w:rPr>
        <w:footnoteReference w:id="9"/>
      </w:r>
      <w:r w:rsidRPr="00AE29D2">
        <w:rPr>
          <w:rFonts w:asciiTheme="majorHAnsi" w:eastAsia="Times New Roman" w:hAnsiTheme="majorHAnsi" w:cstheme="majorHAnsi"/>
          <w:sz w:val="24"/>
          <w:szCs w:val="24"/>
          <w:lang w:eastAsia="ru-RU"/>
        </w:rPr>
        <w:t xml:space="preserve"> coincide cu conținutul Legii bugetare anuale, iar formularele Raportului includ: indicatorii generali și sursele de finanțare ale </w:t>
      </w:r>
      <w:r>
        <w:rPr>
          <w:rFonts w:asciiTheme="majorHAnsi" w:eastAsia="Times New Roman" w:hAnsiTheme="majorHAnsi" w:cstheme="majorHAnsi"/>
          <w:sz w:val="24"/>
          <w:szCs w:val="24"/>
          <w:lang w:eastAsia="ru-RU"/>
        </w:rPr>
        <w:t>BS</w:t>
      </w:r>
      <w:r w:rsidRPr="00AE29D2">
        <w:rPr>
          <w:rFonts w:asciiTheme="majorHAnsi" w:eastAsia="Times New Roman" w:hAnsiTheme="majorHAnsi" w:cstheme="majorHAnsi"/>
          <w:sz w:val="24"/>
          <w:szCs w:val="24"/>
          <w:lang w:eastAsia="ru-RU"/>
        </w:rPr>
        <w:t xml:space="preserve">, executarea veniturilor, cheltuielilor și activelor nefinanciare, executarea bugetelor autorităților publice, executarea investițiilor capitale, transferurile de la bugetul de stat la bugetele locale, creanțele și datoriile la cheltuielile și activele nefinanciare (inclusiv cu termenul expirat), repartizarea și utilizarea mijloacelor fondului de rezervă și fondului de intervenție ale Guvernului, Bilanțul contabil privind executarea </w:t>
      </w:r>
      <w:r>
        <w:rPr>
          <w:rFonts w:asciiTheme="majorHAnsi" w:eastAsia="Times New Roman" w:hAnsiTheme="majorHAnsi" w:cstheme="majorHAnsi"/>
          <w:sz w:val="24"/>
          <w:szCs w:val="24"/>
          <w:lang w:eastAsia="ru-RU"/>
        </w:rPr>
        <w:t>BS</w:t>
      </w:r>
      <w:r w:rsidRPr="00AE29D2">
        <w:rPr>
          <w:rFonts w:asciiTheme="majorHAnsi" w:eastAsia="Times New Roman" w:hAnsiTheme="majorHAnsi" w:cstheme="majorHAnsi"/>
          <w:sz w:val="24"/>
          <w:szCs w:val="24"/>
          <w:lang w:eastAsia="ru-RU"/>
        </w:rPr>
        <w:t xml:space="preserve">, precum și Raportul privind executarea bugetului public național </w:t>
      </w:r>
      <w:r>
        <w:rPr>
          <w:rFonts w:asciiTheme="majorHAnsi" w:eastAsia="Times New Roman" w:hAnsiTheme="majorHAnsi" w:cstheme="majorHAnsi"/>
          <w:i/>
          <w:sz w:val="24"/>
          <w:szCs w:val="24"/>
          <w:lang w:eastAsia="ru-RU"/>
        </w:rPr>
        <w:t>(vezi Anexa nr.1</w:t>
      </w:r>
      <w:r w:rsidRPr="00AE29D2">
        <w:rPr>
          <w:rFonts w:asciiTheme="majorHAnsi" w:eastAsia="Times New Roman" w:hAnsiTheme="majorHAnsi" w:cstheme="majorHAnsi"/>
          <w:i/>
          <w:sz w:val="24"/>
          <w:szCs w:val="24"/>
          <w:lang w:eastAsia="ru-RU"/>
        </w:rPr>
        <w:t xml:space="preserve"> la prezentul Raport de audit).</w:t>
      </w:r>
    </w:p>
    <w:p w:rsidR="00E91BDB" w:rsidRPr="00AE29D2" w:rsidRDefault="00E91BDB" w:rsidP="00E91BDB">
      <w:pPr>
        <w:spacing w:after="0" w:line="276" w:lineRule="auto"/>
        <w:ind w:firstLine="709"/>
        <w:jc w:val="both"/>
        <w:rPr>
          <w:rFonts w:asciiTheme="majorHAnsi" w:eastAsia="Times New Roman" w:hAnsiTheme="majorHAnsi" w:cstheme="majorHAnsi"/>
          <w:sz w:val="24"/>
          <w:szCs w:val="24"/>
          <w:lang w:eastAsia="ru-RU"/>
        </w:rPr>
      </w:pPr>
      <w:r w:rsidRPr="00AE29D2">
        <w:rPr>
          <w:rFonts w:asciiTheme="majorHAnsi" w:eastAsia="Times New Roman" w:hAnsiTheme="majorHAnsi" w:cstheme="majorHAnsi"/>
          <w:sz w:val="24"/>
          <w:szCs w:val="24"/>
          <w:lang w:eastAsia="ru-RU"/>
        </w:rPr>
        <w:t xml:space="preserve">Datele privind indicii bugetari aprobați și precizați la venituri și cheltuieli, executarea de casă a veniturilor și cheltuielilor sunt date agregate din sistemul de evidență al </w:t>
      </w:r>
      <w:r>
        <w:rPr>
          <w:rFonts w:asciiTheme="majorHAnsi" w:eastAsia="Times New Roman" w:hAnsiTheme="majorHAnsi" w:cstheme="majorHAnsi"/>
          <w:sz w:val="24"/>
          <w:szCs w:val="24"/>
          <w:lang w:eastAsia="ru-RU"/>
        </w:rPr>
        <w:t>MF</w:t>
      </w:r>
      <w:r w:rsidRPr="00AE29D2">
        <w:rPr>
          <w:rFonts w:asciiTheme="majorHAnsi" w:eastAsia="Times New Roman" w:hAnsiTheme="majorHAnsi" w:cstheme="majorHAnsi"/>
          <w:sz w:val="24"/>
          <w:szCs w:val="24"/>
          <w:lang w:eastAsia="ru-RU"/>
        </w:rPr>
        <w:t xml:space="preserve">, iar ceilalți indici se includ ca rezultat al consolidării datelor </w:t>
      </w:r>
      <w:r>
        <w:rPr>
          <w:rFonts w:asciiTheme="majorHAnsi" w:eastAsia="Times New Roman" w:hAnsiTheme="majorHAnsi" w:cstheme="majorHAnsi"/>
          <w:sz w:val="24"/>
          <w:szCs w:val="24"/>
          <w:lang w:eastAsia="ru-RU"/>
        </w:rPr>
        <w:t xml:space="preserve">din </w:t>
      </w:r>
      <w:r w:rsidRPr="00AE29D2">
        <w:rPr>
          <w:rFonts w:asciiTheme="majorHAnsi" w:eastAsia="Times New Roman" w:hAnsiTheme="majorHAnsi" w:cstheme="majorHAnsi"/>
          <w:sz w:val="24"/>
          <w:szCs w:val="24"/>
          <w:lang w:eastAsia="ru-RU"/>
        </w:rPr>
        <w:t>rapoartel</w:t>
      </w:r>
      <w:r>
        <w:rPr>
          <w:rFonts w:asciiTheme="majorHAnsi" w:eastAsia="Times New Roman" w:hAnsiTheme="majorHAnsi" w:cstheme="majorHAnsi"/>
          <w:sz w:val="24"/>
          <w:szCs w:val="24"/>
          <w:lang w:eastAsia="ru-RU"/>
        </w:rPr>
        <w:t>e</w:t>
      </w:r>
      <w:r w:rsidRPr="00AE29D2">
        <w:rPr>
          <w:rFonts w:asciiTheme="majorHAnsi" w:eastAsia="Times New Roman" w:hAnsiTheme="majorHAnsi" w:cstheme="majorHAnsi"/>
          <w:sz w:val="24"/>
          <w:szCs w:val="24"/>
          <w:lang w:eastAsia="ru-RU"/>
        </w:rPr>
        <w:t xml:space="preserve"> financiare prezentate de către autoritățile/instituțiile bugetare, responsabilitatea pentru corectitudinea și veridicitatea datelor revenindu-le acestora.</w:t>
      </w:r>
    </w:p>
    <w:p w:rsidR="00E91BDB" w:rsidRPr="00AE29D2" w:rsidRDefault="00E91BDB" w:rsidP="00E91BDB">
      <w:pPr>
        <w:shd w:val="clear" w:color="auto" w:fill="FFFFFF"/>
        <w:spacing w:after="0" w:line="276" w:lineRule="auto"/>
        <w:ind w:right="45" w:firstLine="709"/>
        <w:jc w:val="both"/>
        <w:rPr>
          <w:rFonts w:asciiTheme="majorHAnsi" w:hAnsiTheme="majorHAnsi" w:cstheme="majorHAnsi"/>
          <w:sz w:val="24"/>
          <w:szCs w:val="24"/>
        </w:rPr>
      </w:pPr>
      <w:r w:rsidRPr="00AE29D2">
        <w:rPr>
          <w:rFonts w:asciiTheme="majorHAnsi" w:eastAsia="Times New Roman" w:hAnsiTheme="majorHAnsi" w:cstheme="majorHAnsi"/>
          <w:bCs/>
          <w:iCs/>
          <w:sz w:val="24"/>
          <w:szCs w:val="24"/>
          <w:lang w:eastAsia="ru-RU"/>
        </w:rPr>
        <w:lastRenderedPageBreak/>
        <w:t>Auditul financiar exercitat a avut drept scop obținerea unei asigurări rezonabile referitor la faptul că Raportul Guvernului privind executarea bugetului de stat pe anul 2018, întocmit de Ministerul Finanțelor și prezentat Guvernului spre aprobare</w:t>
      </w:r>
      <w:r>
        <w:rPr>
          <w:rFonts w:asciiTheme="majorHAnsi" w:eastAsia="Times New Roman" w:hAnsiTheme="majorHAnsi" w:cstheme="majorHAnsi"/>
          <w:bCs/>
          <w:iCs/>
          <w:sz w:val="24"/>
          <w:szCs w:val="24"/>
          <w:lang w:eastAsia="ru-RU"/>
        </w:rPr>
        <w:t>,</w:t>
      </w:r>
      <w:r w:rsidRPr="00AE29D2">
        <w:rPr>
          <w:rFonts w:asciiTheme="majorHAnsi" w:eastAsia="Times New Roman" w:hAnsiTheme="majorHAnsi" w:cstheme="majorHAnsi"/>
          <w:bCs/>
          <w:iCs/>
          <w:sz w:val="24"/>
          <w:szCs w:val="24"/>
          <w:lang w:eastAsia="ru-RU"/>
        </w:rPr>
        <w:t xml:space="preserve"> este elaborat, </w:t>
      </w:r>
      <w:r w:rsidR="007C4CFA">
        <w:rPr>
          <w:rFonts w:asciiTheme="majorHAnsi" w:eastAsia="Times New Roman" w:hAnsiTheme="majorHAnsi" w:cstheme="majorHAnsi"/>
          <w:bCs/>
          <w:iCs/>
          <w:sz w:val="24"/>
          <w:szCs w:val="24"/>
          <w:lang w:eastAsia="ru-RU"/>
        </w:rPr>
        <w:t>sub</w:t>
      </w:r>
      <w:r w:rsidRPr="00AE29D2">
        <w:rPr>
          <w:rFonts w:asciiTheme="majorHAnsi" w:eastAsia="Times New Roman" w:hAnsiTheme="majorHAnsi" w:cstheme="majorHAnsi"/>
          <w:bCs/>
          <w:iCs/>
          <w:sz w:val="24"/>
          <w:szCs w:val="24"/>
          <w:lang w:eastAsia="ru-RU"/>
        </w:rPr>
        <w:t xml:space="preserve"> toate aspectele semnificative, în conformitate cu prevederile legale și prezintă informația financiară bazată pe datele evidenței sistemului </w:t>
      </w:r>
      <w:proofErr w:type="spellStart"/>
      <w:r w:rsidRPr="00AE29D2">
        <w:rPr>
          <w:rFonts w:asciiTheme="majorHAnsi" w:eastAsia="Times New Roman" w:hAnsiTheme="majorHAnsi" w:cstheme="majorHAnsi"/>
          <w:bCs/>
          <w:iCs/>
          <w:sz w:val="24"/>
          <w:szCs w:val="24"/>
          <w:lang w:eastAsia="ru-RU"/>
        </w:rPr>
        <w:t>trezorerial</w:t>
      </w:r>
      <w:proofErr w:type="spellEnd"/>
      <w:r w:rsidRPr="00AE29D2">
        <w:rPr>
          <w:rFonts w:asciiTheme="majorHAnsi" w:eastAsia="Times New Roman" w:hAnsiTheme="majorHAnsi" w:cstheme="majorHAnsi"/>
          <w:bCs/>
          <w:iCs/>
          <w:sz w:val="24"/>
          <w:szCs w:val="24"/>
          <w:lang w:eastAsia="ru-RU"/>
        </w:rPr>
        <w:t xml:space="preserve"> și datele consolidate ale rapoartelor autorităților/instituțiilor bugetare, iar operațiunile sunt corecte și conforme prevederilor legale.</w:t>
      </w:r>
    </w:p>
    <w:p w:rsidR="00E91BDB" w:rsidRDefault="00E91BDB" w:rsidP="00C845FE">
      <w:pPr>
        <w:shd w:val="clear" w:color="auto" w:fill="FFFFFF"/>
        <w:spacing w:after="0" w:line="276" w:lineRule="auto"/>
        <w:ind w:right="45" w:firstLine="709"/>
        <w:jc w:val="both"/>
        <w:rPr>
          <w:rFonts w:asciiTheme="majorHAnsi" w:hAnsiTheme="majorHAnsi" w:cstheme="majorHAnsi"/>
          <w:sz w:val="24"/>
          <w:szCs w:val="24"/>
        </w:rPr>
      </w:pPr>
      <w:r w:rsidRPr="00AE29D2">
        <w:rPr>
          <w:rFonts w:asciiTheme="majorHAnsi" w:hAnsiTheme="majorHAnsi" w:cstheme="majorHAnsi"/>
          <w:sz w:val="24"/>
          <w:szCs w:val="24"/>
        </w:rPr>
        <w:t>Astfel, aspectele-cheie ale prezentului audit financiar public extern se referă la rezultatele verificărilor Raportului privind executarea bugetului de stat pe anul de gestiune încheiat la 31</w:t>
      </w:r>
      <w:r w:rsidR="007C4CFA">
        <w:rPr>
          <w:rFonts w:asciiTheme="majorHAnsi" w:hAnsiTheme="majorHAnsi" w:cstheme="majorHAnsi"/>
          <w:sz w:val="24"/>
          <w:szCs w:val="24"/>
        </w:rPr>
        <w:t xml:space="preserve"> decembrie </w:t>
      </w:r>
      <w:r w:rsidRPr="00AE29D2">
        <w:rPr>
          <w:rFonts w:asciiTheme="majorHAnsi" w:hAnsiTheme="majorHAnsi" w:cstheme="majorHAnsi"/>
          <w:sz w:val="24"/>
          <w:szCs w:val="24"/>
        </w:rPr>
        <w:t>2018.</w:t>
      </w:r>
    </w:p>
    <w:p w:rsidR="00E91BDB" w:rsidRPr="00E91BDB" w:rsidRDefault="00E91BDB" w:rsidP="00C845FE">
      <w:pPr>
        <w:tabs>
          <w:tab w:val="left" w:pos="426"/>
        </w:tabs>
        <w:spacing w:after="0"/>
        <w:jc w:val="both"/>
        <w:outlineLvl w:val="1"/>
        <w:rPr>
          <w:rFonts w:asciiTheme="majorHAnsi" w:hAnsiTheme="majorHAnsi" w:cstheme="majorHAnsi"/>
          <w:b/>
          <w:sz w:val="24"/>
          <w:szCs w:val="24"/>
        </w:rPr>
      </w:pPr>
    </w:p>
    <w:p w:rsidR="00457A95" w:rsidRPr="00457A95" w:rsidRDefault="002234E3" w:rsidP="00C845FE">
      <w:pPr>
        <w:pStyle w:val="ListParagraph"/>
        <w:numPr>
          <w:ilvl w:val="1"/>
          <w:numId w:val="22"/>
        </w:numPr>
        <w:tabs>
          <w:tab w:val="left" w:pos="426"/>
        </w:tabs>
        <w:spacing w:after="0"/>
        <w:jc w:val="both"/>
        <w:outlineLvl w:val="1"/>
        <w:rPr>
          <w:rFonts w:asciiTheme="majorHAnsi" w:hAnsiTheme="majorHAnsi" w:cstheme="majorHAnsi"/>
          <w:b/>
          <w:sz w:val="24"/>
          <w:szCs w:val="24"/>
        </w:rPr>
      </w:pPr>
      <w:bookmarkStart w:id="8" w:name="_Toc10126080"/>
      <w:r w:rsidRPr="00457A95">
        <w:rPr>
          <w:rFonts w:asciiTheme="majorHAnsi" w:hAnsiTheme="majorHAnsi" w:cstheme="majorHAnsi"/>
          <w:b/>
          <w:sz w:val="24"/>
          <w:szCs w:val="24"/>
        </w:rPr>
        <w:t>ASPECTE FINANCIARE</w:t>
      </w:r>
      <w:bookmarkEnd w:id="8"/>
    </w:p>
    <w:p w:rsidR="00D75E70" w:rsidRPr="00CD1BD0" w:rsidRDefault="00453997" w:rsidP="00C845FE">
      <w:pPr>
        <w:pStyle w:val="ListParagraph"/>
        <w:spacing w:after="0" w:line="276" w:lineRule="auto"/>
        <w:ind w:left="0"/>
        <w:jc w:val="both"/>
        <w:outlineLvl w:val="2"/>
        <w:rPr>
          <w:rFonts w:asciiTheme="majorHAnsi" w:hAnsiTheme="majorHAnsi" w:cstheme="majorHAnsi"/>
          <w:b/>
          <w:sz w:val="24"/>
          <w:szCs w:val="24"/>
        </w:rPr>
      </w:pPr>
      <w:bookmarkStart w:id="9" w:name="_Toc10126081"/>
      <w:r>
        <w:rPr>
          <w:rFonts w:asciiTheme="majorHAnsi" w:hAnsiTheme="majorHAnsi" w:cstheme="majorHAnsi"/>
          <w:b/>
          <w:sz w:val="24"/>
          <w:szCs w:val="24"/>
        </w:rPr>
        <w:t>3.2</w:t>
      </w:r>
      <w:r w:rsidR="00457A95">
        <w:rPr>
          <w:rFonts w:asciiTheme="majorHAnsi" w:hAnsiTheme="majorHAnsi" w:cstheme="majorHAnsi"/>
          <w:b/>
          <w:sz w:val="24"/>
          <w:szCs w:val="24"/>
        </w:rPr>
        <w:t xml:space="preserve">.1 </w:t>
      </w:r>
      <w:r w:rsidR="00A11A45">
        <w:rPr>
          <w:rFonts w:asciiTheme="majorHAnsi" w:hAnsiTheme="majorHAnsi" w:cstheme="majorHAnsi"/>
          <w:b/>
          <w:sz w:val="24"/>
          <w:szCs w:val="24"/>
        </w:rPr>
        <w:t>Indicatorii</w:t>
      </w:r>
      <w:r w:rsidR="00996D67">
        <w:rPr>
          <w:rFonts w:asciiTheme="majorHAnsi" w:hAnsiTheme="majorHAnsi" w:cstheme="majorHAnsi"/>
          <w:b/>
          <w:sz w:val="24"/>
          <w:szCs w:val="24"/>
        </w:rPr>
        <w:t xml:space="preserve"> generali ai </w:t>
      </w:r>
      <w:r w:rsidR="00577D93">
        <w:rPr>
          <w:rFonts w:asciiTheme="majorHAnsi" w:hAnsiTheme="majorHAnsi" w:cstheme="majorHAnsi"/>
          <w:b/>
          <w:sz w:val="24"/>
          <w:szCs w:val="24"/>
        </w:rPr>
        <w:t>bugetului de stat pe anul 2018</w:t>
      </w:r>
      <w:r w:rsidR="00A11A45">
        <w:rPr>
          <w:rFonts w:asciiTheme="majorHAnsi" w:hAnsiTheme="majorHAnsi" w:cstheme="majorHAnsi"/>
          <w:b/>
          <w:sz w:val="24"/>
          <w:szCs w:val="24"/>
        </w:rPr>
        <w:t xml:space="preserve"> au fost executați sub nivelul precizat</w:t>
      </w:r>
      <w:r w:rsidR="00577D93">
        <w:rPr>
          <w:rFonts w:asciiTheme="majorHAnsi" w:hAnsiTheme="majorHAnsi" w:cstheme="majorHAnsi"/>
          <w:b/>
          <w:sz w:val="24"/>
          <w:szCs w:val="24"/>
        </w:rPr>
        <w:t>.</w:t>
      </w:r>
      <w:bookmarkEnd w:id="9"/>
    </w:p>
    <w:p w:rsidR="004218F3" w:rsidRDefault="0077598C" w:rsidP="00FB186A">
      <w:pPr>
        <w:spacing w:after="0" w:line="276" w:lineRule="auto"/>
        <w:ind w:firstLine="709"/>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Bugetul de stat pe anul 2018</w:t>
      </w:r>
      <w:r w:rsidRPr="007A534D">
        <w:rPr>
          <w:rFonts w:asciiTheme="majorHAnsi" w:eastAsia="Times New Roman" w:hAnsiTheme="majorHAnsi" w:cstheme="majorHAnsi"/>
          <w:sz w:val="24"/>
          <w:szCs w:val="24"/>
          <w:vertAlign w:val="superscript"/>
          <w:lang w:val="ro-MD"/>
        </w:rPr>
        <w:footnoteReference w:id="10"/>
      </w:r>
      <w:r w:rsidRPr="007A534D">
        <w:rPr>
          <w:rFonts w:asciiTheme="majorHAnsi" w:eastAsia="Times New Roman" w:hAnsiTheme="majorHAnsi" w:cstheme="majorHAnsi"/>
          <w:sz w:val="24"/>
          <w:szCs w:val="24"/>
          <w:lang w:val="ro-MD"/>
        </w:rPr>
        <w:t xml:space="preserve"> a fost aprobat inițial la venituri în sumă de 36</w:t>
      </w:r>
      <w:r>
        <w:rPr>
          <w:rFonts w:asciiTheme="majorHAnsi" w:eastAsia="Times New Roman" w:hAnsiTheme="majorHAnsi" w:cstheme="majorHAnsi"/>
          <w:sz w:val="24"/>
          <w:szCs w:val="24"/>
          <w:lang w:val="ro-MD"/>
        </w:rPr>
        <w:t xml:space="preserve"> </w:t>
      </w:r>
      <w:r w:rsidRPr="007A534D">
        <w:rPr>
          <w:rFonts w:asciiTheme="majorHAnsi" w:eastAsia="Times New Roman" w:hAnsiTheme="majorHAnsi" w:cstheme="majorHAnsi"/>
          <w:sz w:val="24"/>
          <w:szCs w:val="24"/>
          <w:lang w:val="ro-MD"/>
        </w:rPr>
        <w:t>618,5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 xml:space="preserve">MDL </w:t>
      </w:r>
      <w:r w:rsidRPr="007A534D">
        <w:rPr>
          <w:rFonts w:asciiTheme="majorHAnsi" w:eastAsia="Times New Roman" w:hAnsiTheme="majorHAnsi" w:cstheme="majorHAnsi"/>
          <w:sz w:val="24"/>
          <w:szCs w:val="24"/>
          <w:lang w:val="ro-MD"/>
        </w:rPr>
        <w:t xml:space="preserve"> și la cheltuieli – de 41</w:t>
      </w:r>
      <w:r>
        <w:rPr>
          <w:rFonts w:asciiTheme="majorHAnsi" w:eastAsia="Times New Roman" w:hAnsiTheme="majorHAnsi" w:cstheme="majorHAnsi"/>
          <w:sz w:val="24"/>
          <w:szCs w:val="24"/>
          <w:lang w:val="ro-MD"/>
        </w:rPr>
        <w:t xml:space="preserve"> </w:t>
      </w:r>
      <w:r w:rsidRPr="007A534D">
        <w:rPr>
          <w:rFonts w:asciiTheme="majorHAnsi" w:eastAsia="Times New Roman" w:hAnsiTheme="majorHAnsi" w:cstheme="majorHAnsi"/>
          <w:sz w:val="24"/>
          <w:szCs w:val="24"/>
          <w:lang w:val="ro-MD"/>
        </w:rPr>
        <w:t>332,4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cu o depășire a cheltuielilor asupra veniturilor de 4</w:t>
      </w:r>
      <w:r>
        <w:rPr>
          <w:rFonts w:asciiTheme="majorHAnsi" w:eastAsia="Times New Roman" w:hAnsiTheme="majorHAnsi" w:cstheme="majorHAnsi"/>
          <w:sz w:val="24"/>
          <w:szCs w:val="24"/>
          <w:lang w:val="ro-MD"/>
        </w:rPr>
        <w:t xml:space="preserve"> </w:t>
      </w:r>
      <w:r w:rsidRPr="007A534D">
        <w:rPr>
          <w:rFonts w:asciiTheme="majorHAnsi" w:eastAsia="Times New Roman" w:hAnsiTheme="majorHAnsi" w:cstheme="majorHAnsi"/>
          <w:sz w:val="24"/>
          <w:szCs w:val="24"/>
          <w:lang w:val="ro-MD"/>
        </w:rPr>
        <w:t>713,9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w:t>
      </w:r>
      <w:r w:rsidR="00CD1BD0" w:rsidRPr="00DA2985">
        <w:rPr>
          <w:rFonts w:asciiTheme="majorHAnsi" w:eastAsia="Times New Roman" w:hAnsiTheme="majorHAnsi" w:cstheme="majorHAnsi"/>
          <w:sz w:val="24"/>
          <w:szCs w:val="24"/>
          <w:lang w:val="ro-MD"/>
        </w:rPr>
        <w:t>Pe parcursul anului 2018, la Legea bugetară anuală</w:t>
      </w:r>
      <w:r w:rsidR="00CD1BD0" w:rsidRPr="00DA2985">
        <w:rPr>
          <w:rStyle w:val="FootnoteReference"/>
          <w:rFonts w:asciiTheme="majorHAnsi" w:eastAsia="Times New Roman" w:hAnsiTheme="majorHAnsi" w:cstheme="majorHAnsi"/>
          <w:sz w:val="24"/>
          <w:szCs w:val="24"/>
          <w:lang w:val="ro-MD"/>
        </w:rPr>
        <w:footnoteReference w:id="11"/>
      </w:r>
      <w:r w:rsidR="00CD1BD0" w:rsidRPr="00DA2985">
        <w:rPr>
          <w:rFonts w:asciiTheme="majorHAnsi" w:eastAsia="Times New Roman" w:hAnsiTheme="majorHAnsi" w:cstheme="majorHAnsi"/>
          <w:sz w:val="24"/>
          <w:szCs w:val="24"/>
          <w:lang w:val="ro-MD"/>
        </w:rPr>
        <w:t xml:space="preserve"> au fost operate 5 modificări, urmare </w:t>
      </w:r>
      <w:r w:rsidR="00E6384E">
        <w:rPr>
          <w:rFonts w:asciiTheme="majorHAnsi" w:eastAsia="Times New Roman" w:hAnsiTheme="majorHAnsi" w:cstheme="majorHAnsi"/>
          <w:sz w:val="24"/>
          <w:szCs w:val="24"/>
          <w:lang w:val="ro-MD"/>
        </w:rPr>
        <w:t xml:space="preserve">a </w:t>
      </w:r>
      <w:r w:rsidR="00CD1BD0" w:rsidRPr="00DA2985">
        <w:rPr>
          <w:rFonts w:asciiTheme="majorHAnsi" w:eastAsia="Times New Roman" w:hAnsiTheme="majorHAnsi" w:cstheme="majorHAnsi"/>
          <w:sz w:val="24"/>
          <w:szCs w:val="24"/>
          <w:lang w:val="ro-MD"/>
        </w:rPr>
        <w:t xml:space="preserve">cărora indicatorii inițiali au fost majorați la venituri cu 303,5 mil. </w:t>
      </w:r>
      <w:r w:rsidR="007160B9">
        <w:rPr>
          <w:rFonts w:asciiTheme="majorHAnsi" w:eastAsia="Times New Roman" w:hAnsiTheme="majorHAnsi" w:cstheme="majorHAnsi"/>
          <w:sz w:val="24"/>
          <w:szCs w:val="24"/>
          <w:lang w:val="ro-MD"/>
        </w:rPr>
        <w:t>MDL</w:t>
      </w:r>
      <w:r w:rsidR="00CD1BD0" w:rsidRPr="00DA2985">
        <w:rPr>
          <w:rFonts w:asciiTheme="majorHAnsi" w:eastAsia="Times New Roman" w:hAnsiTheme="majorHAnsi" w:cstheme="majorHAnsi"/>
          <w:sz w:val="24"/>
          <w:szCs w:val="24"/>
          <w:lang w:val="ro-MD"/>
        </w:rPr>
        <w:t xml:space="preserve">, la cheltuieli – cu 652,1 mil. </w:t>
      </w:r>
      <w:r w:rsidR="007160B9">
        <w:rPr>
          <w:rFonts w:asciiTheme="majorHAnsi" w:eastAsia="Times New Roman" w:hAnsiTheme="majorHAnsi" w:cstheme="majorHAnsi"/>
          <w:sz w:val="24"/>
          <w:szCs w:val="24"/>
          <w:lang w:val="ro-MD"/>
        </w:rPr>
        <w:t>MDL</w:t>
      </w:r>
      <w:r w:rsidR="00CD1BD0" w:rsidRPr="00DA2985">
        <w:rPr>
          <w:rFonts w:asciiTheme="majorHAnsi" w:eastAsia="Times New Roman" w:hAnsiTheme="majorHAnsi" w:cstheme="majorHAnsi"/>
          <w:sz w:val="24"/>
          <w:szCs w:val="24"/>
          <w:lang w:val="ro-MD"/>
        </w:rPr>
        <w:t>, și deficitul</w:t>
      </w:r>
      <w:r w:rsidR="00B85CB3">
        <w:rPr>
          <w:rStyle w:val="FootnoteReference"/>
          <w:rFonts w:asciiTheme="majorHAnsi" w:eastAsia="Times New Roman" w:hAnsiTheme="majorHAnsi" w:cstheme="majorHAnsi"/>
          <w:sz w:val="24"/>
          <w:szCs w:val="24"/>
          <w:lang w:val="ro-MD"/>
        </w:rPr>
        <w:footnoteReference w:id="12"/>
      </w:r>
      <w:r w:rsidR="00CD1BD0" w:rsidRPr="00DA2985">
        <w:rPr>
          <w:rFonts w:asciiTheme="majorHAnsi" w:eastAsia="Times New Roman" w:hAnsiTheme="majorHAnsi" w:cstheme="majorHAnsi"/>
          <w:sz w:val="24"/>
          <w:szCs w:val="24"/>
          <w:lang w:val="ro-MD"/>
        </w:rPr>
        <w:t xml:space="preserve"> – cu 348,6 mil. </w:t>
      </w:r>
      <w:r w:rsidR="007160B9">
        <w:rPr>
          <w:rFonts w:asciiTheme="majorHAnsi" w:eastAsia="Times New Roman" w:hAnsiTheme="majorHAnsi" w:cstheme="majorHAnsi"/>
          <w:sz w:val="24"/>
          <w:szCs w:val="24"/>
          <w:lang w:val="ro-MD"/>
        </w:rPr>
        <w:t>MDL</w:t>
      </w:r>
      <w:r w:rsidR="00CD1BD0" w:rsidRPr="00DA2985">
        <w:rPr>
          <w:rFonts w:asciiTheme="majorHAnsi" w:eastAsia="Times New Roman" w:hAnsiTheme="majorHAnsi" w:cstheme="majorHAnsi"/>
          <w:sz w:val="24"/>
          <w:szCs w:val="24"/>
          <w:lang w:val="ro-MD"/>
        </w:rPr>
        <w:t xml:space="preserve">. </w:t>
      </w:r>
    </w:p>
    <w:p w:rsidR="00CD0339" w:rsidRPr="007A534D" w:rsidRDefault="00CD1BD0" w:rsidP="004218F3">
      <w:pPr>
        <w:spacing w:after="0" w:line="276" w:lineRule="auto"/>
        <w:ind w:firstLine="709"/>
        <w:jc w:val="both"/>
        <w:rPr>
          <w:rFonts w:asciiTheme="majorHAnsi" w:eastAsia="Times New Roman" w:hAnsiTheme="majorHAnsi" w:cstheme="majorHAnsi"/>
          <w:i/>
          <w:sz w:val="24"/>
          <w:szCs w:val="24"/>
          <w:lang w:val="ro-MD"/>
        </w:rPr>
      </w:pPr>
      <w:r w:rsidRPr="00DA2985">
        <w:rPr>
          <w:rFonts w:asciiTheme="majorHAnsi" w:eastAsia="Times New Roman" w:hAnsiTheme="majorHAnsi" w:cstheme="majorHAnsi"/>
          <w:sz w:val="24"/>
          <w:szCs w:val="24"/>
          <w:lang w:val="ro-MD"/>
        </w:rPr>
        <w:t xml:space="preserve">Analiza auditului denotă că, în temeiul art.18 din Legea bugetară anuală, indicatorii aprobați de Parlament </w:t>
      </w:r>
      <w:r w:rsidR="00B85CB3">
        <w:rPr>
          <w:rFonts w:asciiTheme="majorHAnsi" w:eastAsia="Times New Roman" w:hAnsiTheme="majorHAnsi" w:cstheme="majorHAnsi"/>
          <w:sz w:val="24"/>
          <w:szCs w:val="24"/>
          <w:lang w:val="ro-MD"/>
        </w:rPr>
        <w:t>(</w:t>
      </w:r>
      <w:r w:rsidR="00B85CB3" w:rsidRPr="00DA2985">
        <w:rPr>
          <w:rFonts w:asciiTheme="majorHAnsi" w:eastAsia="Times New Roman" w:hAnsiTheme="majorHAnsi" w:cstheme="majorHAnsi"/>
          <w:sz w:val="24"/>
          <w:szCs w:val="24"/>
          <w:lang w:val="ro-MD"/>
        </w:rPr>
        <w:t xml:space="preserve">urmare </w:t>
      </w:r>
      <w:r w:rsidR="00E6384E">
        <w:rPr>
          <w:rFonts w:asciiTheme="majorHAnsi" w:eastAsia="Times New Roman" w:hAnsiTheme="majorHAnsi" w:cstheme="majorHAnsi"/>
          <w:sz w:val="24"/>
          <w:szCs w:val="24"/>
          <w:lang w:val="ro-MD"/>
        </w:rPr>
        <w:t xml:space="preserve">a </w:t>
      </w:r>
      <w:r w:rsidR="00B85CB3" w:rsidRPr="00DA2985">
        <w:rPr>
          <w:rFonts w:asciiTheme="majorHAnsi" w:eastAsia="Times New Roman" w:hAnsiTheme="majorHAnsi" w:cstheme="majorHAnsi"/>
          <w:sz w:val="24"/>
          <w:szCs w:val="24"/>
          <w:lang w:val="ro-MD"/>
        </w:rPr>
        <w:t>modificărilor operate</w:t>
      </w:r>
      <w:r w:rsidR="00B85CB3">
        <w:rPr>
          <w:rFonts w:asciiTheme="majorHAnsi" w:eastAsia="Times New Roman" w:hAnsiTheme="majorHAnsi" w:cstheme="majorHAnsi"/>
          <w:sz w:val="24"/>
          <w:szCs w:val="24"/>
          <w:lang w:val="ro-MD"/>
        </w:rPr>
        <w:t>)</w:t>
      </w:r>
      <w:r w:rsidR="00B85CB3" w:rsidRPr="00DA2985">
        <w:rPr>
          <w:rFonts w:asciiTheme="majorHAnsi" w:eastAsia="Times New Roman" w:hAnsiTheme="majorHAnsi" w:cstheme="majorHAnsi"/>
          <w:sz w:val="24"/>
          <w:szCs w:val="24"/>
          <w:lang w:val="ro-MD"/>
        </w:rPr>
        <w:t xml:space="preserve"> </w:t>
      </w:r>
      <w:r w:rsidRPr="00DA2985">
        <w:rPr>
          <w:rFonts w:asciiTheme="majorHAnsi" w:eastAsia="Times New Roman" w:hAnsiTheme="majorHAnsi" w:cstheme="majorHAnsi"/>
          <w:sz w:val="24"/>
          <w:szCs w:val="24"/>
          <w:lang w:val="ro-MD"/>
        </w:rPr>
        <w:t xml:space="preserve">au fost modificați spre majorare la venituri cu </w:t>
      </w:r>
      <w:r w:rsidR="002A1993" w:rsidRPr="00DA2985">
        <w:rPr>
          <w:rFonts w:asciiTheme="majorHAnsi" w:eastAsia="Times New Roman" w:hAnsiTheme="majorHAnsi" w:cstheme="majorHAnsi"/>
          <w:sz w:val="24"/>
          <w:szCs w:val="24"/>
          <w:lang w:val="ro-MD"/>
        </w:rPr>
        <w:t>47,4</w:t>
      </w:r>
      <w:r w:rsidRPr="00DA2985">
        <w:rPr>
          <w:rFonts w:asciiTheme="majorHAnsi" w:eastAsia="Times New Roman" w:hAnsiTheme="majorHAnsi" w:cstheme="majorHAnsi"/>
          <w:sz w:val="24"/>
          <w:szCs w:val="24"/>
          <w:lang w:val="ro-MD"/>
        </w:rPr>
        <w:t xml:space="preserve"> mil.</w:t>
      </w:r>
      <w:r w:rsidR="004218F3">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DA2985">
        <w:rPr>
          <w:rFonts w:asciiTheme="majorHAnsi" w:eastAsia="Times New Roman" w:hAnsiTheme="majorHAnsi" w:cstheme="majorHAnsi"/>
          <w:sz w:val="24"/>
          <w:szCs w:val="24"/>
          <w:lang w:val="ro-MD"/>
        </w:rPr>
        <w:t xml:space="preserve">, la cheltuieli – cu </w:t>
      </w:r>
      <w:r w:rsidR="002A1993" w:rsidRPr="00DA2985">
        <w:rPr>
          <w:rFonts w:asciiTheme="majorHAnsi" w:eastAsia="Times New Roman" w:hAnsiTheme="majorHAnsi" w:cstheme="majorHAnsi"/>
          <w:sz w:val="24"/>
          <w:szCs w:val="24"/>
          <w:lang w:val="ro-MD"/>
        </w:rPr>
        <w:t>47,4</w:t>
      </w:r>
      <w:r w:rsidRPr="00DA2985">
        <w:rPr>
          <w:rFonts w:asciiTheme="majorHAnsi" w:eastAsia="Times New Roman" w:hAnsiTheme="majorHAnsi" w:cstheme="majorHAnsi"/>
          <w:sz w:val="24"/>
          <w:szCs w:val="24"/>
          <w:lang w:val="ro-MD"/>
        </w:rPr>
        <w:t xml:space="preserve"> mil.</w:t>
      </w:r>
      <w:r w:rsidR="00E6384E">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DA2985">
        <w:rPr>
          <w:rFonts w:asciiTheme="majorHAnsi" w:eastAsia="Times New Roman" w:hAnsiTheme="majorHAnsi" w:cstheme="majorHAnsi"/>
          <w:sz w:val="24"/>
          <w:szCs w:val="24"/>
          <w:lang w:val="ro-MD"/>
        </w:rPr>
        <w:t xml:space="preserve">, </w:t>
      </w:r>
      <w:r w:rsidR="002A1993" w:rsidRPr="00DA2985">
        <w:rPr>
          <w:rFonts w:asciiTheme="majorHAnsi" w:eastAsia="Times New Roman" w:hAnsiTheme="majorHAnsi" w:cstheme="majorHAnsi"/>
          <w:sz w:val="24"/>
          <w:szCs w:val="24"/>
          <w:lang w:val="ro-MD"/>
        </w:rPr>
        <w:t>iar deficitul nu a fost modificat</w:t>
      </w:r>
      <w:r w:rsidRPr="00DA2985">
        <w:rPr>
          <w:rFonts w:asciiTheme="majorHAnsi" w:eastAsia="Times New Roman" w:hAnsiTheme="majorHAnsi" w:cstheme="majorHAnsi"/>
          <w:sz w:val="24"/>
          <w:szCs w:val="24"/>
          <w:lang w:val="ro-MD"/>
        </w:rPr>
        <w:t>. Totalul modificărilor operate la indicatorii definitivați</w:t>
      </w:r>
      <w:r w:rsidR="00E6384E">
        <w:rPr>
          <w:rFonts w:asciiTheme="majorHAnsi" w:eastAsia="Times New Roman" w:hAnsiTheme="majorHAnsi" w:cstheme="majorHAnsi"/>
          <w:sz w:val="24"/>
          <w:szCs w:val="24"/>
          <w:lang w:val="ro-MD"/>
        </w:rPr>
        <w:t>,</w:t>
      </w:r>
      <w:r w:rsidRPr="00DA2985">
        <w:rPr>
          <w:rFonts w:asciiTheme="majorHAnsi" w:eastAsia="Times New Roman" w:hAnsiTheme="majorHAnsi" w:cstheme="majorHAnsi"/>
          <w:sz w:val="24"/>
          <w:szCs w:val="24"/>
          <w:lang w:val="ro-MD"/>
        </w:rPr>
        <w:t xml:space="preserve"> față de cei aprobați inițial</w:t>
      </w:r>
      <w:r w:rsidR="00E6384E">
        <w:rPr>
          <w:rFonts w:asciiTheme="majorHAnsi" w:eastAsia="Times New Roman" w:hAnsiTheme="majorHAnsi" w:cstheme="majorHAnsi"/>
          <w:sz w:val="24"/>
          <w:szCs w:val="24"/>
          <w:lang w:val="ro-MD"/>
        </w:rPr>
        <w:t>,</w:t>
      </w:r>
      <w:r w:rsidRPr="00DA2985">
        <w:rPr>
          <w:rFonts w:asciiTheme="majorHAnsi" w:eastAsia="Times New Roman" w:hAnsiTheme="majorHAnsi" w:cstheme="majorHAnsi"/>
          <w:sz w:val="24"/>
          <w:szCs w:val="24"/>
          <w:lang w:val="ro-MD"/>
        </w:rPr>
        <w:t xml:space="preserve"> a înregistrat o creștere a veniturilor cu </w:t>
      </w:r>
      <w:r w:rsidR="00B26633" w:rsidRPr="00DA2985">
        <w:rPr>
          <w:rFonts w:asciiTheme="majorHAnsi" w:eastAsia="Times New Roman" w:hAnsiTheme="majorHAnsi" w:cstheme="majorHAnsi"/>
          <w:sz w:val="24"/>
          <w:szCs w:val="24"/>
          <w:lang w:val="ro-MD"/>
        </w:rPr>
        <w:t>350,9</w:t>
      </w:r>
      <w:r w:rsidRPr="00DA2985">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Pr="00DA2985">
        <w:rPr>
          <w:rFonts w:asciiTheme="majorHAnsi" w:eastAsia="Times New Roman" w:hAnsiTheme="majorHAnsi" w:cstheme="majorHAnsi"/>
          <w:sz w:val="24"/>
          <w:szCs w:val="24"/>
          <w:lang w:val="ro-MD"/>
        </w:rPr>
        <w:t xml:space="preserve"> (+</w:t>
      </w:r>
      <w:r w:rsidR="00B26633" w:rsidRPr="00DA2985">
        <w:rPr>
          <w:rFonts w:asciiTheme="majorHAnsi" w:eastAsia="Times New Roman" w:hAnsiTheme="majorHAnsi" w:cstheme="majorHAnsi"/>
          <w:sz w:val="24"/>
          <w:szCs w:val="24"/>
          <w:lang w:val="ro-MD"/>
        </w:rPr>
        <w:t>1,0</w:t>
      </w:r>
      <w:r w:rsidRPr="00DA2985">
        <w:rPr>
          <w:rFonts w:asciiTheme="majorHAnsi" w:eastAsia="Times New Roman" w:hAnsiTheme="majorHAnsi" w:cstheme="majorHAnsi"/>
          <w:sz w:val="24"/>
          <w:szCs w:val="24"/>
          <w:lang w:val="ro-MD"/>
        </w:rPr>
        <w:t xml:space="preserve">%), </w:t>
      </w:r>
      <w:r w:rsidR="00E6384E">
        <w:rPr>
          <w:rFonts w:asciiTheme="majorHAnsi" w:eastAsia="Times New Roman" w:hAnsiTheme="majorHAnsi" w:cstheme="majorHAnsi"/>
          <w:sz w:val="24"/>
          <w:szCs w:val="24"/>
          <w:lang w:val="ro-MD"/>
        </w:rPr>
        <w:t xml:space="preserve">iar a </w:t>
      </w:r>
      <w:r w:rsidRPr="00DA2985">
        <w:rPr>
          <w:rFonts w:asciiTheme="majorHAnsi" w:eastAsia="Times New Roman" w:hAnsiTheme="majorHAnsi" w:cstheme="majorHAnsi"/>
          <w:sz w:val="24"/>
          <w:szCs w:val="24"/>
          <w:lang w:val="ro-MD"/>
        </w:rPr>
        <w:t xml:space="preserve">cheltuielilor – cu </w:t>
      </w:r>
      <w:r w:rsidR="00B26633" w:rsidRPr="00DA2985">
        <w:rPr>
          <w:rFonts w:asciiTheme="majorHAnsi" w:eastAsia="Times New Roman" w:hAnsiTheme="majorHAnsi" w:cstheme="majorHAnsi"/>
          <w:sz w:val="24"/>
          <w:szCs w:val="24"/>
          <w:lang w:val="ro-MD"/>
        </w:rPr>
        <w:t>699,5</w:t>
      </w:r>
      <w:r w:rsidRPr="00DA2985">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Pr="00DA2985">
        <w:rPr>
          <w:rFonts w:asciiTheme="majorHAnsi" w:eastAsia="Times New Roman" w:hAnsiTheme="majorHAnsi" w:cstheme="majorHAnsi"/>
          <w:sz w:val="24"/>
          <w:szCs w:val="24"/>
          <w:lang w:val="ro-MD"/>
        </w:rPr>
        <w:t xml:space="preserve"> (+</w:t>
      </w:r>
      <w:r w:rsidR="00B26633" w:rsidRPr="00DA2985">
        <w:rPr>
          <w:rFonts w:asciiTheme="majorHAnsi" w:eastAsia="Times New Roman" w:hAnsiTheme="majorHAnsi" w:cstheme="majorHAnsi"/>
          <w:sz w:val="24"/>
          <w:szCs w:val="24"/>
          <w:lang w:val="ro-MD"/>
        </w:rPr>
        <w:t>1,7</w:t>
      </w:r>
      <w:r w:rsidR="00B85CB3">
        <w:rPr>
          <w:rFonts w:asciiTheme="majorHAnsi" w:eastAsia="Times New Roman" w:hAnsiTheme="majorHAnsi" w:cstheme="majorHAnsi"/>
          <w:sz w:val="24"/>
          <w:szCs w:val="24"/>
          <w:lang w:val="ro-MD"/>
        </w:rPr>
        <w:t xml:space="preserve">%). </w:t>
      </w:r>
      <w:r w:rsidRPr="00DA2985">
        <w:rPr>
          <w:rFonts w:asciiTheme="majorHAnsi" w:eastAsia="Times New Roman" w:hAnsiTheme="majorHAnsi" w:cstheme="majorHAnsi"/>
          <w:i/>
          <w:sz w:val="24"/>
          <w:szCs w:val="24"/>
          <w:lang w:val="ro-MD"/>
        </w:rPr>
        <w:t xml:space="preserve">Sinteza modificărilor operate la principalii indicatori ai bugetului de stat pe anul 2018 este prezentată în </w:t>
      </w:r>
      <w:r w:rsidR="00BE3338">
        <w:rPr>
          <w:rFonts w:asciiTheme="majorHAnsi" w:eastAsia="Times New Roman" w:hAnsiTheme="majorHAnsi" w:cstheme="majorHAnsi"/>
          <w:i/>
          <w:iCs/>
          <w:sz w:val="24"/>
          <w:szCs w:val="24"/>
          <w:lang w:val="ro-MD"/>
        </w:rPr>
        <w:t>Anexa nr.2</w:t>
      </w:r>
      <w:r w:rsidRPr="00DA2985">
        <w:rPr>
          <w:rFonts w:asciiTheme="majorHAnsi" w:eastAsia="Times New Roman" w:hAnsiTheme="majorHAnsi" w:cstheme="majorHAnsi"/>
          <w:i/>
          <w:iCs/>
          <w:sz w:val="24"/>
          <w:szCs w:val="24"/>
          <w:lang w:val="ro-MD"/>
        </w:rPr>
        <w:t xml:space="preserve"> la prezentul </w:t>
      </w:r>
      <w:r w:rsidR="00B472ED">
        <w:rPr>
          <w:rFonts w:asciiTheme="majorHAnsi" w:eastAsia="Times New Roman" w:hAnsiTheme="majorHAnsi" w:cstheme="majorHAnsi"/>
          <w:i/>
          <w:iCs/>
          <w:sz w:val="24"/>
          <w:szCs w:val="24"/>
          <w:lang w:val="ro-MD"/>
        </w:rPr>
        <w:t>Raport</w:t>
      </w:r>
      <w:r w:rsidR="00487717" w:rsidRPr="00DA2985">
        <w:rPr>
          <w:rFonts w:asciiTheme="majorHAnsi" w:eastAsia="Times New Roman" w:hAnsiTheme="majorHAnsi" w:cstheme="majorHAnsi"/>
          <w:i/>
          <w:iCs/>
          <w:sz w:val="24"/>
          <w:szCs w:val="24"/>
          <w:lang w:val="ro-MD"/>
        </w:rPr>
        <w:t xml:space="preserve"> de audit.</w:t>
      </w:r>
    </w:p>
    <w:p w:rsidR="007A534D" w:rsidRPr="007A534D" w:rsidRDefault="00221C3D" w:rsidP="007A534D">
      <w:pPr>
        <w:spacing w:after="0" w:line="276" w:lineRule="auto"/>
        <w:ind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Totodată, c</w:t>
      </w:r>
      <w:r w:rsidR="007A534D" w:rsidRPr="007A534D">
        <w:rPr>
          <w:rFonts w:asciiTheme="majorHAnsi" w:eastAsia="Times New Roman" w:hAnsiTheme="majorHAnsi" w:cstheme="majorHAnsi"/>
          <w:sz w:val="24"/>
          <w:szCs w:val="24"/>
          <w:lang w:val="ro-MD"/>
        </w:rPr>
        <w:t>a rezultat al modificărilor și completărilor</w:t>
      </w:r>
      <w:r w:rsidR="007A534D" w:rsidRPr="007A534D">
        <w:rPr>
          <w:rFonts w:asciiTheme="majorHAnsi" w:eastAsia="Times New Roman" w:hAnsiTheme="majorHAnsi" w:cstheme="majorHAnsi"/>
          <w:sz w:val="24"/>
          <w:szCs w:val="24"/>
          <w:vertAlign w:val="superscript"/>
          <w:lang w:val="ro-MD"/>
        </w:rPr>
        <w:footnoteReference w:id="13"/>
      </w:r>
      <w:r w:rsidR="007A534D" w:rsidRPr="007A534D">
        <w:rPr>
          <w:rFonts w:asciiTheme="majorHAnsi" w:eastAsia="Times New Roman" w:hAnsiTheme="majorHAnsi" w:cstheme="majorHAnsi"/>
          <w:sz w:val="24"/>
          <w:szCs w:val="24"/>
          <w:lang w:val="ro-MD"/>
        </w:rPr>
        <w:t xml:space="preserve">, precum și precizărilor operate de MF în temeiul prevederilor art.16 din Legea bugetului de stat pentru anul 2018, parametrii precizați au fost stabiliți la venituri în sumă de </w:t>
      </w:r>
      <w:r w:rsidR="00382754">
        <w:rPr>
          <w:rFonts w:asciiTheme="majorHAnsi" w:eastAsia="Times New Roman" w:hAnsiTheme="majorHAnsi" w:cstheme="majorHAnsi"/>
          <w:sz w:val="24"/>
          <w:szCs w:val="24"/>
          <w:lang w:val="ro-MD"/>
        </w:rPr>
        <w:t>36 969,4</w:t>
      </w:r>
      <w:r w:rsidR="007A534D" w:rsidRPr="007A534D">
        <w:rPr>
          <w:rFonts w:asciiTheme="majorHAnsi" w:eastAsia="Times New Roman" w:hAnsiTheme="majorHAnsi" w:cstheme="majorHAnsi"/>
          <w:sz w:val="24"/>
          <w:szCs w:val="24"/>
          <w:lang w:val="ro-MD"/>
        </w:rPr>
        <w:t xml:space="preserve"> mil.</w:t>
      </w:r>
      <w:r w:rsidR="00DB283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7A534D" w:rsidRPr="007A534D">
        <w:rPr>
          <w:rFonts w:asciiTheme="majorHAnsi" w:eastAsia="Times New Roman" w:hAnsiTheme="majorHAnsi" w:cstheme="majorHAnsi"/>
          <w:sz w:val="24"/>
          <w:szCs w:val="24"/>
          <w:lang w:val="ro-MD"/>
        </w:rPr>
        <w:t xml:space="preserve"> și la cheltuieli – de </w:t>
      </w:r>
      <w:r w:rsidR="00382754">
        <w:rPr>
          <w:rFonts w:asciiTheme="majorHAnsi" w:eastAsia="Times New Roman" w:hAnsiTheme="majorHAnsi" w:cstheme="majorHAnsi"/>
          <w:sz w:val="24"/>
          <w:szCs w:val="24"/>
          <w:lang w:val="ro-MD"/>
        </w:rPr>
        <w:t>42 031,9</w:t>
      </w:r>
      <w:r w:rsidR="007A534D" w:rsidRPr="007A534D">
        <w:rPr>
          <w:rFonts w:asciiTheme="majorHAnsi" w:eastAsia="Times New Roman" w:hAnsiTheme="majorHAnsi" w:cstheme="majorHAnsi"/>
          <w:sz w:val="24"/>
          <w:szCs w:val="24"/>
          <w:lang w:val="ro-MD"/>
        </w:rPr>
        <w:t xml:space="preserve"> mil.</w:t>
      </w:r>
      <w:r w:rsidR="007F290F">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7A534D" w:rsidRPr="007A534D">
        <w:rPr>
          <w:rFonts w:asciiTheme="majorHAnsi" w:eastAsia="Times New Roman" w:hAnsiTheme="majorHAnsi" w:cstheme="majorHAnsi"/>
          <w:sz w:val="24"/>
          <w:szCs w:val="24"/>
          <w:lang w:val="ro-MD"/>
        </w:rPr>
        <w:t>, cu un deficit bugetar de 5</w:t>
      </w:r>
      <w:r w:rsidR="00382754">
        <w:rPr>
          <w:rFonts w:asciiTheme="majorHAnsi" w:eastAsia="Times New Roman" w:hAnsiTheme="majorHAnsi" w:cstheme="majorHAnsi"/>
          <w:sz w:val="24"/>
          <w:szCs w:val="24"/>
          <w:lang w:val="ro-MD"/>
        </w:rPr>
        <w:t xml:space="preserve"> </w:t>
      </w:r>
      <w:r w:rsidR="007A534D" w:rsidRPr="007A534D">
        <w:rPr>
          <w:rFonts w:asciiTheme="majorHAnsi" w:eastAsia="Times New Roman" w:hAnsiTheme="majorHAnsi" w:cstheme="majorHAnsi"/>
          <w:sz w:val="24"/>
          <w:szCs w:val="24"/>
          <w:lang w:val="ro-MD"/>
        </w:rPr>
        <w:t>062,5 mil.</w:t>
      </w:r>
      <w:r w:rsidR="007F290F">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7A534D" w:rsidRPr="007A534D">
        <w:rPr>
          <w:rFonts w:asciiTheme="majorHAnsi" w:eastAsia="Times New Roman" w:hAnsiTheme="majorHAnsi" w:cstheme="majorHAnsi"/>
          <w:sz w:val="24"/>
          <w:szCs w:val="24"/>
          <w:lang w:val="ro-MD"/>
        </w:rPr>
        <w:t xml:space="preserve">. </w:t>
      </w:r>
      <w:r w:rsidR="00E20EAF" w:rsidRPr="005D22B9">
        <w:rPr>
          <w:rFonts w:asciiTheme="majorHAnsi" w:eastAsia="Times New Roman" w:hAnsiTheme="majorHAnsi" w:cstheme="majorHAnsi"/>
          <w:i/>
          <w:sz w:val="24"/>
          <w:szCs w:val="24"/>
          <w:lang w:val="ro-MD"/>
        </w:rPr>
        <w:t xml:space="preserve">Analiza </w:t>
      </w:r>
      <w:r w:rsidR="00E20EAF">
        <w:rPr>
          <w:rFonts w:asciiTheme="majorHAnsi" w:eastAsia="Times New Roman" w:hAnsiTheme="majorHAnsi" w:cstheme="majorHAnsi"/>
          <w:sz w:val="24"/>
          <w:szCs w:val="24"/>
          <w:lang w:val="ro-MD"/>
        </w:rPr>
        <w:t>e</w:t>
      </w:r>
      <w:r w:rsidR="00E20EAF">
        <w:rPr>
          <w:rFonts w:asciiTheme="majorHAnsi" w:eastAsia="Times New Roman" w:hAnsiTheme="majorHAnsi" w:cstheme="majorHAnsi"/>
          <w:i/>
          <w:iCs/>
          <w:sz w:val="24"/>
          <w:szCs w:val="24"/>
          <w:lang w:val="ro-MD"/>
        </w:rPr>
        <w:t>xecuției</w:t>
      </w:r>
      <w:r w:rsidR="007A534D" w:rsidRPr="007A534D">
        <w:rPr>
          <w:rFonts w:asciiTheme="majorHAnsi" w:eastAsia="Times New Roman" w:hAnsiTheme="majorHAnsi" w:cstheme="majorHAnsi"/>
          <w:i/>
          <w:iCs/>
          <w:sz w:val="24"/>
          <w:szCs w:val="24"/>
          <w:lang w:val="ro-MD"/>
        </w:rPr>
        <w:t xml:space="preserve"> de ansamblu a bugetului de stat pe anul 2018 se prezintă în </w:t>
      </w:r>
      <w:r w:rsidR="00675092">
        <w:rPr>
          <w:rFonts w:asciiTheme="majorHAnsi" w:eastAsia="Times New Roman" w:hAnsiTheme="majorHAnsi" w:cstheme="majorHAnsi"/>
          <w:i/>
          <w:iCs/>
          <w:sz w:val="24"/>
          <w:szCs w:val="24"/>
          <w:lang w:val="ro-MD"/>
        </w:rPr>
        <w:t>Tabelul nr.2</w:t>
      </w:r>
      <w:r w:rsidR="007A534D" w:rsidRPr="007A534D">
        <w:rPr>
          <w:rFonts w:asciiTheme="majorHAnsi" w:eastAsia="Times New Roman" w:hAnsiTheme="majorHAnsi" w:cstheme="majorHAnsi"/>
          <w:i/>
          <w:iCs/>
          <w:sz w:val="24"/>
          <w:szCs w:val="24"/>
          <w:lang w:val="ro-MD"/>
        </w:rPr>
        <w:t>.</w:t>
      </w:r>
    </w:p>
    <w:p w:rsidR="007A534D" w:rsidRPr="007A534D" w:rsidRDefault="00675092" w:rsidP="007A534D">
      <w:pPr>
        <w:spacing w:after="0" w:line="240" w:lineRule="auto"/>
        <w:jc w:val="right"/>
        <w:rPr>
          <w:rFonts w:asciiTheme="majorHAnsi" w:eastAsia="Times New Roman" w:hAnsiTheme="majorHAnsi" w:cstheme="majorHAnsi"/>
          <w:i/>
          <w:sz w:val="24"/>
          <w:szCs w:val="24"/>
          <w:lang w:val="ro-MD"/>
        </w:rPr>
      </w:pPr>
      <w:r w:rsidRPr="00675092">
        <w:rPr>
          <w:rFonts w:asciiTheme="majorHAnsi" w:eastAsia="Times New Roman" w:hAnsiTheme="majorHAnsi" w:cstheme="majorHAnsi"/>
          <w:i/>
          <w:sz w:val="24"/>
          <w:szCs w:val="24"/>
          <w:lang w:val="ro-MD"/>
        </w:rPr>
        <w:t>Tabelul nr.2</w:t>
      </w:r>
    </w:p>
    <w:p w:rsidR="007A534D" w:rsidRPr="007A534D" w:rsidRDefault="00E20EAF" w:rsidP="007A534D">
      <w:pPr>
        <w:spacing w:after="0" w:line="240" w:lineRule="auto"/>
        <w:jc w:val="center"/>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Execuția</w:t>
      </w:r>
      <w:r w:rsidR="007A534D" w:rsidRPr="007A534D">
        <w:rPr>
          <w:rFonts w:asciiTheme="majorHAnsi" w:eastAsia="Times New Roman" w:hAnsiTheme="majorHAnsi" w:cstheme="majorHAnsi"/>
          <w:b/>
          <w:bCs/>
          <w:sz w:val="24"/>
          <w:szCs w:val="24"/>
          <w:lang w:val="ro-MD"/>
        </w:rPr>
        <w:t xml:space="preserve"> bugetului de stat </w:t>
      </w:r>
      <w:r w:rsidR="007A4165">
        <w:rPr>
          <w:rFonts w:asciiTheme="majorHAnsi" w:eastAsia="Times New Roman" w:hAnsiTheme="majorHAnsi" w:cstheme="majorHAnsi"/>
          <w:b/>
          <w:bCs/>
          <w:sz w:val="24"/>
          <w:szCs w:val="24"/>
          <w:lang w:val="ro-MD"/>
        </w:rPr>
        <w:t>în</w:t>
      </w:r>
      <w:r w:rsidR="007A534D" w:rsidRPr="007A534D">
        <w:rPr>
          <w:rFonts w:asciiTheme="majorHAnsi" w:eastAsia="Times New Roman" w:hAnsiTheme="majorHAnsi" w:cstheme="majorHAnsi"/>
          <w:b/>
          <w:bCs/>
          <w:sz w:val="24"/>
          <w:szCs w:val="24"/>
          <w:lang w:val="ro-MD"/>
        </w:rPr>
        <w:t xml:space="preserve"> anul 2018 </w:t>
      </w:r>
    </w:p>
    <w:p w:rsidR="007A534D" w:rsidRPr="007A534D" w:rsidRDefault="007A534D" w:rsidP="007A534D">
      <w:pPr>
        <w:spacing w:after="0" w:line="276" w:lineRule="auto"/>
        <w:ind w:firstLine="709"/>
        <w:jc w:val="both"/>
        <w:rPr>
          <w:rFonts w:asciiTheme="majorHAnsi" w:eastAsia="Times New Roman" w:hAnsiTheme="majorHAnsi" w:cstheme="majorHAnsi"/>
          <w:i/>
          <w:iCs/>
          <w:sz w:val="24"/>
          <w:szCs w:val="24"/>
          <w:lang w:val="ro-MD"/>
        </w:rPr>
      </w:pPr>
    </w:p>
    <w:tbl>
      <w:tblPr>
        <w:tblStyle w:val="GridTable1Light1"/>
        <w:tblW w:w="5100" w:type="pct"/>
        <w:tblLook w:val="04A0" w:firstRow="1" w:lastRow="0" w:firstColumn="1" w:lastColumn="0" w:noHBand="0" w:noVBand="1"/>
      </w:tblPr>
      <w:tblGrid>
        <w:gridCol w:w="1117"/>
        <w:gridCol w:w="1218"/>
        <w:gridCol w:w="1163"/>
        <w:gridCol w:w="1118"/>
        <w:gridCol w:w="1037"/>
        <w:gridCol w:w="971"/>
        <w:gridCol w:w="1143"/>
        <w:gridCol w:w="14"/>
        <w:gridCol w:w="1003"/>
        <w:gridCol w:w="1080"/>
        <w:gridCol w:w="8"/>
      </w:tblGrid>
      <w:tr w:rsidR="00456686" w:rsidRPr="00194B5F" w:rsidTr="000C4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Pr>
          <w:p w:rsidR="00456686" w:rsidRPr="00194B5F" w:rsidRDefault="00456686" w:rsidP="000A763D">
            <w:pPr>
              <w:jc w:val="right"/>
              <w:rPr>
                <w:rFonts w:asciiTheme="majorHAnsi" w:eastAsia="Times New Roman" w:hAnsiTheme="majorHAnsi" w:cstheme="majorHAnsi"/>
                <w:sz w:val="24"/>
                <w:szCs w:val="24"/>
                <w:lang w:val="ro-MD"/>
              </w:rPr>
            </w:pPr>
            <w:r w:rsidRPr="00194B5F">
              <w:rPr>
                <w:rFonts w:asciiTheme="majorHAnsi" w:eastAsia="Times New Roman" w:hAnsiTheme="majorHAnsi" w:cstheme="majorHAnsi"/>
                <w:iCs/>
                <w:sz w:val="24"/>
                <w:szCs w:val="24"/>
                <w:lang w:val="ro-MD"/>
              </w:rPr>
              <w:t xml:space="preserve"> (mil. </w:t>
            </w:r>
            <w:r w:rsidR="007160B9">
              <w:rPr>
                <w:rFonts w:asciiTheme="majorHAnsi" w:eastAsia="Times New Roman" w:hAnsiTheme="majorHAnsi" w:cstheme="majorHAnsi"/>
                <w:iCs/>
                <w:sz w:val="24"/>
                <w:szCs w:val="24"/>
                <w:lang w:val="ro-MD"/>
              </w:rPr>
              <w:t>MDL</w:t>
            </w:r>
            <w:r w:rsidRPr="00194B5F">
              <w:rPr>
                <w:rFonts w:asciiTheme="majorHAnsi" w:eastAsia="Times New Roman" w:hAnsiTheme="majorHAnsi" w:cstheme="majorHAnsi"/>
                <w:iCs/>
                <w:sz w:val="24"/>
                <w:szCs w:val="24"/>
                <w:lang w:val="ro-MD"/>
              </w:rPr>
              <w:t xml:space="preserve">) </w:t>
            </w:r>
          </w:p>
        </w:tc>
      </w:tr>
      <w:tr w:rsidR="005951AF" w:rsidRPr="007A534D" w:rsidTr="000C4AC4">
        <w:tc>
          <w:tcPr>
            <w:cnfStyle w:val="001000000000" w:firstRow="0" w:lastRow="0" w:firstColumn="1" w:lastColumn="0" w:oddVBand="0" w:evenVBand="0" w:oddHBand="0" w:evenHBand="0" w:firstRowFirstColumn="0" w:firstRowLastColumn="0" w:lastRowFirstColumn="0" w:lastRowLastColumn="0"/>
            <w:tcW w:w="566" w:type="pct"/>
            <w:vMerge w:val="restart"/>
            <w:hideMark/>
          </w:tcPr>
          <w:p w:rsidR="00F41C47" w:rsidRPr="005951AF" w:rsidRDefault="00F41C47" w:rsidP="007A534D">
            <w:pPr>
              <w:jc w:val="center"/>
              <w:rPr>
                <w:rFonts w:asciiTheme="majorHAnsi" w:eastAsia="Times New Roman" w:hAnsiTheme="majorHAnsi" w:cstheme="majorHAnsi"/>
                <w:lang w:val="ro-MD"/>
              </w:rPr>
            </w:pPr>
            <w:r w:rsidRPr="005951AF">
              <w:rPr>
                <w:rFonts w:asciiTheme="majorHAnsi" w:eastAsia="Times New Roman" w:hAnsiTheme="majorHAnsi" w:cstheme="majorHAnsi"/>
                <w:lang w:val="ro-MD"/>
              </w:rPr>
              <w:t>Indicatori sintetici</w:t>
            </w:r>
          </w:p>
        </w:tc>
        <w:tc>
          <w:tcPr>
            <w:tcW w:w="617" w:type="pct"/>
            <w:vMerge w:val="restar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t>Prevederi bugetare aprobate prin</w:t>
            </w:r>
            <w:r w:rsidRPr="005951AF">
              <w:rPr>
                <w:rFonts w:asciiTheme="majorHAnsi" w:eastAsia="Times New Roman" w:hAnsiTheme="majorHAnsi" w:cstheme="majorHAnsi"/>
                <w:b/>
                <w:bCs/>
                <w:lang w:val="ro-MD"/>
              </w:rPr>
              <w:br/>
              <w:t>Legea bugetului de stat</w:t>
            </w:r>
            <w:r w:rsidRPr="005951AF">
              <w:rPr>
                <w:rFonts w:asciiTheme="majorHAnsi" w:eastAsia="Times New Roman" w:hAnsiTheme="majorHAnsi" w:cstheme="majorHAnsi"/>
                <w:b/>
                <w:bCs/>
                <w:lang w:val="ro-MD"/>
              </w:rPr>
              <w:br/>
            </w:r>
            <w:r w:rsidRPr="005951AF">
              <w:rPr>
                <w:rFonts w:asciiTheme="majorHAnsi" w:eastAsia="Times New Roman" w:hAnsiTheme="majorHAnsi" w:cstheme="majorHAnsi"/>
                <w:b/>
                <w:bCs/>
                <w:lang w:val="ro-MD"/>
              </w:rPr>
              <w:lastRenderedPageBreak/>
              <w:t>pe anul 2018</w:t>
            </w:r>
          </w:p>
        </w:tc>
        <w:tc>
          <w:tcPr>
            <w:tcW w:w="589" w:type="pct"/>
            <w:vMerge w:val="restart"/>
          </w:tcPr>
          <w:p w:rsidR="00F41C47" w:rsidRPr="005951AF" w:rsidRDefault="004A111A"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lastRenderedPageBreak/>
              <w:t>Prevederi modificate prin Lege</w:t>
            </w:r>
          </w:p>
        </w:tc>
        <w:tc>
          <w:tcPr>
            <w:tcW w:w="566" w:type="pct"/>
            <w:vMerge w:val="restar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t>Prevederi bugetare</w:t>
            </w:r>
            <w:r w:rsidRPr="005951AF">
              <w:rPr>
                <w:rFonts w:asciiTheme="majorHAnsi" w:eastAsia="Times New Roman" w:hAnsiTheme="majorHAnsi" w:cstheme="majorHAnsi"/>
                <w:b/>
                <w:bCs/>
                <w:lang w:val="ro-MD"/>
              </w:rPr>
              <w:br/>
              <w:t>precizate</w:t>
            </w:r>
          </w:p>
        </w:tc>
        <w:tc>
          <w:tcPr>
            <w:tcW w:w="525" w:type="pct"/>
            <w:vMerge w:val="restar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t>Executat</w:t>
            </w:r>
          </w:p>
        </w:tc>
        <w:tc>
          <w:tcPr>
            <w:tcW w:w="1078" w:type="pct"/>
            <w:gridSpan w:val="3"/>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t>Executat față</w:t>
            </w:r>
            <w:r w:rsidRPr="005951AF">
              <w:rPr>
                <w:rFonts w:asciiTheme="majorHAnsi" w:eastAsia="Times New Roman" w:hAnsiTheme="majorHAnsi" w:cstheme="majorHAnsi"/>
                <w:b/>
                <w:bCs/>
                <w:lang w:val="ro-MD"/>
              </w:rPr>
              <w:br/>
              <w:t>de aprobat</w:t>
            </w:r>
          </w:p>
        </w:tc>
        <w:tc>
          <w:tcPr>
            <w:tcW w:w="1060" w:type="pct"/>
            <w:gridSpan w:val="3"/>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r w:rsidRPr="005951AF">
              <w:rPr>
                <w:rFonts w:asciiTheme="majorHAnsi" w:eastAsia="Times New Roman" w:hAnsiTheme="majorHAnsi" w:cstheme="majorHAnsi"/>
                <w:b/>
                <w:bCs/>
                <w:lang w:val="ro-MD"/>
              </w:rPr>
              <w:t>Executat față</w:t>
            </w:r>
            <w:r w:rsidRPr="005951AF">
              <w:rPr>
                <w:rFonts w:asciiTheme="majorHAnsi" w:eastAsia="Times New Roman" w:hAnsiTheme="majorHAnsi" w:cstheme="majorHAnsi"/>
                <w:b/>
                <w:bCs/>
                <w:lang w:val="ro-MD"/>
              </w:rPr>
              <w:br/>
              <w:t>de precizat</w:t>
            </w:r>
          </w:p>
        </w:tc>
      </w:tr>
      <w:tr w:rsidR="005951AF" w:rsidRPr="007A534D" w:rsidTr="000C4AC4">
        <w:trPr>
          <w:gridAfter w:val="1"/>
          <w:wAfter w:w="4" w:type="pct"/>
        </w:trPr>
        <w:tc>
          <w:tcPr>
            <w:cnfStyle w:val="001000000000" w:firstRow="0" w:lastRow="0" w:firstColumn="1" w:lastColumn="0" w:oddVBand="0" w:evenVBand="0" w:oddHBand="0" w:evenHBand="0" w:firstRowFirstColumn="0" w:firstRowLastColumn="0" w:lastRowFirstColumn="0" w:lastRowLastColumn="0"/>
            <w:tcW w:w="566" w:type="pct"/>
            <w:vMerge/>
            <w:hideMark/>
          </w:tcPr>
          <w:p w:rsidR="00F41C47" w:rsidRPr="005951AF" w:rsidRDefault="00F41C47" w:rsidP="007A534D">
            <w:pPr>
              <w:rPr>
                <w:rFonts w:asciiTheme="majorHAnsi" w:eastAsia="Times New Roman" w:hAnsiTheme="majorHAnsi" w:cstheme="majorHAnsi"/>
                <w:lang w:val="ro-MD"/>
              </w:rPr>
            </w:pPr>
          </w:p>
        </w:tc>
        <w:tc>
          <w:tcPr>
            <w:tcW w:w="617" w:type="pct"/>
            <w:vMerge/>
            <w:hideMark/>
          </w:tcPr>
          <w:p w:rsidR="00F41C47" w:rsidRPr="005951AF" w:rsidRDefault="00F41C47" w:rsidP="007A53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p>
        </w:tc>
        <w:tc>
          <w:tcPr>
            <w:tcW w:w="589" w:type="pct"/>
            <w:vMerge/>
          </w:tcPr>
          <w:p w:rsidR="00F41C47" w:rsidRPr="005951AF" w:rsidRDefault="00F41C47" w:rsidP="007A53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p>
        </w:tc>
        <w:tc>
          <w:tcPr>
            <w:tcW w:w="566" w:type="pct"/>
            <w:vMerge/>
            <w:hideMark/>
          </w:tcPr>
          <w:p w:rsidR="00F41C47" w:rsidRPr="005951AF" w:rsidRDefault="00F41C47" w:rsidP="007A53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p>
        </w:tc>
        <w:tc>
          <w:tcPr>
            <w:tcW w:w="525" w:type="pct"/>
            <w:vMerge/>
            <w:hideMark/>
          </w:tcPr>
          <w:p w:rsidR="00F41C47" w:rsidRPr="005951AF" w:rsidRDefault="00F41C47" w:rsidP="007A534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o-MD"/>
              </w:rPr>
            </w:pPr>
          </w:p>
        </w:tc>
        <w:tc>
          <w:tcPr>
            <w:tcW w:w="492" w:type="pc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o-MD"/>
              </w:rPr>
            </w:pPr>
            <w:r w:rsidRPr="005951AF">
              <w:rPr>
                <w:rFonts w:asciiTheme="majorHAnsi" w:eastAsia="Times New Roman" w:hAnsiTheme="majorHAnsi" w:cstheme="majorHAnsi"/>
                <w:bCs/>
                <w:i/>
                <w:lang w:val="ro-MD"/>
              </w:rPr>
              <w:t xml:space="preserve">suma </w:t>
            </w:r>
            <w:r w:rsidRPr="005951AF">
              <w:rPr>
                <w:rFonts w:asciiTheme="majorHAnsi" w:eastAsia="Times New Roman" w:hAnsiTheme="majorHAnsi" w:cstheme="majorHAnsi"/>
                <w:bCs/>
                <w:i/>
                <w:lang w:val="ro-MD"/>
              </w:rPr>
              <w:br/>
              <w:t>(+/-)</w:t>
            </w:r>
          </w:p>
        </w:tc>
        <w:tc>
          <w:tcPr>
            <w:tcW w:w="579" w:type="pc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o-MD"/>
              </w:rPr>
            </w:pPr>
            <w:r w:rsidRPr="005951AF">
              <w:rPr>
                <w:rFonts w:asciiTheme="majorHAnsi" w:eastAsia="Times New Roman" w:hAnsiTheme="majorHAnsi" w:cstheme="majorHAnsi"/>
                <w:bCs/>
                <w:i/>
                <w:lang w:val="ro-MD"/>
              </w:rPr>
              <w:t xml:space="preserve">nivelul de </w:t>
            </w:r>
            <w:r w:rsidRPr="005951AF">
              <w:rPr>
                <w:rFonts w:asciiTheme="majorHAnsi" w:eastAsia="Times New Roman" w:hAnsiTheme="majorHAnsi" w:cstheme="majorHAnsi"/>
                <w:bCs/>
                <w:i/>
                <w:lang w:val="ro-MD"/>
              </w:rPr>
              <w:br/>
              <w:t>executare</w:t>
            </w:r>
            <w:r w:rsidRPr="005951AF">
              <w:rPr>
                <w:rFonts w:asciiTheme="majorHAnsi" w:eastAsia="Times New Roman" w:hAnsiTheme="majorHAnsi" w:cstheme="majorHAnsi"/>
                <w:bCs/>
                <w:i/>
                <w:lang w:val="ro-MD"/>
              </w:rPr>
              <w:br/>
              <w:t>(%)</w:t>
            </w:r>
          </w:p>
        </w:tc>
        <w:tc>
          <w:tcPr>
            <w:tcW w:w="515" w:type="pct"/>
            <w:gridSpan w:val="2"/>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o-MD"/>
              </w:rPr>
            </w:pPr>
            <w:r w:rsidRPr="005951AF">
              <w:rPr>
                <w:rFonts w:asciiTheme="majorHAnsi" w:eastAsia="Times New Roman" w:hAnsiTheme="majorHAnsi" w:cstheme="majorHAnsi"/>
                <w:bCs/>
                <w:i/>
                <w:lang w:val="ro-MD"/>
              </w:rPr>
              <w:t>suma</w:t>
            </w:r>
            <w:r w:rsidRPr="005951AF">
              <w:rPr>
                <w:rFonts w:asciiTheme="majorHAnsi" w:eastAsia="Times New Roman" w:hAnsiTheme="majorHAnsi" w:cstheme="majorHAnsi"/>
                <w:bCs/>
                <w:i/>
                <w:lang w:val="ro-MD"/>
              </w:rPr>
              <w:br/>
              <w:t>(+/-)</w:t>
            </w:r>
          </w:p>
        </w:tc>
        <w:tc>
          <w:tcPr>
            <w:tcW w:w="547" w:type="pct"/>
            <w:hideMark/>
          </w:tcPr>
          <w:p w:rsidR="00F41C47" w:rsidRPr="005951AF"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o-MD"/>
              </w:rPr>
            </w:pPr>
            <w:r w:rsidRPr="005951AF">
              <w:rPr>
                <w:rFonts w:asciiTheme="majorHAnsi" w:eastAsia="Times New Roman" w:hAnsiTheme="majorHAnsi" w:cstheme="majorHAnsi"/>
                <w:bCs/>
                <w:i/>
                <w:lang w:val="ro-MD"/>
              </w:rPr>
              <w:t>nivelul de</w:t>
            </w:r>
            <w:r w:rsidRPr="005951AF">
              <w:rPr>
                <w:rFonts w:asciiTheme="majorHAnsi" w:eastAsia="Times New Roman" w:hAnsiTheme="majorHAnsi" w:cstheme="majorHAnsi"/>
                <w:bCs/>
                <w:i/>
                <w:lang w:val="ro-MD"/>
              </w:rPr>
              <w:br/>
              <w:t>executare</w:t>
            </w:r>
            <w:r w:rsidRPr="005951AF">
              <w:rPr>
                <w:rFonts w:asciiTheme="majorHAnsi" w:eastAsia="Times New Roman" w:hAnsiTheme="majorHAnsi" w:cstheme="majorHAnsi"/>
                <w:bCs/>
                <w:i/>
                <w:lang w:val="ro-MD"/>
              </w:rPr>
              <w:br/>
              <w:t>(%)</w:t>
            </w:r>
          </w:p>
        </w:tc>
      </w:tr>
      <w:tr w:rsidR="002A7125" w:rsidRPr="007A534D" w:rsidTr="000C4AC4">
        <w:trPr>
          <w:gridAfter w:val="1"/>
          <w:wAfter w:w="4" w:type="pct"/>
        </w:trPr>
        <w:tc>
          <w:tcPr>
            <w:cnfStyle w:val="001000000000" w:firstRow="0" w:lastRow="0" w:firstColumn="1" w:lastColumn="0" w:oddVBand="0" w:evenVBand="0" w:oddHBand="0" w:evenHBand="0" w:firstRowFirstColumn="0" w:firstRowLastColumn="0" w:lastRowFirstColumn="0" w:lastRowLastColumn="0"/>
            <w:tcW w:w="566" w:type="pct"/>
            <w:hideMark/>
          </w:tcPr>
          <w:p w:rsidR="00F41C47" w:rsidRPr="00B9612B" w:rsidRDefault="00F41C47" w:rsidP="007A534D">
            <w:pPr>
              <w:jc w:val="center"/>
              <w:rPr>
                <w:rFonts w:asciiTheme="majorHAnsi" w:eastAsia="Times New Roman" w:hAnsiTheme="majorHAnsi" w:cstheme="majorHAnsi"/>
                <w:b w:val="0"/>
                <w:i/>
                <w:sz w:val="16"/>
                <w:szCs w:val="16"/>
                <w:lang w:val="ro-MD"/>
              </w:rPr>
            </w:pPr>
            <w:r w:rsidRPr="00B9612B">
              <w:rPr>
                <w:rFonts w:asciiTheme="majorHAnsi" w:eastAsia="Times New Roman" w:hAnsiTheme="majorHAnsi" w:cstheme="majorHAnsi"/>
                <w:b w:val="0"/>
                <w:i/>
                <w:sz w:val="16"/>
                <w:szCs w:val="16"/>
                <w:lang w:val="ro-MD"/>
              </w:rPr>
              <w:t>1</w:t>
            </w:r>
          </w:p>
        </w:tc>
        <w:tc>
          <w:tcPr>
            <w:tcW w:w="617" w:type="pct"/>
            <w:hideMark/>
          </w:tcPr>
          <w:p w:rsidR="00F41C47" w:rsidRPr="00B9612B" w:rsidRDefault="00F41C47"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2</w:t>
            </w:r>
          </w:p>
        </w:tc>
        <w:tc>
          <w:tcPr>
            <w:tcW w:w="589"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3</w:t>
            </w:r>
          </w:p>
        </w:tc>
        <w:tc>
          <w:tcPr>
            <w:tcW w:w="566"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4</w:t>
            </w:r>
          </w:p>
        </w:tc>
        <w:tc>
          <w:tcPr>
            <w:tcW w:w="525"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5</w:t>
            </w:r>
          </w:p>
        </w:tc>
        <w:tc>
          <w:tcPr>
            <w:tcW w:w="492"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6=5-2</w:t>
            </w:r>
          </w:p>
        </w:tc>
        <w:tc>
          <w:tcPr>
            <w:tcW w:w="579"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7=5/2*100</w:t>
            </w:r>
          </w:p>
        </w:tc>
        <w:tc>
          <w:tcPr>
            <w:tcW w:w="515" w:type="pct"/>
            <w:gridSpan w:val="2"/>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8=5-4</w:t>
            </w:r>
          </w:p>
        </w:tc>
        <w:tc>
          <w:tcPr>
            <w:tcW w:w="547" w:type="pct"/>
          </w:tcPr>
          <w:p w:rsidR="00F41C47" w:rsidRPr="00B9612B" w:rsidRDefault="00B9612B" w:rsidP="007A534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MD"/>
              </w:rPr>
            </w:pPr>
            <w:r w:rsidRPr="00B9612B">
              <w:rPr>
                <w:rFonts w:asciiTheme="majorHAnsi" w:eastAsia="Times New Roman" w:hAnsiTheme="majorHAnsi" w:cstheme="majorHAnsi"/>
                <w:bCs/>
                <w:i/>
                <w:sz w:val="16"/>
                <w:szCs w:val="16"/>
                <w:lang w:val="ro-MD"/>
              </w:rPr>
              <w:t>9=5/4*100</w:t>
            </w:r>
          </w:p>
        </w:tc>
      </w:tr>
      <w:tr w:rsidR="002A7125" w:rsidRPr="007A534D" w:rsidTr="000C4AC4">
        <w:trPr>
          <w:gridAfter w:val="1"/>
          <w:wAfter w:w="4" w:type="pct"/>
        </w:trPr>
        <w:tc>
          <w:tcPr>
            <w:cnfStyle w:val="001000000000" w:firstRow="0" w:lastRow="0" w:firstColumn="1" w:lastColumn="0" w:oddVBand="0" w:evenVBand="0" w:oddHBand="0" w:evenHBand="0" w:firstRowFirstColumn="0" w:firstRowLastColumn="0" w:lastRowFirstColumn="0" w:lastRowLastColumn="0"/>
            <w:tcW w:w="566" w:type="pct"/>
            <w:hideMark/>
          </w:tcPr>
          <w:p w:rsidR="00F41C47" w:rsidRPr="005951AF" w:rsidRDefault="00F41C47" w:rsidP="007A534D">
            <w:pPr>
              <w:rPr>
                <w:rFonts w:asciiTheme="majorHAnsi" w:eastAsia="Times New Roman" w:hAnsiTheme="majorHAnsi" w:cstheme="majorHAnsi"/>
                <w:lang w:val="ro-MD"/>
              </w:rPr>
            </w:pPr>
            <w:r w:rsidRPr="005951AF">
              <w:rPr>
                <w:rFonts w:asciiTheme="majorHAnsi" w:eastAsia="Times New Roman" w:hAnsiTheme="majorHAnsi" w:cstheme="majorHAnsi"/>
                <w:iCs/>
                <w:lang w:val="ro-MD"/>
              </w:rPr>
              <w:t>Venituri</w:t>
            </w:r>
          </w:p>
        </w:tc>
        <w:tc>
          <w:tcPr>
            <w:tcW w:w="61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36 618,5</w:t>
            </w:r>
          </w:p>
        </w:tc>
        <w:tc>
          <w:tcPr>
            <w:tcW w:w="589" w:type="pct"/>
          </w:tcPr>
          <w:p w:rsidR="00F41C47" w:rsidRPr="005951AF" w:rsidRDefault="00B9612B"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Pr>
                <w:rFonts w:asciiTheme="majorHAnsi" w:eastAsia="Times New Roman" w:hAnsiTheme="majorHAnsi" w:cstheme="majorHAnsi"/>
                <w:lang w:val="ro-MD"/>
              </w:rPr>
              <w:t>36 922,0</w:t>
            </w:r>
          </w:p>
        </w:tc>
        <w:tc>
          <w:tcPr>
            <w:tcW w:w="566"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36 969,4</w:t>
            </w:r>
          </w:p>
        </w:tc>
        <w:tc>
          <w:tcPr>
            <w:tcW w:w="525"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36 432,7</w:t>
            </w:r>
          </w:p>
        </w:tc>
        <w:tc>
          <w:tcPr>
            <w:tcW w:w="492"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-185,8</w:t>
            </w:r>
          </w:p>
        </w:tc>
        <w:tc>
          <w:tcPr>
            <w:tcW w:w="579"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99,5</w:t>
            </w:r>
          </w:p>
        </w:tc>
        <w:tc>
          <w:tcPr>
            <w:tcW w:w="515" w:type="pct"/>
            <w:gridSpan w:val="2"/>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-536,7</w:t>
            </w:r>
          </w:p>
        </w:tc>
        <w:tc>
          <w:tcPr>
            <w:tcW w:w="54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98,5</w:t>
            </w:r>
          </w:p>
        </w:tc>
      </w:tr>
      <w:tr w:rsidR="002A7125" w:rsidRPr="007A534D" w:rsidTr="000C4AC4">
        <w:trPr>
          <w:gridAfter w:val="1"/>
          <w:wAfter w:w="4" w:type="pct"/>
        </w:trPr>
        <w:tc>
          <w:tcPr>
            <w:cnfStyle w:val="001000000000" w:firstRow="0" w:lastRow="0" w:firstColumn="1" w:lastColumn="0" w:oddVBand="0" w:evenVBand="0" w:oddHBand="0" w:evenHBand="0" w:firstRowFirstColumn="0" w:firstRowLastColumn="0" w:lastRowFirstColumn="0" w:lastRowLastColumn="0"/>
            <w:tcW w:w="566" w:type="pct"/>
            <w:hideMark/>
          </w:tcPr>
          <w:p w:rsidR="00F41C47" w:rsidRPr="005951AF" w:rsidRDefault="00F41C47" w:rsidP="007A534D">
            <w:pPr>
              <w:rPr>
                <w:rFonts w:asciiTheme="majorHAnsi" w:eastAsia="Times New Roman" w:hAnsiTheme="majorHAnsi" w:cstheme="majorHAnsi"/>
                <w:lang w:val="ro-MD"/>
              </w:rPr>
            </w:pPr>
            <w:r w:rsidRPr="005951AF">
              <w:rPr>
                <w:rFonts w:asciiTheme="majorHAnsi" w:eastAsia="Times New Roman" w:hAnsiTheme="majorHAnsi" w:cstheme="majorHAnsi"/>
                <w:iCs/>
                <w:lang w:val="ro-MD"/>
              </w:rPr>
              <w:t>Cheltuieli</w:t>
            </w:r>
          </w:p>
        </w:tc>
        <w:tc>
          <w:tcPr>
            <w:tcW w:w="61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41 332,4</w:t>
            </w:r>
          </w:p>
        </w:tc>
        <w:tc>
          <w:tcPr>
            <w:tcW w:w="589" w:type="pct"/>
          </w:tcPr>
          <w:p w:rsidR="00F41C47" w:rsidRPr="005951AF" w:rsidRDefault="00B9612B"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Pr>
                <w:rFonts w:asciiTheme="majorHAnsi" w:eastAsia="Times New Roman" w:hAnsiTheme="majorHAnsi" w:cstheme="majorHAnsi"/>
                <w:lang w:val="ro-MD"/>
              </w:rPr>
              <w:t>41 984,5</w:t>
            </w:r>
          </w:p>
        </w:tc>
        <w:tc>
          <w:tcPr>
            <w:tcW w:w="566"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42 031,9</w:t>
            </w:r>
          </w:p>
        </w:tc>
        <w:tc>
          <w:tcPr>
            <w:tcW w:w="525"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38 708,3</w:t>
            </w:r>
          </w:p>
        </w:tc>
        <w:tc>
          <w:tcPr>
            <w:tcW w:w="492"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-2 624,1</w:t>
            </w:r>
          </w:p>
        </w:tc>
        <w:tc>
          <w:tcPr>
            <w:tcW w:w="579"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93,7</w:t>
            </w:r>
          </w:p>
        </w:tc>
        <w:tc>
          <w:tcPr>
            <w:tcW w:w="515" w:type="pct"/>
            <w:gridSpan w:val="2"/>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-3 323,6</w:t>
            </w:r>
          </w:p>
        </w:tc>
        <w:tc>
          <w:tcPr>
            <w:tcW w:w="54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92,1</w:t>
            </w:r>
          </w:p>
        </w:tc>
      </w:tr>
      <w:tr w:rsidR="002A7125" w:rsidRPr="007A534D" w:rsidTr="000C4AC4">
        <w:trPr>
          <w:gridAfter w:val="1"/>
          <w:wAfter w:w="4" w:type="pct"/>
        </w:trPr>
        <w:tc>
          <w:tcPr>
            <w:cnfStyle w:val="001000000000" w:firstRow="0" w:lastRow="0" w:firstColumn="1" w:lastColumn="0" w:oddVBand="0" w:evenVBand="0" w:oddHBand="0" w:evenHBand="0" w:firstRowFirstColumn="0" w:firstRowLastColumn="0" w:lastRowFirstColumn="0" w:lastRowLastColumn="0"/>
            <w:tcW w:w="566" w:type="pct"/>
            <w:hideMark/>
          </w:tcPr>
          <w:p w:rsidR="00F41C47" w:rsidRPr="005951AF" w:rsidRDefault="00F41C47" w:rsidP="007A534D">
            <w:pPr>
              <w:rPr>
                <w:rFonts w:asciiTheme="majorHAnsi" w:eastAsia="Times New Roman" w:hAnsiTheme="majorHAnsi" w:cstheme="majorHAnsi"/>
                <w:lang w:val="ro-MD"/>
              </w:rPr>
            </w:pPr>
            <w:r w:rsidRPr="005951AF">
              <w:rPr>
                <w:rFonts w:asciiTheme="majorHAnsi" w:eastAsia="Times New Roman" w:hAnsiTheme="majorHAnsi" w:cstheme="majorHAnsi"/>
                <w:iCs/>
                <w:lang w:val="ro-MD"/>
              </w:rPr>
              <w:t>Deficit</w:t>
            </w:r>
          </w:p>
        </w:tc>
        <w:tc>
          <w:tcPr>
            <w:tcW w:w="61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-4 713,9</w:t>
            </w:r>
          </w:p>
        </w:tc>
        <w:tc>
          <w:tcPr>
            <w:tcW w:w="589" w:type="pct"/>
          </w:tcPr>
          <w:p w:rsidR="00F41C47" w:rsidRPr="005951AF" w:rsidRDefault="00B9612B"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Pr>
                <w:rFonts w:asciiTheme="majorHAnsi" w:eastAsia="Times New Roman" w:hAnsiTheme="majorHAnsi" w:cstheme="majorHAnsi"/>
                <w:lang w:val="ro-MD"/>
              </w:rPr>
              <w:t>- 5062,5</w:t>
            </w:r>
          </w:p>
        </w:tc>
        <w:tc>
          <w:tcPr>
            <w:tcW w:w="566"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-5 062,5</w:t>
            </w:r>
          </w:p>
        </w:tc>
        <w:tc>
          <w:tcPr>
            <w:tcW w:w="525"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-2 275,7</w:t>
            </w:r>
          </w:p>
        </w:tc>
        <w:tc>
          <w:tcPr>
            <w:tcW w:w="492"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-2 438,2</w:t>
            </w:r>
          </w:p>
        </w:tc>
        <w:tc>
          <w:tcPr>
            <w:tcW w:w="579"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48,3</w:t>
            </w:r>
          </w:p>
        </w:tc>
        <w:tc>
          <w:tcPr>
            <w:tcW w:w="515" w:type="pct"/>
            <w:gridSpan w:val="2"/>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-2 786,8</w:t>
            </w:r>
          </w:p>
        </w:tc>
        <w:tc>
          <w:tcPr>
            <w:tcW w:w="547" w:type="pct"/>
          </w:tcPr>
          <w:p w:rsidR="00F41C47" w:rsidRPr="005951AF" w:rsidRDefault="00F41C47" w:rsidP="007A534D">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MD"/>
              </w:rPr>
            </w:pPr>
            <w:r w:rsidRPr="005951AF">
              <w:rPr>
                <w:rFonts w:asciiTheme="majorHAnsi" w:eastAsia="Times New Roman" w:hAnsiTheme="majorHAnsi" w:cstheme="majorHAnsi"/>
                <w:lang w:val="ro-MD"/>
              </w:rPr>
              <w:t>45,0</w:t>
            </w:r>
          </w:p>
        </w:tc>
      </w:tr>
      <w:tr w:rsidR="006E0FED" w:rsidRPr="007A534D" w:rsidTr="000C4AC4">
        <w:tc>
          <w:tcPr>
            <w:cnfStyle w:val="001000000000" w:firstRow="0" w:lastRow="0" w:firstColumn="1" w:lastColumn="0" w:oddVBand="0" w:evenVBand="0" w:oddHBand="0" w:evenHBand="0" w:firstRowFirstColumn="0" w:firstRowLastColumn="0" w:lastRowFirstColumn="0" w:lastRowLastColumn="0"/>
            <w:tcW w:w="5000" w:type="pct"/>
            <w:gridSpan w:val="11"/>
          </w:tcPr>
          <w:p w:rsidR="006E0FED" w:rsidRPr="007A534D" w:rsidRDefault="006E0FED" w:rsidP="000A763D">
            <w:pPr>
              <w:jc w:val="both"/>
              <w:rPr>
                <w:rFonts w:asciiTheme="majorHAnsi" w:eastAsia="Times New Roman" w:hAnsiTheme="majorHAnsi" w:cstheme="majorHAnsi"/>
                <w:i/>
                <w:sz w:val="20"/>
                <w:szCs w:val="20"/>
                <w:lang w:val="ro-MD"/>
              </w:rPr>
            </w:pPr>
            <w:r w:rsidRPr="007A534D">
              <w:rPr>
                <w:rFonts w:asciiTheme="majorHAnsi" w:eastAsia="Times New Roman" w:hAnsiTheme="majorHAnsi" w:cstheme="majorHAnsi"/>
                <w:sz w:val="20"/>
                <w:szCs w:val="20"/>
                <w:lang w:val="ro-MD"/>
              </w:rPr>
              <w:t> </w:t>
            </w:r>
            <w:r w:rsidRPr="007A534D">
              <w:rPr>
                <w:rFonts w:asciiTheme="majorHAnsi" w:eastAsia="Times New Roman" w:hAnsiTheme="majorHAnsi" w:cstheme="majorHAnsi"/>
                <w:i/>
                <w:iCs/>
                <w:sz w:val="20"/>
                <w:szCs w:val="20"/>
                <w:lang w:val="ro-MD"/>
              </w:rPr>
              <w:t xml:space="preserve">Sursă: </w:t>
            </w:r>
            <w:r w:rsidRPr="007A534D">
              <w:rPr>
                <w:rFonts w:asciiTheme="majorHAnsi" w:eastAsia="Times New Roman" w:hAnsiTheme="majorHAnsi" w:cstheme="majorHAnsi"/>
                <w:b w:val="0"/>
                <w:i/>
                <w:iCs/>
                <w:sz w:val="20"/>
                <w:szCs w:val="20"/>
                <w:lang w:val="ro-MD"/>
              </w:rPr>
              <w:t>Date generalizate de echipa de audit din Raportul privind executarea bugetului de stat pe anul 2018.</w:t>
            </w:r>
          </w:p>
        </w:tc>
      </w:tr>
    </w:tbl>
    <w:p w:rsidR="007A534D" w:rsidRPr="007A534D" w:rsidRDefault="007A534D" w:rsidP="007A534D">
      <w:pPr>
        <w:spacing w:after="0" w:line="240" w:lineRule="auto"/>
        <w:jc w:val="both"/>
        <w:rPr>
          <w:rFonts w:asciiTheme="majorHAnsi" w:eastAsia="Times New Roman" w:hAnsiTheme="majorHAnsi" w:cstheme="majorHAnsi"/>
          <w:sz w:val="24"/>
          <w:szCs w:val="24"/>
          <w:lang w:val="ro-MD"/>
        </w:rPr>
      </w:pPr>
    </w:p>
    <w:p w:rsidR="007A534D" w:rsidRPr="007A534D" w:rsidRDefault="007A534D" w:rsidP="00112B1D">
      <w:pPr>
        <w:spacing w:after="0" w:line="276" w:lineRule="auto"/>
        <w:ind w:firstLine="709"/>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Auditul, analizând datele privind execuția bugetului de stat pe anul 2018</w:t>
      </w:r>
      <w:r w:rsidR="004C29E0">
        <w:rPr>
          <w:rFonts w:asciiTheme="majorHAnsi" w:eastAsia="Times New Roman" w:hAnsiTheme="majorHAnsi" w:cstheme="majorHAnsi"/>
          <w:sz w:val="24"/>
          <w:szCs w:val="24"/>
          <w:lang w:val="ro-MD"/>
        </w:rPr>
        <w:t xml:space="preserve"> față de indicatorii precizați</w:t>
      </w:r>
      <w:r w:rsidRPr="007A534D">
        <w:rPr>
          <w:rFonts w:asciiTheme="majorHAnsi" w:eastAsia="Times New Roman" w:hAnsiTheme="majorHAnsi" w:cstheme="majorHAnsi"/>
          <w:sz w:val="24"/>
          <w:szCs w:val="24"/>
          <w:lang w:val="ro-MD"/>
        </w:rPr>
        <w:t>, relevă că:</w:t>
      </w:r>
    </w:p>
    <w:p w:rsidR="007A534D" w:rsidRPr="007A534D" w:rsidRDefault="007A534D" w:rsidP="00112B1D">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 xml:space="preserve">încasările realizate în sumă de </w:t>
      </w:r>
      <w:r w:rsidR="0099765B" w:rsidRPr="00112B1D">
        <w:rPr>
          <w:rFonts w:asciiTheme="majorHAnsi" w:eastAsia="Times New Roman" w:hAnsiTheme="majorHAnsi" w:cstheme="majorHAnsi"/>
          <w:sz w:val="24"/>
          <w:szCs w:val="24"/>
          <w:lang w:val="ro-MD"/>
        </w:rPr>
        <w:t>36 432,7</w:t>
      </w:r>
      <w:r w:rsidRPr="007A534D">
        <w:rPr>
          <w:rFonts w:asciiTheme="majorHAnsi" w:eastAsia="Times New Roman" w:hAnsiTheme="majorHAnsi" w:cstheme="majorHAnsi"/>
          <w:sz w:val="24"/>
          <w:szCs w:val="24"/>
          <w:lang w:val="ro-MD"/>
        </w:rPr>
        <w:t xml:space="preserve"> mil.</w:t>
      </w:r>
      <w:r w:rsidR="0099765B" w:rsidRPr="00112B1D">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sunt cu </w:t>
      </w:r>
      <w:r w:rsidR="009B5609">
        <w:rPr>
          <w:rFonts w:asciiTheme="majorHAnsi" w:eastAsia="Times New Roman" w:hAnsiTheme="majorHAnsi" w:cstheme="majorHAnsi"/>
          <w:sz w:val="24"/>
          <w:szCs w:val="24"/>
          <w:lang w:val="ro-MD"/>
        </w:rPr>
        <w:t>(-</w:t>
      </w:r>
      <w:r w:rsidR="0099765B" w:rsidRPr="00112B1D">
        <w:rPr>
          <w:rFonts w:asciiTheme="majorHAnsi" w:eastAsia="Times New Roman" w:hAnsiTheme="majorHAnsi" w:cstheme="majorHAnsi"/>
          <w:sz w:val="24"/>
          <w:szCs w:val="24"/>
          <w:lang w:val="ro-MD"/>
        </w:rPr>
        <w:t>536,7</w:t>
      </w:r>
      <w:r w:rsidR="009B5609">
        <w:rPr>
          <w:rFonts w:asciiTheme="majorHAnsi" w:eastAsia="Times New Roman" w:hAnsiTheme="majorHAnsi" w:cstheme="majorHAnsi"/>
          <w:sz w:val="24"/>
          <w:szCs w:val="24"/>
          <w:lang w:val="ro-MD"/>
        </w:rPr>
        <w:t>)</w:t>
      </w:r>
      <w:r w:rsidRPr="007A534D">
        <w:rPr>
          <w:rFonts w:asciiTheme="majorHAnsi" w:eastAsia="Times New Roman" w:hAnsiTheme="majorHAnsi" w:cstheme="majorHAnsi"/>
          <w:sz w:val="24"/>
          <w:szCs w:val="24"/>
          <w:lang w:val="ro-MD"/>
        </w:rPr>
        <w:t xml:space="preserve"> mil.</w:t>
      </w:r>
      <w:r w:rsidR="00D20459">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(1,5%) sub nivelul prevederilor bugetare precizate;</w:t>
      </w:r>
      <w:r w:rsidRPr="007A534D">
        <w:rPr>
          <w:rFonts w:asciiTheme="majorHAnsi" w:hAnsiTheme="majorHAnsi" w:cstheme="majorHAnsi"/>
          <w:sz w:val="24"/>
          <w:szCs w:val="24"/>
        </w:rPr>
        <w:t xml:space="preserve"> </w:t>
      </w:r>
    </w:p>
    <w:p w:rsidR="007A534D" w:rsidRPr="007A534D" w:rsidRDefault="007A534D" w:rsidP="00112B1D">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 xml:space="preserve">cheltuielile de casă în sumă de </w:t>
      </w:r>
      <w:r w:rsidR="0099765B" w:rsidRPr="00112B1D">
        <w:rPr>
          <w:rFonts w:asciiTheme="majorHAnsi" w:eastAsia="Times New Roman" w:hAnsiTheme="majorHAnsi" w:cstheme="majorHAnsi"/>
          <w:sz w:val="24"/>
          <w:szCs w:val="24"/>
          <w:lang w:val="ro-MD"/>
        </w:rPr>
        <w:t>38 708,3</w:t>
      </w:r>
      <w:r w:rsidRPr="007A534D">
        <w:rPr>
          <w:rFonts w:asciiTheme="majorHAnsi" w:eastAsia="Times New Roman" w:hAnsiTheme="majorHAnsi" w:cstheme="majorHAnsi"/>
          <w:sz w:val="24"/>
          <w:szCs w:val="24"/>
          <w:lang w:val="ro-MD"/>
        </w:rPr>
        <w:t xml:space="preserve"> mil.</w:t>
      </w:r>
      <w:r w:rsidR="0099765B" w:rsidRPr="00112B1D">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sunt cu (-</w:t>
      </w:r>
      <w:r w:rsidR="00EF0110" w:rsidRPr="00112B1D">
        <w:rPr>
          <w:rFonts w:asciiTheme="majorHAnsi" w:eastAsia="Times New Roman" w:hAnsiTheme="majorHAnsi" w:cstheme="majorHAnsi"/>
          <w:sz w:val="24"/>
          <w:szCs w:val="24"/>
          <w:lang w:val="ro-MD"/>
        </w:rPr>
        <w:t>3 323,6</w:t>
      </w:r>
      <w:r w:rsidRPr="007A534D">
        <w:rPr>
          <w:rFonts w:asciiTheme="majorHAnsi" w:eastAsia="Times New Roman" w:hAnsiTheme="majorHAnsi" w:cstheme="majorHAnsi"/>
          <w:sz w:val="24"/>
          <w:szCs w:val="24"/>
          <w:lang w:val="ro-MD"/>
        </w:rPr>
        <w:t>) mil.</w:t>
      </w:r>
      <w:r w:rsidR="00EF0110" w:rsidRPr="00112B1D">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(7,9%) sub nivelul cheltuielilor bugetare precizate;</w:t>
      </w:r>
    </w:p>
    <w:p w:rsidR="007A534D" w:rsidRPr="007A534D" w:rsidRDefault="007A534D" w:rsidP="00112B1D">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defic</w:t>
      </w:r>
      <w:r w:rsidR="00EF0110" w:rsidRPr="00112B1D">
        <w:rPr>
          <w:rFonts w:asciiTheme="majorHAnsi" w:eastAsia="Times New Roman" w:hAnsiTheme="majorHAnsi" w:cstheme="majorHAnsi"/>
          <w:sz w:val="24"/>
          <w:szCs w:val="24"/>
          <w:lang w:val="ro-MD"/>
        </w:rPr>
        <w:t>itul bugetar în sumă de (-2 275,7</w:t>
      </w:r>
      <w:r w:rsidRPr="007A534D">
        <w:rPr>
          <w:rFonts w:asciiTheme="majorHAnsi" w:eastAsia="Times New Roman" w:hAnsiTheme="majorHAnsi" w:cstheme="majorHAnsi"/>
          <w:sz w:val="24"/>
          <w:szCs w:val="24"/>
          <w:lang w:val="ro-MD"/>
        </w:rPr>
        <w:t>) mil.</w:t>
      </w:r>
      <w:r w:rsidR="00EF0110" w:rsidRPr="00112B1D">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este cu (-</w:t>
      </w:r>
      <w:r w:rsidR="00EF0110" w:rsidRPr="00112B1D">
        <w:rPr>
          <w:rFonts w:asciiTheme="majorHAnsi" w:eastAsia="Times New Roman" w:hAnsiTheme="majorHAnsi" w:cstheme="majorHAnsi"/>
          <w:sz w:val="24"/>
          <w:szCs w:val="24"/>
          <w:lang w:val="ro-MD"/>
        </w:rPr>
        <w:t>2 786,8</w:t>
      </w:r>
      <w:r w:rsidRPr="007A534D">
        <w:rPr>
          <w:rFonts w:asciiTheme="majorHAnsi" w:eastAsia="Times New Roman" w:hAnsiTheme="majorHAnsi" w:cstheme="majorHAnsi"/>
          <w:sz w:val="24"/>
          <w:szCs w:val="24"/>
          <w:lang w:val="ro-MD"/>
        </w:rPr>
        <w:t>) mil.</w:t>
      </w:r>
      <w:r w:rsidR="00EF0110" w:rsidRPr="00112B1D">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 xml:space="preserve"> (</w:t>
      </w:r>
      <w:r w:rsidR="00EF0110" w:rsidRPr="00112B1D">
        <w:rPr>
          <w:rFonts w:asciiTheme="majorHAnsi" w:eastAsia="Times New Roman" w:hAnsiTheme="majorHAnsi" w:cstheme="majorHAnsi"/>
          <w:sz w:val="24"/>
          <w:szCs w:val="24"/>
          <w:lang w:val="ro-MD"/>
        </w:rPr>
        <w:t>55,0</w:t>
      </w:r>
      <w:r w:rsidRPr="007A534D">
        <w:rPr>
          <w:rFonts w:asciiTheme="majorHAnsi" w:eastAsia="Times New Roman" w:hAnsiTheme="majorHAnsi" w:cstheme="majorHAnsi"/>
          <w:sz w:val="24"/>
          <w:szCs w:val="24"/>
          <w:lang w:val="ro-MD"/>
        </w:rPr>
        <w:t>%) sub nivelul prevederilor bugetare definitive</w:t>
      </w:r>
      <w:r w:rsidR="007E391F">
        <w:rPr>
          <w:rFonts w:asciiTheme="majorHAnsi" w:eastAsia="Times New Roman" w:hAnsiTheme="majorHAnsi" w:cstheme="majorHAnsi"/>
          <w:sz w:val="24"/>
          <w:szCs w:val="24"/>
          <w:lang w:val="ro-MD"/>
        </w:rPr>
        <w:t xml:space="preserve">, urmare </w:t>
      </w:r>
      <w:r w:rsidR="000A763D">
        <w:rPr>
          <w:rFonts w:asciiTheme="majorHAnsi" w:eastAsia="Times New Roman" w:hAnsiTheme="majorHAnsi" w:cstheme="majorHAnsi"/>
          <w:sz w:val="24"/>
          <w:szCs w:val="24"/>
          <w:lang w:val="ro-MD"/>
        </w:rPr>
        <w:t xml:space="preserve">a </w:t>
      </w:r>
      <w:r w:rsidR="007E391F">
        <w:rPr>
          <w:rFonts w:asciiTheme="majorHAnsi" w:eastAsia="Times New Roman" w:hAnsiTheme="majorHAnsi" w:cstheme="majorHAnsi"/>
          <w:sz w:val="24"/>
          <w:szCs w:val="24"/>
          <w:lang w:val="ro-MD"/>
        </w:rPr>
        <w:t xml:space="preserve">neexecutării cheltuielilor cu 3 323,6 mil. </w:t>
      </w:r>
      <w:r w:rsidR="007160B9">
        <w:rPr>
          <w:rFonts w:asciiTheme="majorHAnsi" w:eastAsia="Times New Roman" w:hAnsiTheme="majorHAnsi" w:cstheme="majorHAnsi"/>
          <w:sz w:val="24"/>
          <w:szCs w:val="24"/>
          <w:lang w:val="ro-MD"/>
        </w:rPr>
        <w:t xml:space="preserve">MDL </w:t>
      </w:r>
      <w:r w:rsidR="007E391F">
        <w:rPr>
          <w:rFonts w:asciiTheme="majorHAnsi" w:eastAsia="Times New Roman" w:hAnsiTheme="majorHAnsi" w:cstheme="majorHAnsi"/>
          <w:sz w:val="24"/>
          <w:szCs w:val="24"/>
          <w:lang w:val="ro-MD"/>
        </w:rPr>
        <w:t xml:space="preserve"> și neîncasării veniturilor cu </w:t>
      </w:r>
      <w:r w:rsidR="00BC48F7">
        <w:rPr>
          <w:rFonts w:asciiTheme="majorHAnsi" w:eastAsia="Times New Roman" w:hAnsiTheme="majorHAnsi" w:cstheme="majorHAnsi"/>
          <w:sz w:val="24"/>
          <w:szCs w:val="24"/>
          <w:lang w:val="ro-MD"/>
        </w:rPr>
        <w:t>536,7</w:t>
      </w:r>
      <w:r w:rsidR="007E391F">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Pr="007A534D">
        <w:rPr>
          <w:rFonts w:asciiTheme="majorHAnsi" w:eastAsia="Times New Roman" w:hAnsiTheme="majorHAnsi" w:cstheme="majorHAnsi"/>
          <w:sz w:val="24"/>
          <w:szCs w:val="24"/>
          <w:lang w:val="ro-MD"/>
        </w:rPr>
        <w:t>.</w:t>
      </w:r>
    </w:p>
    <w:p w:rsidR="007A534D" w:rsidRDefault="007A534D" w:rsidP="005858EE">
      <w:pPr>
        <w:spacing w:after="0" w:line="276" w:lineRule="auto"/>
        <w:ind w:firstLine="709"/>
        <w:jc w:val="both"/>
        <w:rPr>
          <w:rFonts w:asciiTheme="majorHAnsi" w:eastAsia="Times New Roman" w:hAnsiTheme="majorHAnsi" w:cstheme="majorHAnsi"/>
          <w:sz w:val="24"/>
          <w:szCs w:val="24"/>
          <w:lang w:val="ro-MD"/>
        </w:rPr>
      </w:pPr>
      <w:r w:rsidRPr="007A534D">
        <w:rPr>
          <w:rFonts w:asciiTheme="majorHAnsi" w:eastAsia="Times New Roman" w:hAnsiTheme="majorHAnsi" w:cstheme="majorHAnsi"/>
          <w:sz w:val="24"/>
          <w:szCs w:val="24"/>
          <w:lang w:val="ro-MD"/>
        </w:rPr>
        <w:t>Drept urmare, exercițiul bugetar 2018 a înregistrat la venituri un nivel de executare a indicilor precizați de 98,</w:t>
      </w:r>
      <w:r w:rsidR="004C29E0">
        <w:rPr>
          <w:rFonts w:asciiTheme="majorHAnsi" w:eastAsia="Times New Roman" w:hAnsiTheme="majorHAnsi" w:cstheme="majorHAnsi"/>
          <w:sz w:val="24"/>
          <w:szCs w:val="24"/>
          <w:lang w:val="ro-MD"/>
        </w:rPr>
        <w:t>5% și la cheltuieli – de 92,1%.</w:t>
      </w:r>
    </w:p>
    <w:p w:rsidR="00DC1D78" w:rsidRPr="005C667F" w:rsidRDefault="005951AF" w:rsidP="005C667F">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lang w:val="ro-MD"/>
        </w:rPr>
        <w:t>Totodată, c</w:t>
      </w:r>
      <w:r w:rsidR="00E13625">
        <w:rPr>
          <w:rFonts w:asciiTheme="majorHAnsi" w:hAnsiTheme="majorHAnsi" w:cstheme="majorHAnsi"/>
          <w:sz w:val="24"/>
          <w:szCs w:val="24"/>
          <w:lang w:val="ro-MD"/>
        </w:rPr>
        <w:t>omparând</w:t>
      </w:r>
      <w:r w:rsidR="00513271" w:rsidRPr="00513271">
        <w:rPr>
          <w:rFonts w:asciiTheme="majorHAnsi" w:hAnsiTheme="majorHAnsi" w:cstheme="majorHAnsi"/>
          <w:sz w:val="24"/>
          <w:szCs w:val="24"/>
        </w:rPr>
        <w:t xml:space="preserve"> încasările realizate, plățile efec</w:t>
      </w:r>
      <w:r w:rsidR="00513271">
        <w:rPr>
          <w:rFonts w:asciiTheme="majorHAnsi" w:hAnsiTheme="majorHAnsi" w:cstheme="majorHAnsi"/>
          <w:sz w:val="24"/>
          <w:szCs w:val="24"/>
        </w:rPr>
        <w:t>tuate până la finele anului 2018</w:t>
      </w:r>
      <w:r w:rsidR="00513271" w:rsidRPr="00513271">
        <w:rPr>
          <w:rFonts w:asciiTheme="majorHAnsi" w:hAnsiTheme="majorHAnsi" w:cstheme="majorHAnsi"/>
          <w:sz w:val="24"/>
          <w:szCs w:val="24"/>
        </w:rPr>
        <w:t xml:space="preserve"> și deficitul înregistrat cu sumele veniturilor, cheltuielilor și deficitului, aprobate prin Legea </w:t>
      </w:r>
      <w:r w:rsidR="00196BD6">
        <w:rPr>
          <w:rFonts w:asciiTheme="majorHAnsi" w:hAnsiTheme="majorHAnsi" w:cstheme="majorHAnsi"/>
          <w:sz w:val="24"/>
          <w:szCs w:val="24"/>
        </w:rPr>
        <w:t>bugetului de stat</w:t>
      </w:r>
      <w:r w:rsidR="00513271">
        <w:rPr>
          <w:rFonts w:asciiTheme="majorHAnsi" w:hAnsiTheme="majorHAnsi" w:cstheme="majorHAnsi"/>
          <w:sz w:val="24"/>
          <w:szCs w:val="24"/>
        </w:rPr>
        <w:t xml:space="preserve"> pe</w:t>
      </w:r>
      <w:r w:rsidR="00196BD6">
        <w:rPr>
          <w:rFonts w:asciiTheme="majorHAnsi" w:hAnsiTheme="majorHAnsi" w:cstheme="majorHAnsi"/>
          <w:sz w:val="24"/>
          <w:szCs w:val="24"/>
        </w:rPr>
        <w:t>ntru</w:t>
      </w:r>
      <w:r w:rsidR="00513271">
        <w:rPr>
          <w:rFonts w:asciiTheme="majorHAnsi" w:hAnsiTheme="majorHAnsi" w:cstheme="majorHAnsi"/>
          <w:sz w:val="24"/>
          <w:szCs w:val="24"/>
        </w:rPr>
        <w:t xml:space="preserve"> anul 2018</w:t>
      </w:r>
      <w:r w:rsidR="00513271" w:rsidRPr="00513271">
        <w:rPr>
          <w:rFonts w:asciiTheme="majorHAnsi" w:hAnsiTheme="majorHAnsi" w:cstheme="majorHAnsi"/>
          <w:sz w:val="24"/>
          <w:szCs w:val="24"/>
        </w:rPr>
        <w:t xml:space="preserve">, rezultă o nerealizare a veniturilor estimate inițial de </w:t>
      </w:r>
      <w:r w:rsidR="00B9071D">
        <w:rPr>
          <w:rFonts w:asciiTheme="majorHAnsi" w:hAnsiTheme="majorHAnsi" w:cstheme="majorHAnsi"/>
          <w:sz w:val="24"/>
          <w:szCs w:val="24"/>
        </w:rPr>
        <w:t>0,5</w:t>
      </w:r>
      <w:r>
        <w:rPr>
          <w:rFonts w:asciiTheme="majorHAnsi" w:hAnsiTheme="majorHAnsi" w:cstheme="majorHAnsi"/>
          <w:sz w:val="24"/>
          <w:szCs w:val="24"/>
        </w:rPr>
        <w:t xml:space="preserve">% și </w:t>
      </w:r>
      <w:r w:rsidR="00513271" w:rsidRPr="00513271">
        <w:rPr>
          <w:rFonts w:asciiTheme="majorHAnsi" w:hAnsiTheme="majorHAnsi" w:cstheme="majorHAnsi"/>
          <w:sz w:val="24"/>
          <w:szCs w:val="24"/>
        </w:rPr>
        <w:t xml:space="preserve">o diminuare a cheltuielilor cu </w:t>
      </w:r>
      <w:r w:rsidR="00B9071D">
        <w:rPr>
          <w:rFonts w:asciiTheme="majorHAnsi" w:hAnsiTheme="majorHAnsi" w:cstheme="majorHAnsi"/>
          <w:sz w:val="24"/>
          <w:szCs w:val="24"/>
        </w:rPr>
        <w:t>6,3</w:t>
      </w:r>
      <w:r w:rsidR="00513271" w:rsidRPr="00513271">
        <w:rPr>
          <w:rFonts w:asciiTheme="majorHAnsi" w:hAnsiTheme="majorHAnsi" w:cstheme="majorHAnsi"/>
          <w:sz w:val="24"/>
          <w:szCs w:val="24"/>
        </w:rPr>
        <w:t>%</w:t>
      </w:r>
      <w:r>
        <w:rPr>
          <w:rFonts w:asciiTheme="majorHAnsi" w:hAnsiTheme="majorHAnsi" w:cstheme="majorHAnsi"/>
          <w:sz w:val="24"/>
          <w:szCs w:val="24"/>
        </w:rPr>
        <w:t>.</w:t>
      </w:r>
      <w:r w:rsidR="00513271" w:rsidRPr="00513271">
        <w:rPr>
          <w:rFonts w:asciiTheme="majorHAnsi" w:hAnsiTheme="majorHAnsi" w:cstheme="majorHAnsi"/>
          <w:sz w:val="24"/>
          <w:szCs w:val="24"/>
        </w:rPr>
        <w:t xml:space="preserve"> </w:t>
      </w:r>
    </w:p>
    <w:p w:rsidR="005858EE" w:rsidRPr="005858EE" w:rsidRDefault="005858EE" w:rsidP="005858EE">
      <w:pPr>
        <w:spacing w:after="0" w:line="276" w:lineRule="auto"/>
        <w:ind w:firstLine="709"/>
        <w:jc w:val="both"/>
        <w:rPr>
          <w:rFonts w:asciiTheme="majorHAnsi" w:eastAsia="Times New Roman" w:hAnsiTheme="majorHAnsi" w:cstheme="majorHAnsi"/>
          <w:sz w:val="24"/>
          <w:szCs w:val="24"/>
          <w:lang w:val="ro-MD"/>
        </w:rPr>
      </w:pPr>
    </w:p>
    <w:p w:rsidR="001E0164" w:rsidRPr="003C5E92" w:rsidRDefault="00453997" w:rsidP="00B51350">
      <w:pPr>
        <w:pStyle w:val="Heading3"/>
        <w:jc w:val="both"/>
        <w:rPr>
          <w:rFonts w:cstheme="majorHAnsi"/>
          <w:b/>
          <w:color w:val="000000" w:themeColor="text1"/>
          <w:lang w:val="ro-MD"/>
        </w:rPr>
      </w:pPr>
      <w:bookmarkStart w:id="10" w:name="_Toc10126082"/>
      <w:r>
        <w:rPr>
          <w:rFonts w:cstheme="majorHAnsi"/>
          <w:b/>
          <w:color w:val="000000" w:themeColor="text1"/>
          <w:lang w:val="ro-MD"/>
        </w:rPr>
        <w:t>3.2</w:t>
      </w:r>
      <w:r w:rsidR="00C75CC8" w:rsidRPr="003C5E92">
        <w:rPr>
          <w:rFonts w:cstheme="majorHAnsi"/>
          <w:b/>
          <w:color w:val="000000" w:themeColor="text1"/>
          <w:lang w:val="ro-MD"/>
        </w:rPr>
        <w:t>.2</w:t>
      </w:r>
      <w:r w:rsidR="001E0164" w:rsidRPr="003C5E92">
        <w:rPr>
          <w:rFonts w:cstheme="majorHAnsi"/>
          <w:b/>
          <w:color w:val="000000" w:themeColor="text1"/>
          <w:lang w:val="ro-MD"/>
        </w:rPr>
        <w:t xml:space="preserve"> </w:t>
      </w:r>
      <w:r w:rsidR="008F3BA8">
        <w:rPr>
          <w:rFonts w:cstheme="majorHAnsi"/>
          <w:b/>
          <w:color w:val="000000" w:themeColor="text1"/>
          <w:lang w:val="ro-MD"/>
        </w:rPr>
        <w:t>Veniturile</w:t>
      </w:r>
      <w:r w:rsidR="00555921" w:rsidRPr="003C5E92">
        <w:rPr>
          <w:rFonts w:cstheme="majorHAnsi"/>
          <w:b/>
          <w:color w:val="000000" w:themeColor="text1"/>
          <w:lang w:val="ro-MD"/>
        </w:rPr>
        <w:t xml:space="preserve"> bugetului de stat</w:t>
      </w:r>
      <w:r w:rsidR="001E0164" w:rsidRPr="003C5E92">
        <w:rPr>
          <w:rFonts w:cstheme="majorHAnsi"/>
          <w:b/>
          <w:color w:val="000000" w:themeColor="text1"/>
          <w:lang w:val="ro-MD"/>
        </w:rPr>
        <w:t xml:space="preserve"> în anul 2018</w:t>
      </w:r>
      <w:r w:rsidR="008F3BA8">
        <w:rPr>
          <w:rFonts w:cstheme="majorHAnsi"/>
          <w:b/>
          <w:color w:val="000000" w:themeColor="text1"/>
          <w:lang w:val="ro-MD"/>
        </w:rPr>
        <w:t xml:space="preserve"> nu au atins nivelul precizat, dar a</w:t>
      </w:r>
      <w:r w:rsidR="00C01449">
        <w:rPr>
          <w:rFonts w:cstheme="majorHAnsi"/>
          <w:b/>
          <w:color w:val="000000" w:themeColor="text1"/>
          <w:lang w:val="ro-MD"/>
        </w:rPr>
        <w:t>u</w:t>
      </w:r>
      <w:r w:rsidR="008F3BA8">
        <w:rPr>
          <w:rFonts w:cstheme="majorHAnsi"/>
          <w:b/>
          <w:color w:val="000000" w:themeColor="text1"/>
          <w:lang w:val="ro-MD"/>
        </w:rPr>
        <w:t xml:space="preserve"> înregistrat o ușoară tendință de creștere față de anul precedent</w:t>
      </w:r>
      <w:r w:rsidR="000529F1" w:rsidRPr="003C5E92">
        <w:rPr>
          <w:rFonts w:cstheme="majorHAnsi"/>
          <w:b/>
          <w:color w:val="000000" w:themeColor="text1"/>
          <w:lang w:val="ro-MD"/>
        </w:rPr>
        <w:t>.</w:t>
      </w:r>
      <w:bookmarkEnd w:id="10"/>
    </w:p>
    <w:p w:rsidR="009E7E6F" w:rsidRPr="009E7E6F" w:rsidRDefault="00C418E0" w:rsidP="00192D44">
      <w:pPr>
        <w:spacing w:after="0" w:line="276" w:lineRule="auto"/>
        <w:jc w:val="both"/>
        <w:rPr>
          <w:rFonts w:asciiTheme="majorHAnsi" w:eastAsia="Times New Roman" w:hAnsiTheme="majorHAnsi" w:cstheme="majorHAnsi"/>
          <w:i/>
          <w:sz w:val="24"/>
          <w:szCs w:val="24"/>
          <w:lang w:val="ro-MD"/>
        </w:rPr>
      </w:pPr>
      <w:r w:rsidRPr="005F45BE">
        <w:rPr>
          <w:rFonts w:asciiTheme="majorHAnsi" w:eastAsia="Times New Roman" w:hAnsiTheme="majorHAnsi" w:cstheme="majorHAnsi"/>
          <w:b/>
          <w:i/>
          <w:iCs/>
          <w:sz w:val="24"/>
          <w:szCs w:val="24"/>
          <w:lang w:val="ro-MD"/>
        </w:rPr>
        <w:t>(i)</w:t>
      </w:r>
      <w:r w:rsidRPr="005F45BE">
        <w:rPr>
          <w:rFonts w:asciiTheme="majorHAnsi" w:eastAsia="Times New Roman" w:hAnsiTheme="majorHAnsi" w:cstheme="majorHAnsi"/>
          <w:i/>
          <w:iCs/>
          <w:sz w:val="24"/>
          <w:szCs w:val="24"/>
          <w:lang w:val="ro-MD"/>
        </w:rPr>
        <w:t xml:space="preserve"> </w:t>
      </w:r>
      <w:r w:rsidR="009E7E6F" w:rsidRPr="005F45BE">
        <w:rPr>
          <w:rFonts w:asciiTheme="majorHAnsi" w:eastAsia="Times New Roman" w:hAnsiTheme="majorHAnsi" w:cstheme="majorHAnsi"/>
          <w:b/>
          <w:i/>
          <w:iCs/>
          <w:sz w:val="24"/>
          <w:szCs w:val="24"/>
          <w:lang w:val="ro-MD"/>
        </w:rPr>
        <w:t>Evidența</w:t>
      </w:r>
      <w:r w:rsidR="009E7E6F" w:rsidRPr="0051539B">
        <w:rPr>
          <w:rFonts w:asciiTheme="majorHAnsi" w:eastAsia="Times New Roman" w:hAnsiTheme="majorHAnsi" w:cstheme="majorHAnsi"/>
          <w:b/>
          <w:i/>
          <w:iCs/>
          <w:sz w:val="24"/>
          <w:szCs w:val="24"/>
          <w:lang w:val="ro-MD"/>
        </w:rPr>
        <w:t xml:space="preserve"> încasărilor bugetului de stat </w:t>
      </w:r>
      <w:r w:rsidRPr="0051539B">
        <w:rPr>
          <w:rFonts w:asciiTheme="majorHAnsi" w:eastAsia="Times New Roman" w:hAnsiTheme="majorHAnsi" w:cstheme="majorHAnsi"/>
          <w:b/>
          <w:i/>
          <w:iCs/>
          <w:sz w:val="24"/>
          <w:szCs w:val="24"/>
          <w:lang w:val="ro-MD"/>
        </w:rPr>
        <w:t>este asigurată</w:t>
      </w:r>
      <w:r w:rsidR="009E7E6F" w:rsidRPr="0051539B">
        <w:rPr>
          <w:rFonts w:asciiTheme="majorHAnsi" w:eastAsia="Times New Roman" w:hAnsiTheme="majorHAnsi" w:cstheme="majorHAnsi"/>
          <w:b/>
          <w:i/>
          <w:iCs/>
          <w:sz w:val="24"/>
          <w:szCs w:val="24"/>
          <w:lang w:val="ro-MD"/>
        </w:rPr>
        <w:t xml:space="preserve"> prin conturi </w:t>
      </w:r>
      <w:proofErr w:type="spellStart"/>
      <w:r w:rsidR="009E7E6F" w:rsidRPr="0051539B">
        <w:rPr>
          <w:rFonts w:asciiTheme="majorHAnsi" w:eastAsia="Times New Roman" w:hAnsiTheme="majorHAnsi" w:cstheme="majorHAnsi"/>
          <w:b/>
          <w:i/>
          <w:iCs/>
          <w:sz w:val="24"/>
          <w:szCs w:val="24"/>
          <w:lang w:val="ro-MD"/>
        </w:rPr>
        <w:t>trezoreriale</w:t>
      </w:r>
      <w:proofErr w:type="spellEnd"/>
      <w:r w:rsidR="009E7E6F" w:rsidRPr="0051539B">
        <w:rPr>
          <w:rFonts w:asciiTheme="majorHAnsi" w:eastAsia="Times New Roman" w:hAnsiTheme="majorHAnsi" w:cstheme="majorHAnsi"/>
          <w:b/>
          <w:i/>
          <w:iCs/>
          <w:sz w:val="24"/>
          <w:szCs w:val="24"/>
          <w:lang w:val="ro-MD"/>
        </w:rPr>
        <w:t xml:space="preserve"> bazate pe Clasificația bugetară și pe Planul de conturi contabile</w:t>
      </w:r>
      <w:r w:rsidR="009E7E6F" w:rsidRPr="0051539B">
        <w:rPr>
          <w:rFonts w:asciiTheme="majorHAnsi" w:eastAsia="Times New Roman" w:hAnsiTheme="majorHAnsi" w:cstheme="majorHAnsi"/>
          <w:b/>
          <w:i/>
          <w:iCs/>
          <w:sz w:val="24"/>
          <w:szCs w:val="24"/>
          <w:vertAlign w:val="superscript"/>
          <w:lang w:val="ro-MD"/>
        </w:rPr>
        <w:footnoteReference w:id="14"/>
      </w:r>
      <w:r w:rsidR="009E7E6F" w:rsidRPr="0051539B">
        <w:rPr>
          <w:rFonts w:asciiTheme="majorHAnsi" w:eastAsia="Times New Roman" w:hAnsiTheme="majorHAnsi" w:cstheme="majorHAnsi"/>
          <w:b/>
          <w:i/>
          <w:sz w:val="24"/>
          <w:szCs w:val="24"/>
          <w:lang w:val="ro-MD"/>
        </w:rPr>
        <w:t>.</w:t>
      </w:r>
    </w:p>
    <w:p w:rsidR="009E7E6F" w:rsidRPr="009E7E6F" w:rsidRDefault="009E7E6F" w:rsidP="009E7E6F">
      <w:pPr>
        <w:spacing w:after="0" w:line="276" w:lineRule="auto"/>
        <w:ind w:firstLine="709"/>
        <w:jc w:val="both"/>
        <w:rPr>
          <w:rFonts w:asciiTheme="majorHAnsi" w:eastAsia="Times New Roman" w:hAnsiTheme="majorHAnsi" w:cstheme="majorHAnsi"/>
          <w:i/>
          <w:iCs/>
          <w:sz w:val="24"/>
          <w:szCs w:val="24"/>
          <w:lang w:val="ro-MD"/>
        </w:rPr>
      </w:pPr>
      <w:r w:rsidRPr="009E7E6F">
        <w:rPr>
          <w:rFonts w:asciiTheme="majorHAnsi" w:eastAsia="Times New Roman" w:hAnsiTheme="majorHAnsi" w:cstheme="majorHAnsi"/>
          <w:sz w:val="24"/>
          <w:szCs w:val="24"/>
          <w:lang w:val="ro-MD"/>
        </w:rPr>
        <w:t xml:space="preserve">Conform datelor Raportului privind executarea bugetului de stat pe anul 2018, veniturile bugetului de stat însumează 36 </w:t>
      </w:r>
      <w:r w:rsidR="00813D16">
        <w:rPr>
          <w:rFonts w:asciiTheme="majorHAnsi" w:eastAsia="Times New Roman" w:hAnsiTheme="majorHAnsi" w:cstheme="majorHAnsi"/>
          <w:sz w:val="24"/>
          <w:szCs w:val="24"/>
          <w:lang w:val="ro-MD"/>
        </w:rPr>
        <w:t>432,7</w:t>
      </w:r>
      <w:r w:rsidRPr="009E7E6F">
        <w:rPr>
          <w:rFonts w:asciiTheme="majorHAnsi" w:eastAsia="Times New Roman" w:hAnsiTheme="majorHAnsi" w:cstheme="majorHAnsi"/>
          <w:sz w:val="24"/>
          <w:szCs w:val="24"/>
          <w:lang w:val="ro-MD"/>
        </w:rPr>
        <w:t xml:space="preserve"> mil.</w:t>
      </w:r>
      <w:r w:rsidR="00813D1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9E7E6F">
        <w:rPr>
          <w:rFonts w:asciiTheme="majorHAnsi" w:eastAsia="Times New Roman" w:hAnsiTheme="majorHAnsi" w:cstheme="majorHAnsi"/>
          <w:sz w:val="24"/>
          <w:szCs w:val="24"/>
          <w:lang w:val="ro-MD"/>
        </w:rPr>
        <w:t xml:space="preserve">, </w:t>
      </w:r>
      <w:r w:rsidR="009B68E8">
        <w:rPr>
          <w:rFonts w:asciiTheme="majorHAnsi" w:eastAsia="Times New Roman" w:hAnsiTheme="majorHAnsi" w:cstheme="majorHAnsi"/>
          <w:sz w:val="24"/>
          <w:szCs w:val="24"/>
          <w:lang w:val="ro-MD"/>
        </w:rPr>
        <w:t>fiind</w:t>
      </w:r>
      <w:r w:rsidRPr="009E7E6F">
        <w:rPr>
          <w:rFonts w:asciiTheme="majorHAnsi" w:eastAsia="Times New Roman" w:hAnsiTheme="majorHAnsi" w:cstheme="majorHAnsi"/>
          <w:sz w:val="24"/>
          <w:szCs w:val="24"/>
          <w:lang w:val="ro-MD"/>
        </w:rPr>
        <w:t xml:space="preserve"> cu 2 </w:t>
      </w:r>
      <w:r w:rsidR="00E863B8">
        <w:rPr>
          <w:rFonts w:asciiTheme="majorHAnsi" w:eastAsia="Times New Roman" w:hAnsiTheme="majorHAnsi" w:cstheme="majorHAnsi"/>
          <w:sz w:val="24"/>
          <w:szCs w:val="24"/>
          <w:lang w:val="ro-MD"/>
        </w:rPr>
        <w:t>485,3</w:t>
      </w:r>
      <w:r w:rsidRPr="009E7E6F">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Pr="009E7E6F">
        <w:rPr>
          <w:rFonts w:asciiTheme="majorHAnsi" w:eastAsia="Times New Roman" w:hAnsiTheme="majorHAnsi" w:cstheme="majorHAnsi"/>
          <w:sz w:val="24"/>
          <w:szCs w:val="24"/>
          <w:lang w:val="ro-MD"/>
        </w:rPr>
        <w:t xml:space="preserve"> mai </w:t>
      </w:r>
      <w:r w:rsidR="00F95E88">
        <w:rPr>
          <w:rFonts w:asciiTheme="majorHAnsi" w:eastAsia="Times New Roman" w:hAnsiTheme="majorHAnsi" w:cstheme="majorHAnsi"/>
          <w:sz w:val="24"/>
          <w:szCs w:val="24"/>
          <w:lang w:val="ro-MD"/>
        </w:rPr>
        <w:t>mari</w:t>
      </w:r>
      <w:r w:rsidRPr="009E7E6F">
        <w:rPr>
          <w:rFonts w:asciiTheme="majorHAnsi" w:eastAsia="Times New Roman" w:hAnsiTheme="majorHAnsi" w:cstheme="majorHAnsi"/>
          <w:sz w:val="24"/>
          <w:szCs w:val="24"/>
          <w:lang w:val="ro-MD"/>
        </w:rPr>
        <w:t xml:space="preserve"> față de anul 2017</w:t>
      </w:r>
      <w:r w:rsidR="00F95E88">
        <w:rPr>
          <w:rFonts w:asciiTheme="majorHAnsi" w:eastAsia="Times New Roman" w:hAnsiTheme="majorHAnsi" w:cstheme="majorHAnsi"/>
          <w:sz w:val="24"/>
          <w:szCs w:val="24"/>
          <w:lang w:val="ro-MD"/>
        </w:rPr>
        <w:t>,</w:t>
      </w:r>
      <w:r w:rsidR="000F3E2C">
        <w:rPr>
          <w:rFonts w:asciiTheme="majorHAnsi" w:eastAsia="Times New Roman" w:hAnsiTheme="majorHAnsi" w:cstheme="majorHAnsi"/>
          <w:sz w:val="24"/>
          <w:szCs w:val="24"/>
          <w:lang w:val="ro-MD"/>
        </w:rPr>
        <w:t xml:space="preserve"> dar neatingând nivelul precizat pentru anul 2018 cu 536,7 mil. </w:t>
      </w:r>
      <w:r w:rsidR="007160B9">
        <w:rPr>
          <w:rFonts w:asciiTheme="majorHAnsi" w:eastAsia="Times New Roman" w:hAnsiTheme="majorHAnsi" w:cstheme="majorHAnsi"/>
          <w:sz w:val="24"/>
          <w:szCs w:val="24"/>
          <w:lang w:val="ro-MD"/>
        </w:rPr>
        <w:t>MDL</w:t>
      </w:r>
      <w:r w:rsidRPr="009E7E6F">
        <w:rPr>
          <w:rFonts w:asciiTheme="majorHAnsi" w:eastAsia="Times New Roman" w:hAnsiTheme="majorHAnsi" w:cstheme="majorHAnsi"/>
          <w:sz w:val="24"/>
          <w:szCs w:val="24"/>
          <w:lang w:val="ro-MD"/>
        </w:rPr>
        <w:t xml:space="preserve">. </w:t>
      </w:r>
      <w:r w:rsidRPr="009E7E6F">
        <w:rPr>
          <w:rFonts w:asciiTheme="majorHAnsi" w:eastAsia="Times New Roman" w:hAnsiTheme="majorHAnsi" w:cstheme="majorHAnsi"/>
          <w:i/>
          <w:iCs/>
          <w:sz w:val="24"/>
          <w:szCs w:val="24"/>
          <w:lang w:val="ro-MD"/>
        </w:rPr>
        <w:t>Realizarea veniturilor bugetului de stat în anul 2018, în comparație cu anii 2016 și 2017, se prezintă în Tabelul nr.3.</w:t>
      </w:r>
    </w:p>
    <w:p w:rsidR="009E7E6F" w:rsidRPr="009E7E6F" w:rsidRDefault="009E7E6F" w:rsidP="009E7E6F">
      <w:pPr>
        <w:spacing w:after="0" w:line="240" w:lineRule="auto"/>
        <w:jc w:val="right"/>
        <w:rPr>
          <w:rFonts w:asciiTheme="majorHAnsi" w:eastAsia="Times New Roman" w:hAnsiTheme="majorHAnsi" w:cstheme="majorHAnsi"/>
          <w:i/>
          <w:sz w:val="24"/>
          <w:szCs w:val="24"/>
          <w:lang w:val="ro-MD"/>
        </w:rPr>
      </w:pPr>
      <w:r w:rsidRPr="009E7E6F">
        <w:rPr>
          <w:rFonts w:asciiTheme="majorHAnsi" w:eastAsia="Times New Roman" w:hAnsiTheme="majorHAnsi" w:cstheme="majorHAnsi"/>
          <w:i/>
          <w:sz w:val="24"/>
          <w:szCs w:val="24"/>
          <w:lang w:val="ro-MD"/>
        </w:rPr>
        <w:t>Tabelul nr.3</w:t>
      </w:r>
    </w:p>
    <w:p w:rsidR="009E7E6F" w:rsidRPr="009E7E6F" w:rsidRDefault="00753324" w:rsidP="009E7E6F">
      <w:pPr>
        <w:spacing w:after="0" w:line="240" w:lineRule="auto"/>
        <w:jc w:val="center"/>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Dinamica execuției</w:t>
      </w:r>
      <w:r w:rsidR="009E7E6F" w:rsidRPr="009E7E6F">
        <w:rPr>
          <w:rFonts w:asciiTheme="majorHAnsi" w:eastAsia="Times New Roman" w:hAnsiTheme="majorHAnsi" w:cstheme="majorHAnsi"/>
          <w:b/>
          <w:bCs/>
          <w:sz w:val="24"/>
          <w:szCs w:val="24"/>
          <w:lang w:val="ro-MD"/>
        </w:rPr>
        <w:t xml:space="preserve"> v</w:t>
      </w:r>
      <w:r>
        <w:rPr>
          <w:rFonts w:asciiTheme="majorHAnsi" w:eastAsia="Times New Roman" w:hAnsiTheme="majorHAnsi" w:cstheme="majorHAnsi"/>
          <w:b/>
          <w:bCs/>
          <w:sz w:val="24"/>
          <w:szCs w:val="24"/>
          <w:lang w:val="ro-MD"/>
        </w:rPr>
        <w:t xml:space="preserve">eniturilor bugetului de stat în </w:t>
      </w:r>
      <w:r w:rsidR="009E7E6F" w:rsidRPr="009E7E6F">
        <w:rPr>
          <w:rFonts w:asciiTheme="majorHAnsi" w:eastAsia="Times New Roman" w:hAnsiTheme="majorHAnsi" w:cstheme="majorHAnsi"/>
          <w:b/>
          <w:bCs/>
          <w:sz w:val="24"/>
          <w:szCs w:val="24"/>
          <w:lang w:val="ro-MD"/>
        </w:rPr>
        <w:t>anii 2016</w:t>
      </w:r>
      <w:r w:rsidR="00F95E88">
        <w:rPr>
          <w:rFonts w:asciiTheme="majorHAnsi" w:eastAsia="Times New Roman" w:hAnsiTheme="majorHAnsi" w:cstheme="majorHAnsi"/>
          <w:b/>
          <w:bCs/>
          <w:sz w:val="24"/>
          <w:szCs w:val="24"/>
          <w:lang w:val="ro-MD"/>
        </w:rPr>
        <w:t xml:space="preserve"> </w:t>
      </w:r>
      <w:r w:rsidR="009E7E6F" w:rsidRPr="009E7E6F">
        <w:rPr>
          <w:rFonts w:asciiTheme="majorHAnsi" w:eastAsia="Times New Roman" w:hAnsiTheme="majorHAnsi" w:cstheme="majorHAnsi"/>
          <w:b/>
          <w:bCs/>
          <w:sz w:val="24"/>
          <w:szCs w:val="24"/>
          <w:lang w:val="ro-MD"/>
        </w:rPr>
        <w:t>-</w:t>
      </w:r>
      <w:r w:rsidR="00F95E88">
        <w:rPr>
          <w:rFonts w:asciiTheme="majorHAnsi" w:eastAsia="Times New Roman" w:hAnsiTheme="majorHAnsi" w:cstheme="majorHAnsi"/>
          <w:b/>
          <w:bCs/>
          <w:sz w:val="24"/>
          <w:szCs w:val="24"/>
          <w:lang w:val="ro-MD"/>
        </w:rPr>
        <w:t xml:space="preserve"> </w:t>
      </w:r>
      <w:r w:rsidR="009E7E6F" w:rsidRPr="009E7E6F">
        <w:rPr>
          <w:rFonts w:asciiTheme="majorHAnsi" w:eastAsia="Times New Roman" w:hAnsiTheme="majorHAnsi" w:cstheme="majorHAnsi"/>
          <w:b/>
          <w:bCs/>
          <w:sz w:val="24"/>
          <w:szCs w:val="24"/>
          <w:lang w:val="ro-MD"/>
        </w:rPr>
        <w:t>2018</w:t>
      </w:r>
    </w:p>
    <w:p w:rsidR="009E7E6F" w:rsidRPr="009E7E6F" w:rsidRDefault="009E7E6F" w:rsidP="009E7E6F">
      <w:pPr>
        <w:spacing w:after="0" w:line="240" w:lineRule="auto"/>
        <w:ind w:firstLine="567"/>
        <w:jc w:val="right"/>
        <w:rPr>
          <w:rFonts w:asciiTheme="majorHAnsi" w:eastAsia="Times New Roman" w:hAnsiTheme="majorHAnsi" w:cstheme="majorHAnsi"/>
          <w:b/>
          <w:sz w:val="24"/>
          <w:szCs w:val="24"/>
          <w:lang w:val="en-US"/>
        </w:rPr>
      </w:pPr>
      <w:r w:rsidRPr="009E7E6F">
        <w:rPr>
          <w:rFonts w:asciiTheme="majorHAnsi" w:eastAsia="Times New Roman" w:hAnsiTheme="majorHAnsi" w:cstheme="majorHAnsi"/>
          <w:b/>
          <w:sz w:val="24"/>
          <w:szCs w:val="24"/>
          <w:lang w:val="en-US"/>
        </w:rPr>
        <w:t> (mil.</w:t>
      </w:r>
      <w:r w:rsidR="00F03D5A">
        <w:rPr>
          <w:rFonts w:asciiTheme="majorHAnsi" w:eastAsia="Times New Roman" w:hAnsiTheme="majorHAnsi" w:cstheme="majorHAnsi"/>
          <w:b/>
          <w:sz w:val="24"/>
          <w:szCs w:val="24"/>
          <w:lang w:val="en-US"/>
        </w:rPr>
        <w:t xml:space="preserve"> </w:t>
      </w:r>
      <w:r w:rsidR="007160B9">
        <w:rPr>
          <w:rFonts w:asciiTheme="majorHAnsi" w:eastAsia="Times New Roman" w:hAnsiTheme="majorHAnsi" w:cstheme="majorHAnsi"/>
          <w:b/>
          <w:sz w:val="24"/>
          <w:szCs w:val="24"/>
          <w:lang w:val="en-US"/>
        </w:rPr>
        <w:t>MDL</w:t>
      </w:r>
      <w:r w:rsidRPr="009E7E6F">
        <w:rPr>
          <w:rFonts w:asciiTheme="majorHAnsi" w:eastAsia="Times New Roman" w:hAnsiTheme="majorHAnsi" w:cstheme="majorHAnsi"/>
          <w:b/>
          <w:sz w:val="24"/>
          <w:szCs w:val="24"/>
          <w:lang w:val="en-US"/>
        </w:rPr>
        <w:t>)</w:t>
      </w:r>
    </w:p>
    <w:tbl>
      <w:tblPr>
        <w:tblStyle w:val="GridTable1Light2"/>
        <w:tblW w:w="9643" w:type="dxa"/>
        <w:tblLook w:val="04A0" w:firstRow="1" w:lastRow="0" w:firstColumn="1" w:lastColumn="0" w:noHBand="0" w:noVBand="1"/>
      </w:tblPr>
      <w:tblGrid>
        <w:gridCol w:w="1696"/>
        <w:gridCol w:w="1133"/>
        <w:gridCol w:w="1135"/>
        <w:gridCol w:w="1134"/>
        <w:gridCol w:w="992"/>
        <w:gridCol w:w="1149"/>
        <w:gridCol w:w="31"/>
        <w:gridCol w:w="1089"/>
        <w:gridCol w:w="1277"/>
        <w:gridCol w:w="7"/>
      </w:tblGrid>
      <w:tr w:rsidR="00352CD7" w:rsidRPr="009E7E6F" w:rsidTr="00352C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9E7E6F" w:rsidRPr="009E7E6F" w:rsidRDefault="009E7E6F" w:rsidP="009E7E6F">
            <w:pPr>
              <w:jc w:val="center"/>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Indicatori</w:t>
            </w:r>
          </w:p>
        </w:tc>
        <w:tc>
          <w:tcPr>
            <w:tcW w:w="3402" w:type="dxa"/>
            <w:gridSpan w:val="3"/>
          </w:tcPr>
          <w:p w:rsidR="009E7E6F" w:rsidRPr="009E7E6F" w:rsidRDefault="009E7E6F" w:rsidP="009E7E6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 xml:space="preserve">Anii </w:t>
            </w:r>
          </w:p>
        </w:tc>
        <w:tc>
          <w:tcPr>
            <w:tcW w:w="2172" w:type="dxa"/>
            <w:gridSpan w:val="3"/>
          </w:tcPr>
          <w:p w:rsidR="009E7E6F" w:rsidRPr="009E7E6F" w:rsidRDefault="009E7E6F" w:rsidP="009E7E6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Devieri 2018/2016</w:t>
            </w:r>
          </w:p>
        </w:tc>
        <w:tc>
          <w:tcPr>
            <w:tcW w:w="2373" w:type="dxa"/>
            <w:gridSpan w:val="3"/>
          </w:tcPr>
          <w:p w:rsidR="009E7E6F" w:rsidRPr="009E7E6F" w:rsidRDefault="009E7E6F" w:rsidP="009E7E6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Devieri 2018/2017</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vMerge/>
          </w:tcPr>
          <w:p w:rsidR="009E7E6F" w:rsidRPr="009E7E6F" w:rsidRDefault="009E7E6F" w:rsidP="009E7E6F">
            <w:pPr>
              <w:jc w:val="center"/>
              <w:rPr>
                <w:rFonts w:asciiTheme="majorHAnsi" w:eastAsia="Times New Roman" w:hAnsiTheme="majorHAnsi" w:cstheme="majorHAnsi"/>
                <w:sz w:val="24"/>
                <w:szCs w:val="24"/>
                <w:lang w:val="ro-MD"/>
              </w:rPr>
            </w:pPr>
          </w:p>
        </w:tc>
        <w:tc>
          <w:tcPr>
            <w:tcW w:w="1133"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2016</w:t>
            </w:r>
          </w:p>
        </w:tc>
        <w:tc>
          <w:tcPr>
            <w:tcW w:w="1135"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2017</w:t>
            </w:r>
          </w:p>
        </w:tc>
        <w:tc>
          <w:tcPr>
            <w:tcW w:w="1134"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2018</w:t>
            </w:r>
          </w:p>
        </w:tc>
        <w:tc>
          <w:tcPr>
            <w:tcW w:w="992"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w:t>
            </w:r>
          </w:p>
        </w:tc>
        <w:tc>
          <w:tcPr>
            <w:tcW w:w="1149"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w:t>
            </w:r>
          </w:p>
        </w:tc>
        <w:tc>
          <w:tcPr>
            <w:tcW w:w="1120" w:type="dxa"/>
            <w:gridSpan w:val="2"/>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w:t>
            </w:r>
          </w:p>
        </w:tc>
        <w:tc>
          <w:tcPr>
            <w:tcW w:w="1277"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o-MD"/>
              </w:rPr>
            </w:pPr>
            <w:r w:rsidRPr="009E7E6F">
              <w:rPr>
                <w:rFonts w:asciiTheme="majorHAnsi" w:eastAsia="Times New Roman" w:hAnsiTheme="majorHAnsi" w:cstheme="majorHAnsi"/>
                <w:b/>
                <w:bCs/>
                <w:sz w:val="24"/>
                <w:szCs w:val="24"/>
                <w:lang w:val="ro-MD"/>
              </w:rPr>
              <w:t>%</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tcPr>
          <w:p w:rsidR="009E7E6F" w:rsidRPr="009E7E6F" w:rsidRDefault="009E7E6F" w:rsidP="009E7E6F">
            <w:pPr>
              <w:jc w:val="center"/>
              <w:rPr>
                <w:rFonts w:asciiTheme="majorHAnsi" w:eastAsia="Times New Roman" w:hAnsiTheme="majorHAnsi" w:cstheme="majorHAnsi"/>
                <w:b w:val="0"/>
                <w:i/>
                <w:sz w:val="18"/>
                <w:szCs w:val="18"/>
                <w:lang w:val="ro-MD"/>
              </w:rPr>
            </w:pPr>
            <w:r w:rsidRPr="009E7E6F">
              <w:rPr>
                <w:rFonts w:asciiTheme="majorHAnsi" w:eastAsia="Times New Roman" w:hAnsiTheme="majorHAnsi" w:cstheme="majorHAnsi"/>
                <w:b w:val="0"/>
                <w:i/>
                <w:sz w:val="18"/>
                <w:szCs w:val="18"/>
                <w:lang w:val="ro-MD"/>
              </w:rPr>
              <w:t>1</w:t>
            </w:r>
          </w:p>
        </w:tc>
        <w:tc>
          <w:tcPr>
            <w:tcW w:w="1133"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2</w:t>
            </w:r>
          </w:p>
        </w:tc>
        <w:tc>
          <w:tcPr>
            <w:tcW w:w="1135"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3</w:t>
            </w:r>
          </w:p>
        </w:tc>
        <w:tc>
          <w:tcPr>
            <w:tcW w:w="1134"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4</w:t>
            </w:r>
          </w:p>
        </w:tc>
        <w:tc>
          <w:tcPr>
            <w:tcW w:w="992"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5=4-2</w:t>
            </w:r>
          </w:p>
        </w:tc>
        <w:tc>
          <w:tcPr>
            <w:tcW w:w="1149"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6=4/2*100</w:t>
            </w:r>
          </w:p>
        </w:tc>
        <w:tc>
          <w:tcPr>
            <w:tcW w:w="1120" w:type="dxa"/>
            <w:gridSpan w:val="2"/>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7=4-3</w:t>
            </w:r>
          </w:p>
        </w:tc>
        <w:tc>
          <w:tcPr>
            <w:tcW w:w="1277" w:type="dxa"/>
          </w:tcPr>
          <w:p w:rsidR="009E7E6F" w:rsidRPr="009E7E6F" w:rsidRDefault="009E7E6F" w:rsidP="009E7E6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o-MD"/>
              </w:rPr>
            </w:pPr>
            <w:r w:rsidRPr="009E7E6F">
              <w:rPr>
                <w:rFonts w:asciiTheme="majorHAnsi" w:eastAsia="Times New Roman" w:hAnsiTheme="majorHAnsi" w:cstheme="majorHAnsi"/>
                <w:bCs/>
                <w:i/>
                <w:sz w:val="18"/>
                <w:szCs w:val="18"/>
                <w:lang w:val="ro-MD"/>
              </w:rPr>
              <w:t>8=4/3*100</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tcPr>
          <w:p w:rsidR="009E7E6F" w:rsidRPr="009E7E6F" w:rsidRDefault="009E7E6F" w:rsidP="009E7E6F">
            <w:pPr>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Precizat pe an</w:t>
            </w:r>
          </w:p>
        </w:tc>
        <w:tc>
          <w:tcPr>
            <w:tcW w:w="1133"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29</w:t>
            </w:r>
            <w:r w:rsidR="00352CD7">
              <w:rPr>
                <w:rFonts w:asciiTheme="majorHAnsi" w:eastAsia="Times New Roman" w:hAnsiTheme="majorHAnsi" w:cstheme="majorHAnsi"/>
                <w:bCs/>
                <w:sz w:val="24"/>
                <w:szCs w:val="24"/>
                <w:lang w:val="ro-MD"/>
              </w:rPr>
              <w:t xml:space="preserve"> </w:t>
            </w:r>
            <w:r w:rsidRPr="009E7E6F">
              <w:rPr>
                <w:rFonts w:asciiTheme="majorHAnsi" w:eastAsia="Times New Roman" w:hAnsiTheme="majorHAnsi" w:cstheme="majorHAnsi"/>
                <w:bCs/>
                <w:sz w:val="24"/>
                <w:szCs w:val="24"/>
                <w:lang w:val="ro-MD"/>
              </w:rPr>
              <w:t>655,4</w:t>
            </w:r>
          </w:p>
        </w:tc>
        <w:tc>
          <w:tcPr>
            <w:tcW w:w="1135"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33</w:t>
            </w:r>
            <w:r w:rsidR="00352CD7">
              <w:rPr>
                <w:rFonts w:asciiTheme="majorHAnsi" w:eastAsia="Times New Roman" w:hAnsiTheme="majorHAnsi" w:cstheme="majorHAnsi"/>
                <w:bCs/>
                <w:sz w:val="24"/>
                <w:szCs w:val="24"/>
                <w:lang w:val="ro-MD"/>
              </w:rPr>
              <w:t xml:space="preserve"> </w:t>
            </w:r>
            <w:r w:rsidRPr="009E7E6F">
              <w:rPr>
                <w:rFonts w:asciiTheme="majorHAnsi" w:eastAsia="Times New Roman" w:hAnsiTheme="majorHAnsi" w:cstheme="majorHAnsi"/>
                <w:bCs/>
                <w:sz w:val="24"/>
                <w:szCs w:val="24"/>
                <w:lang w:val="ro-MD"/>
              </w:rPr>
              <w:t>778,3</w:t>
            </w:r>
          </w:p>
        </w:tc>
        <w:tc>
          <w:tcPr>
            <w:tcW w:w="1134" w:type="dxa"/>
          </w:tcPr>
          <w:p w:rsidR="009E7E6F" w:rsidRPr="009E7E6F" w:rsidRDefault="000C13F3"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36</w:t>
            </w:r>
            <w:r w:rsidR="00352CD7">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969,4</w:t>
            </w:r>
          </w:p>
        </w:tc>
        <w:tc>
          <w:tcPr>
            <w:tcW w:w="992"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7 314,0</w:t>
            </w:r>
          </w:p>
        </w:tc>
        <w:tc>
          <w:tcPr>
            <w:tcW w:w="1149"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124,7</w:t>
            </w:r>
          </w:p>
        </w:tc>
        <w:tc>
          <w:tcPr>
            <w:tcW w:w="1120" w:type="dxa"/>
            <w:gridSpan w:val="2"/>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3 191,1</w:t>
            </w:r>
          </w:p>
        </w:tc>
        <w:tc>
          <w:tcPr>
            <w:tcW w:w="1277"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109,4</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tcPr>
          <w:p w:rsidR="009E7E6F" w:rsidRPr="009E7E6F" w:rsidRDefault="009E7E6F" w:rsidP="009E7E6F">
            <w:pPr>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Executat</w:t>
            </w:r>
          </w:p>
        </w:tc>
        <w:tc>
          <w:tcPr>
            <w:tcW w:w="1133"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28</w:t>
            </w:r>
            <w:r w:rsidR="00352CD7">
              <w:rPr>
                <w:rFonts w:asciiTheme="majorHAnsi" w:eastAsia="Times New Roman" w:hAnsiTheme="majorHAnsi" w:cstheme="majorHAnsi"/>
                <w:bCs/>
                <w:sz w:val="24"/>
                <w:szCs w:val="24"/>
                <w:lang w:val="ro-MD"/>
              </w:rPr>
              <w:t xml:space="preserve"> </w:t>
            </w:r>
            <w:r w:rsidRPr="009E7E6F">
              <w:rPr>
                <w:rFonts w:asciiTheme="majorHAnsi" w:eastAsia="Times New Roman" w:hAnsiTheme="majorHAnsi" w:cstheme="majorHAnsi"/>
                <w:bCs/>
                <w:sz w:val="24"/>
                <w:szCs w:val="24"/>
                <w:lang w:val="ro-MD"/>
              </w:rPr>
              <w:t>879,6</w:t>
            </w:r>
          </w:p>
        </w:tc>
        <w:tc>
          <w:tcPr>
            <w:tcW w:w="1135"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33</w:t>
            </w:r>
            <w:r w:rsidR="00352CD7">
              <w:rPr>
                <w:rFonts w:asciiTheme="majorHAnsi" w:eastAsia="Times New Roman" w:hAnsiTheme="majorHAnsi" w:cstheme="majorHAnsi"/>
                <w:bCs/>
                <w:sz w:val="24"/>
                <w:szCs w:val="24"/>
                <w:lang w:val="ro-MD"/>
              </w:rPr>
              <w:t xml:space="preserve"> </w:t>
            </w:r>
            <w:r w:rsidRPr="009E7E6F">
              <w:rPr>
                <w:rFonts w:asciiTheme="majorHAnsi" w:eastAsia="Times New Roman" w:hAnsiTheme="majorHAnsi" w:cstheme="majorHAnsi"/>
                <w:bCs/>
                <w:sz w:val="24"/>
                <w:szCs w:val="24"/>
                <w:lang w:val="ro-MD"/>
              </w:rPr>
              <w:t>947,4</w:t>
            </w:r>
          </w:p>
        </w:tc>
        <w:tc>
          <w:tcPr>
            <w:tcW w:w="1134" w:type="dxa"/>
          </w:tcPr>
          <w:p w:rsidR="009E7E6F" w:rsidRPr="009E7E6F" w:rsidRDefault="000C13F3"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36</w:t>
            </w:r>
            <w:r w:rsidR="00352CD7">
              <w:rPr>
                <w:rFonts w:asciiTheme="majorHAnsi" w:eastAsia="Times New Roman" w:hAnsiTheme="majorHAnsi" w:cstheme="majorHAnsi"/>
                <w:bCs/>
                <w:sz w:val="24"/>
                <w:szCs w:val="24"/>
                <w:lang w:val="ro-MD"/>
              </w:rPr>
              <w:t xml:space="preserve"> </w:t>
            </w:r>
            <w:r>
              <w:rPr>
                <w:rFonts w:asciiTheme="majorHAnsi" w:eastAsia="Times New Roman" w:hAnsiTheme="majorHAnsi" w:cstheme="majorHAnsi"/>
                <w:bCs/>
                <w:sz w:val="24"/>
                <w:szCs w:val="24"/>
                <w:lang w:val="ro-MD"/>
              </w:rPr>
              <w:t>432,7</w:t>
            </w:r>
          </w:p>
        </w:tc>
        <w:tc>
          <w:tcPr>
            <w:tcW w:w="992"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7 553,1</w:t>
            </w:r>
          </w:p>
        </w:tc>
        <w:tc>
          <w:tcPr>
            <w:tcW w:w="1149"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126,2</w:t>
            </w:r>
          </w:p>
        </w:tc>
        <w:tc>
          <w:tcPr>
            <w:tcW w:w="1120" w:type="dxa"/>
            <w:gridSpan w:val="2"/>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2 485,3</w:t>
            </w:r>
          </w:p>
        </w:tc>
        <w:tc>
          <w:tcPr>
            <w:tcW w:w="1277" w:type="dxa"/>
          </w:tcPr>
          <w:p w:rsidR="009E7E6F" w:rsidRPr="009E7E6F" w:rsidRDefault="00352CD7"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107,3</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tcPr>
          <w:p w:rsidR="009E7E6F" w:rsidRPr="009E7E6F" w:rsidRDefault="009E7E6F" w:rsidP="009E7E6F">
            <w:pPr>
              <w:rPr>
                <w:rFonts w:asciiTheme="majorHAnsi" w:eastAsia="Times New Roman" w:hAnsiTheme="majorHAnsi" w:cstheme="majorHAnsi"/>
                <w:sz w:val="24"/>
                <w:szCs w:val="24"/>
                <w:lang w:val="ro-MD"/>
              </w:rPr>
            </w:pPr>
            <w:r w:rsidRPr="009E7E6F">
              <w:rPr>
                <w:rFonts w:asciiTheme="majorHAnsi" w:eastAsia="Times New Roman" w:hAnsiTheme="majorHAnsi" w:cstheme="majorHAnsi"/>
                <w:sz w:val="24"/>
                <w:szCs w:val="24"/>
                <w:lang w:val="ro-MD"/>
              </w:rPr>
              <w:t>Devieri (+/-)</w:t>
            </w:r>
          </w:p>
        </w:tc>
        <w:tc>
          <w:tcPr>
            <w:tcW w:w="1133"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(-775,8)</w:t>
            </w:r>
          </w:p>
        </w:tc>
        <w:tc>
          <w:tcPr>
            <w:tcW w:w="1135"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169,1</w:t>
            </w:r>
          </w:p>
        </w:tc>
        <w:tc>
          <w:tcPr>
            <w:tcW w:w="1134" w:type="dxa"/>
          </w:tcPr>
          <w:p w:rsidR="009E7E6F" w:rsidRPr="009E7E6F" w:rsidRDefault="000C13F3"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536,7</w:t>
            </w:r>
          </w:p>
        </w:tc>
        <w:tc>
          <w:tcPr>
            <w:tcW w:w="992"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x</w:t>
            </w:r>
          </w:p>
        </w:tc>
        <w:tc>
          <w:tcPr>
            <w:tcW w:w="1149"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x</w:t>
            </w:r>
          </w:p>
        </w:tc>
        <w:tc>
          <w:tcPr>
            <w:tcW w:w="1120" w:type="dxa"/>
            <w:gridSpan w:val="2"/>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x</w:t>
            </w:r>
          </w:p>
        </w:tc>
        <w:tc>
          <w:tcPr>
            <w:tcW w:w="1277" w:type="dxa"/>
          </w:tcPr>
          <w:p w:rsidR="009E7E6F" w:rsidRPr="009E7E6F" w:rsidRDefault="00F95E88"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9E7E6F">
              <w:rPr>
                <w:rFonts w:asciiTheme="majorHAnsi" w:eastAsia="Times New Roman" w:hAnsiTheme="majorHAnsi" w:cstheme="majorHAnsi"/>
                <w:bCs/>
                <w:sz w:val="24"/>
                <w:szCs w:val="24"/>
                <w:lang w:val="ro-MD"/>
              </w:rPr>
              <w:t>X</w:t>
            </w:r>
          </w:p>
        </w:tc>
      </w:tr>
      <w:tr w:rsidR="000C13F3" w:rsidRPr="009E7E6F" w:rsidTr="00352CD7">
        <w:trPr>
          <w:gridAfter w:val="1"/>
          <w:wAfter w:w="7" w:type="dxa"/>
        </w:trPr>
        <w:tc>
          <w:tcPr>
            <w:cnfStyle w:val="001000000000" w:firstRow="0" w:lastRow="0" w:firstColumn="1" w:lastColumn="0" w:oddVBand="0" w:evenVBand="0" w:oddHBand="0" w:evenHBand="0" w:firstRowFirstColumn="0" w:firstRowLastColumn="0" w:lastRowFirstColumn="0" w:lastRowLastColumn="0"/>
            <w:tcW w:w="1696" w:type="dxa"/>
          </w:tcPr>
          <w:p w:rsidR="009E7E6F" w:rsidRPr="009E7E6F" w:rsidRDefault="009E7E6F" w:rsidP="009E7E6F">
            <w:pPr>
              <w:rPr>
                <w:rFonts w:asciiTheme="majorHAnsi" w:eastAsia="Times New Roman" w:hAnsiTheme="majorHAnsi" w:cstheme="majorHAnsi"/>
                <w:i/>
                <w:sz w:val="24"/>
                <w:szCs w:val="24"/>
                <w:lang w:val="ro-MD"/>
              </w:rPr>
            </w:pPr>
            <w:r w:rsidRPr="009E7E6F">
              <w:rPr>
                <w:rFonts w:asciiTheme="majorHAnsi" w:eastAsia="Times New Roman" w:hAnsiTheme="majorHAnsi" w:cstheme="majorHAnsi"/>
                <w:i/>
                <w:sz w:val="24"/>
                <w:szCs w:val="24"/>
                <w:lang w:val="ro-MD"/>
              </w:rPr>
              <w:lastRenderedPageBreak/>
              <w:t>Procentul executării</w:t>
            </w:r>
          </w:p>
        </w:tc>
        <w:tc>
          <w:tcPr>
            <w:tcW w:w="1133"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97,3</w:t>
            </w:r>
          </w:p>
        </w:tc>
        <w:tc>
          <w:tcPr>
            <w:tcW w:w="1135"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100,5</w:t>
            </w:r>
          </w:p>
        </w:tc>
        <w:tc>
          <w:tcPr>
            <w:tcW w:w="1134" w:type="dxa"/>
          </w:tcPr>
          <w:p w:rsidR="009E7E6F" w:rsidRPr="009E7E6F" w:rsidRDefault="000C13F3"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Pr>
                <w:rFonts w:asciiTheme="majorHAnsi" w:eastAsia="Times New Roman" w:hAnsiTheme="majorHAnsi" w:cstheme="majorHAnsi"/>
                <w:bCs/>
                <w:i/>
                <w:sz w:val="24"/>
                <w:szCs w:val="24"/>
                <w:lang w:val="ro-MD"/>
              </w:rPr>
              <w:t>98,5</w:t>
            </w:r>
          </w:p>
        </w:tc>
        <w:tc>
          <w:tcPr>
            <w:tcW w:w="992"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x</w:t>
            </w:r>
          </w:p>
        </w:tc>
        <w:tc>
          <w:tcPr>
            <w:tcW w:w="1149" w:type="dxa"/>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x</w:t>
            </w:r>
          </w:p>
        </w:tc>
        <w:tc>
          <w:tcPr>
            <w:tcW w:w="1120" w:type="dxa"/>
            <w:gridSpan w:val="2"/>
          </w:tcPr>
          <w:p w:rsidR="009E7E6F" w:rsidRPr="009E7E6F" w:rsidRDefault="009E7E6F"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x</w:t>
            </w:r>
          </w:p>
        </w:tc>
        <w:tc>
          <w:tcPr>
            <w:tcW w:w="1277" w:type="dxa"/>
          </w:tcPr>
          <w:p w:rsidR="009E7E6F" w:rsidRPr="009E7E6F" w:rsidRDefault="00F95E88" w:rsidP="009E7E6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o-MD"/>
              </w:rPr>
            </w:pPr>
            <w:r w:rsidRPr="009E7E6F">
              <w:rPr>
                <w:rFonts w:asciiTheme="majorHAnsi" w:eastAsia="Times New Roman" w:hAnsiTheme="majorHAnsi" w:cstheme="majorHAnsi"/>
                <w:bCs/>
                <w:i/>
                <w:sz w:val="24"/>
                <w:szCs w:val="24"/>
                <w:lang w:val="ro-MD"/>
              </w:rPr>
              <w:t>X</w:t>
            </w:r>
          </w:p>
        </w:tc>
      </w:tr>
    </w:tbl>
    <w:p w:rsidR="009E7E6F" w:rsidRPr="009E7E6F" w:rsidRDefault="009E7E6F" w:rsidP="009E7E6F">
      <w:pPr>
        <w:spacing w:after="0" w:line="240" w:lineRule="auto"/>
        <w:jc w:val="both"/>
        <w:rPr>
          <w:rFonts w:asciiTheme="majorHAnsi" w:eastAsia="Times New Roman" w:hAnsiTheme="majorHAnsi" w:cstheme="majorHAnsi"/>
          <w:bCs/>
          <w:i/>
          <w:sz w:val="20"/>
          <w:szCs w:val="20"/>
          <w:lang w:val="ro-MD"/>
        </w:rPr>
      </w:pPr>
      <w:r w:rsidRPr="009E7E6F">
        <w:rPr>
          <w:rFonts w:asciiTheme="majorHAnsi" w:eastAsia="Times New Roman" w:hAnsiTheme="majorHAnsi" w:cstheme="majorHAnsi"/>
          <w:b/>
          <w:bCs/>
          <w:i/>
          <w:sz w:val="20"/>
          <w:szCs w:val="20"/>
          <w:lang w:val="ro-MD"/>
        </w:rPr>
        <w:t>Sursă:</w:t>
      </w:r>
      <w:r w:rsidRPr="009E7E6F">
        <w:rPr>
          <w:rFonts w:asciiTheme="majorHAnsi" w:eastAsia="Times New Roman" w:hAnsiTheme="majorHAnsi" w:cstheme="majorHAnsi"/>
          <w:bCs/>
          <w:i/>
          <w:sz w:val="20"/>
          <w:szCs w:val="20"/>
          <w:lang w:val="ro-MD"/>
        </w:rPr>
        <w:t xml:space="preserve"> Informații generalizate de echipa de audit din Rapoartele privind executarea bugetului de stat pe anii 2016</w:t>
      </w:r>
      <w:r w:rsidR="00F95E88">
        <w:rPr>
          <w:rFonts w:asciiTheme="majorHAnsi" w:eastAsia="Times New Roman" w:hAnsiTheme="majorHAnsi" w:cstheme="majorHAnsi"/>
          <w:bCs/>
          <w:i/>
          <w:sz w:val="20"/>
          <w:szCs w:val="20"/>
          <w:lang w:val="ro-MD"/>
        </w:rPr>
        <w:t xml:space="preserve"> </w:t>
      </w:r>
      <w:r w:rsidRPr="009E7E6F">
        <w:rPr>
          <w:rFonts w:asciiTheme="majorHAnsi" w:eastAsia="Times New Roman" w:hAnsiTheme="majorHAnsi" w:cstheme="majorHAnsi"/>
          <w:bCs/>
          <w:i/>
          <w:sz w:val="20"/>
          <w:szCs w:val="20"/>
          <w:lang w:val="ro-MD"/>
        </w:rPr>
        <w:t>-</w:t>
      </w:r>
      <w:r w:rsidR="00F95E88">
        <w:rPr>
          <w:rFonts w:asciiTheme="majorHAnsi" w:eastAsia="Times New Roman" w:hAnsiTheme="majorHAnsi" w:cstheme="majorHAnsi"/>
          <w:bCs/>
          <w:i/>
          <w:sz w:val="20"/>
          <w:szCs w:val="20"/>
          <w:lang w:val="ro-MD"/>
        </w:rPr>
        <w:t xml:space="preserve"> </w:t>
      </w:r>
      <w:r w:rsidRPr="009E7E6F">
        <w:rPr>
          <w:rFonts w:asciiTheme="majorHAnsi" w:eastAsia="Times New Roman" w:hAnsiTheme="majorHAnsi" w:cstheme="majorHAnsi"/>
          <w:bCs/>
          <w:i/>
          <w:sz w:val="20"/>
          <w:szCs w:val="20"/>
          <w:lang w:val="ro-MD"/>
        </w:rPr>
        <w:t>2018.</w:t>
      </w:r>
    </w:p>
    <w:p w:rsidR="00D2602E" w:rsidRDefault="00D2602E" w:rsidP="00D2602E">
      <w:pPr>
        <w:spacing w:after="0" w:line="276" w:lineRule="auto"/>
        <w:rPr>
          <w:rFonts w:asciiTheme="majorHAnsi" w:hAnsiTheme="majorHAnsi" w:cstheme="majorHAnsi"/>
          <w:sz w:val="24"/>
          <w:szCs w:val="24"/>
          <w:lang w:val="ro-MD"/>
        </w:rPr>
      </w:pPr>
    </w:p>
    <w:p w:rsidR="000569C0" w:rsidRPr="00371D98" w:rsidRDefault="00150AC2" w:rsidP="00371D98">
      <w:pPr>
        <w:spacing w:after="0" w:line="276" w:lineRule="auto"/>
        <w:ind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Datele</w:t>
      </w:r>
      <w:r w:rsidR="00D2602E" w:rsidRPr="00D2602E">
        <w:rPr>
          <w:rFonts w:asciiTheme="majorHAnsi" w:eastAsia="Times New Roman" w:hAnsiTheme="majorHAnsi" w:cstheme="majorHAnsi"/>
          <w:sz w:val="24"/>
          <w:szCs w:val="24"/>
          <w:lang w:val="ro-MD"/>
        </w:rPr>
        <w:t xml:space="preserve"> din tabel denotă că veniturile executate în anul 2018, față de perioadele precedente, relevă o tendință de creștere. Astfel, creșterea față de anii 2017 și 2016 constituie circa 7,3% și, respectiv, </w:t>
      </w:r>
      <w:r w:rsidR="00202D5E">
        <w:rPr>
          <w:rFonts w:asciiTheme="majorHAnsi" w:eastAsia="Times New Roman" w:hAnsiTheme="majorHAnsi" w:cstheme="majorHAnsi"/>
          <w:sz w:val="24"/>
          <w:szCs w:val="24"/>
          <w:lang w:val="ro-MD"/>
        </w:rPr>
        <w:t>26,2</w:t>
      </w:r>
      <w:r w:rsidR="00D2602E" w:rsidRPr="00D2602E">
        <w:rPr>
          <w:rFonts w:asciiTheme="majorHAnsi" w:eastAsia="Times New Roman" w:hAnsiTheme="majorHAnsi" w:cstheme="majorHAnsi"/>
          <w:sz w:val="24"/>
          <w:szCs w:val="24"/>
          <w:lang w:val="ro-MD"/>
        </w:rPr>
        <w:t xml:space="preserve">%, sau cu 2 </w:t>
      </w:r>
      <w:r w:rsidR="00202D5E">
        <w:rPr>
          <w:rFonts w:asciiTheme="majorHAnsi" w:eastAsia="Times New Roman" w:hAnsiTheme="majorHAnsi" w:cstheme="majorHAnsi"/>
          <w:sz w:val="24"/>
          <w:szCs w:val="24"/>
          <w:lang w:val="ro-MD"/>
        </w:rPr>
        <w:t>485,3</w:t>
      </w:r>
      <w:r w:rsidR="00D2602E" w:rsidRPr="00D2602E">
        <w:rPr>
          <w:rFonts w:asciiTheme="majorHAnsi" w:eastAsia="Times New Roman" w:hAnsiTheme="majorHAnsi" w:cstheme="majorHAnsi"/>
          <w:sz w:val="24"/>
          <w:szCs w:val="24"/>
          <w:lang w:val="ro-MD"/>
        </w:rPr>
        <w:t xml:space="preserve"> mil.</w:t>
      </w:r>
      <w:r w:rsidR="00202D5E">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D2602E" w:rsidRPr="00D2602E">
        <w:rPr>
          <w:rFonts w:asciiTheme="majorHAnsi" w:eastAsia="Times New Roman" w:hAnsiTheme="majorHAnsi" w:cstheme="majorHAnsi"/>
          <w:sz w:val="24"/>
          <w:szCs w:val="24"/>
          <w:lang w:val="ro-MD"/>
        </w:rPr>
        <w:t xml:space="preserve"> și, respectiv, cu 7 </w:t>
      </w:r>
      <w:r w:rsidR="00202D5E">
        <w:rPr>
          <w:rFonts w:asciiTheme="majorHAnsi" w:eastAsia="Times New Roman" w:hAnsiTheme="majorHAnsi" w:cstheme="majorHAnsi"/>
          <w:sz w:val="24"/>
          <w:szCs w:val="24"/>
          <w:lang w:val="ro-MD"/>
        </w:rPr>
        <w:t>553,1</w:t>
      </w:r>
      <w:r w:rsidR="00D2602E" w:rsidRPr="00D2602E">
        <w:rPr>
          <w:rFonts w:asciiTheme="majorHAnsi" w:eastAsia="Times New Roman" w:hAnsiTheme="majorHAnsi" w:cstheme="majorHAnsi"/>
          <w:sz w:val="24"/>
          <w:szCs w:val="24"/>
          <w:lang w:val="ro-MD"/>
        </w:rPr>
        <w:t xml:space="preserve"> mil.</w:t>
      </w:r>
      <w:r w:rsidR="00202D5E">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D2602E" w:rsidRPr="00D2602E">
        <w:rPr>
          <w:rFonts w:asciiTheme="majorHAnsi" w:eastAsia="Times New Roman" w:hAnsiTheme="majorHAnsi" w:cstheme="majorHAnsi"/>
          <w:sz w:val="24"/>
          <w:szCs w:val="24"/>
          <w:lang w:val="ro-MD"/>
        </w:rPr>
        <w:t xml:space="preserve"> mai mult.</w:t>
      </w:r>
    </w:p>
    <w:p w:rsidR="004B7AD7" w:rsidRDefault="00E651DF" w:rsidP="00BA0182">
      <w:pPr>
        <w:spacing w:after="0" w:line="276" w:lineRule="auto"/>
        <w:ind w:firstLine="709"/>
        <w:jc w:val="both"/>
        <w:rPr>
          <w:rFonts w:asciiTheme="majorHAnsi" w:eastAsia="Times New Roman" w:hAnsiTheme="majorHAnsi" w:cstheme="majorHAnsi"/>
          <w:i/>
          <w:sz w:val="24"/>
          <w:szCs w:val="24"/>
        </w:rPr>
      </w:pPr>
      <w:r>
        <w:rPr>
          <w:rFonts w:asciiTheme="majorHAnsi" w:eastAsia="Times New Roman" w:hAnsiTheme="majorHAnsi" w:cstheme="majorHAnsi"/>
          <w:sz w:val="24"/>
          <w:szCs w:val="24"/>
          <w:lang w:val="ro-MD"/>
        </w:rPr>
        <w:t>De</w:t>
      </w:r>
      <w:r w:rsidR="00F95E88">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asemenea</w:t>
      </w:r>
      <w:r w:rsidR="00F95E88">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s</w:t>
      </w:r>
      <w:r w:rsidRPr="00E651DF">
        <w:rPr>
          <w:rFonts w:asciiTheme="majorHAnsi" w:eastAsia="Times New Roman" w:hAnsiTheme="majorHAnsi" w:cstheme="majorHAnsi"/>
          <w:sz w:val="24"/>
          <w:szCs w:val="24"/>
        </w:rPr>
        <w:t xml:space="preserve">e atestă că ponderea veniturilor </w:t>
      </w:r>
      <w:r w:rsidR="002B10D6">
        <w:rPr>
          <w:rFonts w:asciiTheme="majorHAnsi" w:eastAsia="Times New Roman" w:hAnsiTheme="majorHAnsi" w:cstheme="majorHAnsi"/>
          <w:sz w:val="24"/>
          <w:szCs w:val="24"/>
        </w:rPr>
        <w:t>BS</w:t>
      </w:r>
      <w:r w:rsidRPr="00E651DF">
        <w:rPr>
          <w:rFonts w:asciiTheme="majorHAnsi" w:eastAsia="Times New Roman" w:hAnsiTheme="majorHAnsi" w:cstheme="majorHAnsi"/>
          <w:sz w:val="24"/>
          <w:szCs w:val="24"/>
        </w:rPr>
        <w:t xml:space="preserve"> încasate în anul 2018 în totalul încasărilor în PIB </w:t>
      </w:r>
      <w:r w:rsidR="004C46E5">
        <w:rPr>
          <w:rFonts w:asciiTheme="majorHAnsi" w:eastAsia="Times New Roman" w:hAnsiTheme="majorHAnsi" w:cstheme="majorHAnsi"/>
          <w:sz w:val="24"/>
          <w:szCs w:val="24"/>
        </w:rPr>
        <w:t xml:space="preserve">constituie </w:t>
      </w:r>
      <w:r w:rsidR="004C46E5" w:rsidRPr="004B7AD7">
        <w:rPr>
          <w:rFonts w:asciiTheme="majorHAnsi" w:eastAsia="Times New Roman" w:hAnsiTheme="majorHAnsi" w:cstheme="majorHAnsi"/>
          <w:sz w:val="24"/>
          <w:szCs w:val="24"/>
          <w:lang w:eastAsia="ru-RU"/>
        </w:rPr>
        <w:t xml:space="preserve">19,2%, </w:t>
      </w:r>
      <w:r w:rsidR="00F95E88">
        <w:rPr>
          <w:rFonts w:asciiTheme="majorHAnsi" w:eastAsia="Times New Roman" w:hAnsiTheme="majorHAnsi" w:cstheme="majorHAnsi"/>
          <w:sz w:val="24"/>
          <w:szCs w:val="24"/>
          <w:lang w:eastAsia="ru-RU"/>
        </w:rPr>
        <w:t>fiind</w:t>
      </w:r>
      <w:r w:rsidR="004C46E5" w:rsidRPr="004B7AD7">
        <w:rPr>
          <w:rFonts w:asciiTheme="majorHAnsi" w:eastAsia="Times New Roman" w:hAnsiTheme="majorHAnsi" w:cstheme="majorHAnsi"/>
          <w:sz w:val="24"/>
          <w:szCs w:val="24"/>
          <w:lang w:eastAsia="ru-RU"/>
        </w:rPr>
        <w:t xml:space="preserve"> în creștere cu </w:t>
      </w:r>
      <w:r w:rsidR="004C46E5">
        <w:rPr>
          <w:rFonts w:asciiTheme="majorHAnsi" w:eastAsia="Times New Roman" w:hAnsiTheme="majorHAnsi" w:cstheme="majorHAnsi"/>
          <w:sz w:val="24"/>
          <w:szCs w:val="24"/>
          <w:lang w:eastAsia="ru-RU"/>
        </w:rPr>
        <w:t>doar 0,2</w:t>
      </w:r>
      <w:r w:rsidR="004C46E5" w:rsidRPr="004B7AD7">
        <w:rPr>
          <w:rFonts w:asciiTheme="majorHAnsi" w:eastAsia="Times New Roman" w:hAnsiTheme="majorHAnsi" w:cstheme="majorHAnsi"/>
          <w:sz w:val="24"/>
          <w:szCs w:val="24"/>
          <w:lang w:eastAsia="ru-RU"/>
        </w:rPr>
        <w:t xml:space="preserve"> </w:t>
      </w:r>
      <w:proofErr w:type="spellStart"/>
      <w:r w:rsidR="004C46E5" w:rsidRPr="004B7AD7">
        <w:rPr>
          <w:rFonts w:asciiTheme="majorHAnsi" w:eastAsia="Times New Roman" w:hAnsiTheme="majorHAnsi" w:cstheme="majorHAnsi"/>
          <w:sz w:val="24"/>
          <w:szCs w:val="24"/>
          <w:lang w:eastAsia="ru-RU"/>
        </w:rPr>
        <w:t>p.p.</w:t>
      </w:r>
      <w:proofErr w:type="spellEnd"/>
      <w:r w:rsidR="00F95E88">
        <w:rPr>
          <w:rFonts w:asciiTheme="majorHAnsi" w:eastAsia="Times New Roman" w:hAnsiTheme="majorHAnsi" w:cstheme="majorHAnsi"/>
          <w:sz w:val="24"/>
          <w:szCs w:val="24"/>
          <w:lang w:eastAsia="ru-RU"/>
        </w:rPr>
        <w:t>,</w:t>
      </w:r>
      <w:r w:rsidR="004C46E5" w:rsidRPr="004B7AD7">
        <w:rPr>
          <w:rFonts w:asciiTheme="majorHAnsi" w:eastAsia="Times New Roman" w:hAnsiTheme="majorHAnsi" w:cstheme="majorHAnsi"/>
          <w:sz w:val="24"/>
          <w:szCs w:val="24"/>
          <w:lang w:eastAsia="ru-RU"/>
        </w:rPr>
        <w:t xml:space="preserve"> comparativ cu anul 2017.</w:t>
      </w:r>
      <w:r w:rsidR="004C46E5">
        <w:rPr>
          <w:rFonts w:asciiTheme="majorHAnsi" w:eastAsia="Times New Roman" w:hAnsiTheme="majorHAnsi" w:cstheme="majorHAnsi"/>
          <w:i/>
          <w:sz w:val="24"/>
          <w:szCs w:val="24"/>
        </w:rPr>
        <w:t xml:space="preserve"> </w:t>
      </w:r>
      <w:r w:rsidR="006E21D1">
        <w:rPr>
          <w:rFonts w:asciiTheme="majorHAnsi" w:eastAsia="Times New Roman" w:hAnsiTheme="majorHAnsi" w:cstheme="majorHAnsi"/>
          <w:sz w:val="24"/>
          <w:szCs w:val="24"/>
          <w:lang w:eastAsia="ru-RU"/>
        </w:rPr>
        <w:t>Totodată</w:t>
      </w:r>
      <w:r w:rsidR="004B7AD7" w:rsidRPr="004B7AD7">
        <w:rPr>
          <w:rFonts w:asciiTheme="majorHAnsi" w:eastAsia="Times New Roman" w:hAnsiTheme="majorHAnsi" w:cstheme="majorHAnsi"/>
          <w:sz w:val="24"/>
          <w:szCs w:val="24"/>
          <w:lang w:eastAsia="ru-RU"/>
        </w:rPr>
        <w:t xml:space="preserve">, auditul constată că ponderea majoră în totalul veniturilor bugetului de stat revine </w:t>
      </w:r>
      <w:r w:rsidR="004B7AD7" w:rsidRPr="004B7AD7">
        <w:rPr>
          <w:rFonts w:asciiTheme="majorHAnsi" w:eastAsia="Times New Roman" w:hAnsiTheme="majorHAnsi" w:cstheme="majorHAnsi"/>
          <w:b/>
          <w:sz w:val="24"/>
          <w:szCs w:val="24"/>
          <w:lang w:eastAsia="ru-RU"/>
        </w:rPr>
        <w:t>impozitelor și taxelor</w:t>
      </w:r>
      <w:r w:rsidR="004B7AD7" w:rsidRPr="004B7AD7">
        <w:rPr>
          <w:rFonts w:asciiTheme="majorHAnsi" w:eastAsia="Times New Roman" w:hAnsiTheme="majorHAnsi" w:cstheme="majorHAnsi"/>
          <w:sz w:val="24"/>
          <w:szCs w:val="24"/>
          <w:lang w:eastAsia="ru-RU"/>
        </w:rPr>
        <w:t xml:space="preserve"> – 93,5%, acestea fiind încasate în sumă de </w:t>
      </w:r>
      <w:r w:rsidR="004B7AD7" w:rsidRPr="004B7AD7">
        <w:rPr>
          <w:rFonts w:asciiTheme="majorHAnsi" w:eastAsia="Times New Roman" w:hAnsiTheme="majorHAnsi" w:cstheme="majorHAnsi"/>
          <w:b/>
          <w:sz w:val="24"/>
          <w:szCs w:val="24"/>
          <w:lang w:eastAsia="ru-RU"/>
        </w:rPr>
        <w:t>34</w:t>
      </w:r>
      <w:r w:rsidR="004B7AD7">
        <w:rPr>
          <w:rFonts w:asciiTheme="majorHAnsi" w:eastAsia="Times New Roman" w:hAnsiTheme="majorHAnsi" w:cstheme="majorHAnsi"/>
          <w:b/>
          <w:sz w:val="24"/>
          <w:szCs w:val="24"/>
          <w:lang w:eastAsia="ru-RU"/>
        </w:rPr>
        <w:t xml:space="preserve"> </w:t>
      </w:r>
      <w:r w:rsidR="004B7AD7" w:rsidRPr="004B7AD7">
        <w:rPr>
          <w:rFonts w:asciiTheme="majorHAnsi" w:eastAsia="Times New Roman" w:hAnsiTheme="majorHAnsi" w:cstheme="majorHAnsi"/>
          <w:b/>
          <w:sz w:val="24"/>
          <w:szCs w:val="24"/>
          <w:lang w:eastAsia="ru-RU"/>
        </w:rPr>
        <w:t>057,9 mil.</w:t>
      </w:r>
      <w:r w:rsidR="004B7AD7">
        <w:rPr>
          <w:rFonts w:asciiTheme="majorHAnsi" w:eastAsia="Times New Roman" w:hAnsiTheme="majorHAnsi" w:cstheme="majorHAnsi"/>
          <w:b/>
          <w:sz w:val="24"/>
          <w:szCs w:val="24"/>
          <w:lang w:eastAsia="ru-RU"/>
        </w:rPr>
        <w:t xml:space="preserve"> </w:t>
      </w:r>
      <w:r w:rsidR="007160B9">
        <w:rPr>
          <w:rFonts w:asciiTheme="majorHAnsi" w:eastAsia="Times New Roman" w:hAnsiTheme="majorHAnsi" w:cstheme="majorHAnsi"/>
          <w:b/>
          <w:sz w:val="24"/>
          <w:szCs w:val="24"/>
          <w:lang w:eastAsia="ru-RU"/>
        </w:rPr>
        <w:t>MDL</w:t>
      </w:r>
      <w:r w:rsidR="00C870D2">
        <w:rPr>
          <w:rFonts w:asciiTheme="majorHAnsi" w:eastAsia="Times New Roman" w:hAnsiTheme="majorHAnsi" w:cstheme="majorHAnsi"/>
          <w:b/>
          <w:sz w:val="24"/>
          <w:szCs w:val="24"/>
          <w:lang w:eastAsia="ru-RU"/>
        </w:rPr>
        <w:t xml:space="preserve"> (17,9% în PIB)</w:t>
      </w:r>
      <w:r w:rsidR="004B7AD7" w:rsidRPr="004B7AD7">
        <w:rPr>
          <w:rFonts w:asciiTheme="majorHAnsi" w:eastAsia="Times New Roman" w:hAnsiTheme="majorHAnsi" w:cstheme="majorHAnsi"/>
          <w:sz w:val="24"/>
          <w:szCs w:val="24"/>
          <w:lang w:eastAsia="ru-RU"/>
        </w:rPr>
        <w:t>, sau cu 904,8 mil.</w:t>
      </w:r>
      <w:r w:rsidR="00566759">
        <w:rPr>
          <w:rFonts w:asciiTheme="majorHAnsi" w:eastAsia="Times New Roman" w:hAnsiTheme="majorHAnsi" w:cstheme="majorHAnsi"/>
          <w:sz w:val="24"/>
          <w:szCs w:val="24"/>
          <w:lang w:eastAsia="ru-RU"/>
        </w:rPr>
        <w:t xml:space="preserve"> </w:t>
      </w:r>
      <w:r w:rsidR="007160B9">
        <w:rPr>
          <w:rFonts w:asciiTheme="majorHAnsi" w:eastAsia="Times New Roman" w:hAnsiTheme="majorHAnsi" w:cstheme="majorHAnsi"/>
          <w:sz w:val="24"/>
          <w:szCs w:val="24"/>
          <w:lang w:eastAsia="ru-RU"/>
        </w:rPr>
        <w:t>MDL</w:t>
      </w:r>
      <w:r w:rsidR="004B7AD7" w:rsidRPr="004B7AD7">
        <w:rPr>
          <w:rFonts w:asciiTheme="majorHAnsi" w:eastAsia="Times New Roman" w:hAnsiTheme="majorHAnsi" w:cstheme="majorHAnsi"/>
          <w:sz w:val="24"/>
          <w:szCs w:val="24"/>
          <w:lang w:eastAsia="ru-RU"/>
        </w:rPr>
        <w:t xml:space="preserve"> peste nivelul precizat. În comparație cu anul 2017, nivelul acestora înregistrează o creștere de </w:t>
      </w:r>
      <w:r w:rsidR="004B7AD7" w:rsidRPr="004B7AD7">
        <w:rPr>
          <w:rFonts w:asciiTheme="majorHAnsi" w:eastAsia="Times New Roman" w:hAnsiTheme="majorHAnsi" w:cstheme="majorHAnsi"/>
          <w:b/>
          <w:bCs/>
          <w:sz w:val="24"/>
          <w:szCs w:val="24"/>
          <w:lang w:eastAsia="ru-RU"/>
        </w:rPr>
        <w:t>2</w:t>
      </w:r>
      <w:r w:rsidR="005C380F">
        <w:rPr>
          <w:rFonts w:asciiTheme="majorHAnsi" w:eastAsia="Times New Roman" w:hAnsiTheme="majorHAnsi" w:cstheme="majorHAnsi"/>
          <w:b/>
          <w:bCs/>
          <w:sz w:val="24"/>
          <w:szCs w:val="24"/>
          <w:lang w:eastAsia="ru-RU"/>
        </w:rPr>
        <w:t xml:space="preserve"> </w:t>
      </w:r>
      <w:r w:rsidR="004B7AD7" w:rsidRPr="004B7AD7">
        <w:rPr>
          <w:rFonts w:asciiTheme="majorHAnsi" w:eastAsia="Times New Roman" w:hAnsiTheme="majorHAnsi" w:cstheme="majorHAnsi"/>
          <w:b/>
          <w:bCs/>
          <w:sz w:val="24"/>
          <w:szCs w:val="24"/>
          <w:lang w:eastAsia="ru-RU"/>
        </w:rPr>
        <w:t xml:space="preserve">856,3 </w:t>
      </w:r>
      <w:r w:rsidR="004B7AD7" w:rsidRPr="004B7AD7">
        <w:rPr>
          <w:rFonts w:asciiTheme="majorHAnsi" w:eastAsia="Times New Roman" w:hAnsiTheme="majorHAnsi" w:cstheme="majorHAnsi"/>
          <w:b/>
          <w:sz w:val="24"/>
          <w:szCs w:val="24"/>
          <w:lang w:eastAsia="ru-RU"/>
        </w:rPr>
        <w:t>mil.</w:t>
      </w:r>
      <w:r w:rsidR="005C380F">
        <w:rPr>
          <w:rFonts w:asciiTheme="majorHAnsi" w:eastAsia="Times New Roman" w:hAnsiTheme="majorHAnsi" w:cstheme="majorHAnsi"/>
          <w:b/>
          <w:sz w:val="24"/>
          <w:szCs w:val="24"/>
          <w:lang w:eastAsia="ru-RU"/>
        </w:rPr>
        <w:t xml:space="preserve"> </w:t>
      </w:r>
      <w:r w:rsidR="007160B9">
        <w:rPr>
          <w:rFonts w:asciiTheme="majorHAnsi" w:eastAsia="Times New Roman" w:hAnsiTheme="majorHAnsi" w:cstheme="majorHAnsi"/>
          <w:b/>
          <w:sz w:val="24"/>
          <w:szCs w:val="24"/>
          <w:lang w:eastAsia="ru-RU"/>
        </w:rPr>
        <w:t>MDL</w:t>
      </w:r>
      <w:r w:rsidR="004B7AD7" w:rsidRPr="004B7AD7">
        <w:rPr>
          <w:rFonts w:asciiTheme="majorHAnsi" w:eastAsia="Times New Roman" w:hAnsiTheme="majorHAnsi" w:cstheme="majorHAnsi"/>
          <w:sz w:val="24"/>
          <w:szCs w:val="24"/>
          <w:lang w:eastAsia="ru-RU"/>
        </w:rPr>
        <w:t xml:space="preserve">. </w:t>
      </w:r>
      <w:r w:rsidR="004C46E5" w:rsidRPr="00E651DF">
        <w:rPr>
          <w:rFonts w:asciiTheme="majorHAnsi" w:eastAsia="Times New Roman" w:hAnsiTheme="majorHAnsi" w:cstheme="majorHAnsi"/>
          <w:i/>
          <w:sz w:val="24"/>
          <w:szCs w:val="24"/>
        </w:rPr>
        <w:t xml:space="preserve">Rezultatele analizei </w:t>
      </w:r>
      <w:r w:rsidR="002D14B6" w:rsidRPr="00E651DF">
        <w:rPr>
          <w:rFonts w:asciiTheme="majorHAnsi" w:eastAsia="Times New Roman" w:hAnsiTheme="majorHAnsi" w:cstheme="majorHAnsi"/>
          <w:i/>
          <w:sz w:val="24"/>
          <w:szCs w:val="24"/>
        </w:rPr>
        <w:t>efectuate</w:t>
      </w:r>
      <w:r w:rsidR="002D14B6">
        <w:rPr>
          <w:rFonts w:asciiTheme="majorHAnsi" w:eastAsia="Times New Roman" w:hAnsiTheme="majorHAnsi" w:cstheme="majorHAnsi"/>
          <w:i/>
          <w:sz w:val="24"/>
          <w:szCs w:val="24"/>
        </w:rPr>
        <w:t xml:space="preserve"> de audit </w:t>
      </w:r>
      <w:r w:rsidR="004C46E5" w:rsidRPr="00E651DF">
        <w:rPr>
          <w:rFonts w:asciiTheme="majorHAnsi" w:eastAsia="Times New Roman" w:hAnsiTheme="majorHAnsi" w:cstheme="majorHAnsi"/>
          <w:i/>
          <w:sz w:val="24"/>
          <w:szCs w:val="24"/>
        </w:rPr>
        <w:t>se p</w:t>
      </w:r>
      <w:r w:rsidR="00D62CCE">
        <w:rPr>
          <w:rFonts w:asciiTheme="majorHAnsi" w:eastAsia="Times New Roman" w:hAnsiTheme="majorHAnsi" w:cstheme="majorHAnsi"/>
          <w:i/>
          <w:sz w:val="24"/>
          <w:szCs w:val="24"/>
        </w:rPr>
        <w:t>rezintă în Anexa nr.3</w:t>
      </w:r>
      <w:r w:rsidR="004C46E5" w:rsidRPr="00E651DF">
        <w:rPr>
          <w:rFonts w:asciiTheme="majorHAnsi" w:eastAsia="Times New Roman" w:hAnsiTheme="majorHAnsi" w:cstheme="majorHAnsi"/>
          <w:i/>
          <w:sz w:val="24"/>
          <w:szCs w:val="24"/>
        </w:rPr>
        <w:t xml:space="preserve"> la prezentul Raport de audit.</w:t>
      </w:r>
    </w:p>
    <w:p w:rsidR="00B53A05" w:rsidRPr="00A26BC1" w:rsidRDefault="00BA44B7" w:rsidP="00FE1A6E">
      <w:pPr>
        <w:spacing w:after="0" w:line="276" w:lineRule="auto"/>
        <w:ind w:firstLine="709"/>
        <w:jc w:val="both"/>
        <w:rPr>
          <w:rFonts w:asciiTheme="majorHAnsi" w:eastAsia="Times New Roman" w:hAnsiTheme="majorHAnsi" w:cstheme="majorHAnsi"/>
          <w:sz w:val="24"/>
          <w:szCs w:val="24"/>
          <w:lang w:val="ro-MD"/>
        </w:rPr>
      </w:pPr>
      <w:r w:rsidRPr="00A26BC1">
        <w:rPr>
          <w:rFonts w:asciiTheme="majorHAnsi" w:eastAsia="Times New Roman" w:hAnsiTheme="majorHAnsi" w:cstheme="majorHAnsi"/>
          <w:sz w:val="24"/>
          <w:szCs w:val="24"/>
          <w:lang w:val="ro-MD"/>
        </w:rPr>
        <w:t xml:space="preserve">Astfel, se relevă </w:t>
      </w:r>
      <w:r w:rsidR="00B53A05" w:rsidRPr="00A26BC1">
        <w:rPr>
          <w:rFonts w:asciiTheme="majorHAnsi" w:eastAsia="Times New Roman" w:hAnsiTheme="majorHAnsi" w:cstheme="majorHAnsi"/>
          <w:sz w:val="24"/>
          <w:szCs w:val="24"/>
          <w:lang w:val="ro-MD"/>
        </w:rPr>
        <w:t xml:space="preserve">că, </w:t>
      </w:r>
      <w:r w:rsidR="002F27E8" w:rsidRPr="00A26BC1">
        <w:rPr>
          <w:rFonts w:asciiTheme="majorHAnsi" w:eastAsia="Times New Roman" w:hAnsiTheme="majorHAnsi" w:cstheme="majorHAnsi"/>
          <w:sz w:val="24"/>
          <w:szCs w:val="24"/>
          <w:lang w:val="ro-MD"/>
        </w:rPr>
        <w:t>în anul 2018</w:t>
      </w:r>
      <w:r w:rsidR="00F95E88">
        <w:rPr>
          <w:rFonts w:asciiTheme="majorHAnsi" w:eastAsia="Times New Roman" w:hAnsiTheme="majorHAnsi" w:cstheme="majorHAnsi"/>
          <w:sz w:val="24"/>
          <w:szCs w:val="24"/>
          <w:lang w:val="ro-MD"/>
        </w:rPr>
        <w:t>,</w:t>
      </w:r>
      <w:r w:rsidR="002F27E8" w:rsidRPr="00A26BC1">
        <w:rPr>
          <w:rFonts w:asciiTheme="majorHAnsi" w:eastAsia="Times New Roman" w:hAnsiTheme="majorHAnsi" w:cstheme="majorHAnsi"/>
          <w:sz w:val="24"/>
          <w:szCs w:val="24"/>
          <w:lang w:val="ro-MD"/>
        </w:rPr>
        <w:t xml:space="preserve"> </w:t>
      </w:r>
      <w:r w:rsidR="00B53A05" w:rsidRPr="00A26BC1">
        <w:rPr>
          <w:rFonts w:asciiTheme="majorHAnsi" w:eastAsia="Times New Roman" w:hAnsiTheme="majorHAnsi" w:cstheme="majorHAnsi"/>
          <w:sz w:val="24"/>
          <w:szCs w:val="24"/>
          <w:lang w:val="ro-MD"/>
        </w:rPr>
        <w:t>creșterea veniturilor în BS se datorează și modificărilor</w:t>
      </w:r>
      <w:r w:rsidR="00196BD6">
        <w:rPr>
          <w:rFonts w:asciiTheme="majorHAnsi" w:eastAsia="Times New Roman" w:hAnsiTheme="majorHAnsi" w:cstheme="majorHAnsi"/>
          <w:sz w:val="24"/>
          <w:szCs w:val="24"/>
          <w:lang w:val="ro-MD"/>
        </w:rPr>
        <w:t xml:space="preserve"> operate în</w:t>
      </w:r>
      <w:r w:rsidR="00B53A05" w:rsidRPr="00A26BC1">
        <w:rPr>
          <w:rFonts w:asciiTheme="majorHAnsi" w:eastAsia="Times New Roman" w:hAnsiTheme="majorHAnsi" w:cstheme="majorHAnsi"/>
          <w:sz w:val="24"/>
          <w:szCs w:val="24"/>
          <w:lang w:val="ro-MD"/>
        </w:rPr>
        <w:t xml:space="preserve"> cadrul legal, prin introducerea unor no</w:t>
      </w:r>
      <w:r w:rsidR="002F27E8" w:rsidRPr="00A26BC1">
        <w:rPr>
          <w:rFonts w:asciiTheme="majorHAnsi" w:eastAsia="Times New Roman" w:hAnsiTheme="majorHAnsi" w:cstheme="majorHAnsi"/>
          <w:sz w:val="24"/>
          <w:szCs w:val="24"/>
          <w:lang w:val="ro-MD"/>
        </w:rPr>
        <w:t>i impozite și majorarea cotelor</w:t>
      </w:r>
      <w:r w:rsidR="00F95E88">
        <w:rPr>
          <w:rFonts w:asciiTheme="majorHAnsi" w:eastAsia="Times New Roman" w:hAnsiTheme="majorHAnsi" w:cstheme="majorHAnsi"/>
          <w:sz w:val="24"/>
          <w:szCs w:val="24"/>
          <w:lang w:val="ro-MD"/>
        </w:rPr>
        <w:t xml:space="preserve"> aferente</w:t>
      </w:r>
      <w:r w:rsidR="00B53A05" w:rsidRPr="00A26BC1">
        <w:rPr>
          <w:rFonts w:asciiTheme="majorHAnsi" w:eastAsia="Times New Roman" w:hAnsiTheme="majorHAnsi" w:cstheme="majorHAnsi"/>
          <w:sz w:val="24"/>
          <w:szCs w:val="24"/>
          <w:lang w:val="ro-MD"/>
        </w:rPr>
        <w:t>:</w:t>
      </w:r>
    </w:p>
    <w:p w:rsidR="00B53A05" w:rsidRPr="00B53A05" w:rsidRDefault="00B53A05" w:rsidP="00B53A05">
      <w:pPr>
        <w:numPr>
          <w:ilvl w:val="0"/>
          <w:numId w:val="3"/>
        </w:numPr>
        <w:tabs>
          <w:tab w:val="left" w:pos="993"/>
        </w:tabs>
        <w:spacing w:after="0" w:line="276" w:lineRule="auto"/>
        <w:ind w:left="0" w:firstLine="709"/>
        <w:jc w:val="both"/>
        <w:rPr>
          <w:rFonts w:asciiTheme="majorHAnsi" w:hAnsiTheme="majorHAnsi" w:cstheme="majorHAnsi"/>
          <w:sz w:val="24"/>
          <w:szCs w:val="24"/>
        </w:rPr>
      </w:pPr>
      <w:r w:rsidRPr="00B53A05">
        <w:rPr>
          <w:rFonts w:asciiTheme="majorHAnsi" w:hAnsiTheme="majorHAnsi" w:cstheme="majorHAnsi"/>
          <w:sz w:val="24"/>
          <w:szCs w:val="24"/>
        </w:rPr>
        <w:t xml:space="preserve">s-a introdus un </w:t>
      </w:r>
      <w:proofErr w:type="spellStart"/>
      <w:r w:rsidRPr="00B53A05">
        <w:rPr>
          <w:rFonts w:asciiTheme="majorHAnsi" w:hAnsiTheme="majorHAnsi" w:cstheme="majorHAnsi"/>
          <w:sz w:val="24"/>
          <w:szCs w:val="24"/>
        </w:rPr>
        <w:t>acciz</w:t>
      </w:r>
      <w:proofErr w:type="spellEnd"/>
      <w:r w:rsidRPr="00B53A05">
        <w:rPr>
          <w:rFonts w:asciiTheme="majorHAnsi" w:hAnsiTheme="majorHAnsi" w:cstheme="majorHAnsi"/>
          <w:sz w:val="24"/>
          <w:szCs w:val="24"/>
        </w:rPr>
        <w:t xml:space="preserve"> suplimentar pentru autoturismele de lux</w:t>
      </w:r>
      <w:r w:rsidR="00196BD6">
        <w:rPr>
          <w:rFonts w:asciiTheme="majorHAnsi" w:hAnsiTheme="majorHAnsi" w:cstheme="majorHAnsi"/>
          <w:sz w:val="24"/>
          <w:szCs w:val="24"/>
        </w:rPr>
        <w:t>,</w:t>
      </w:r>
      <w:r w:rsidR="00793C62">
        <w:rPr>
          <w:rFonts w:asciiTheme="majorHAnsi" w:hAnsiTheme="majorHAnsi" w:cstheme="majorHAnsi"/>
          <w:sz w:val="24"/>
          <w:szCs w:val="24"/>
        </w:rPr>
        <w:t xml:space="preserve"> </w:t>
      </w:r>
      <w:r w:rsidRPr="00B53A05">
        <w:rPr>
          <w:rFonts w:asciiTheme="majorHAnsi" w:hAnsiTheme="majorHAnsi" w:cstheme="majorHAnsi"/>
          <w:sz w:val="24"/>
          <w:szCs w:val="24"/>
        </w:rPr>
        <w:t>în mărime de 2% din valoarea în</w:t>
      </w:r>
      <w:r w:rsidR="000A077A">
        <w:rPr>
          <w:rFonts w:asciiTheme="majorHAnsi" w:hAnsiTheme="majorHAnsi" w:cstheme="majorHAnsi"/>
          <w:sz w:val="24"/>
          <w:szCs w:val="24"/>
        </w:rPr>
        <w:t xml:space="preserve"> vamă a autoturismului importat</w:t>
      </w:r>
      <w:r w:rsidR="00280EC8">
        <w:rPr>
          <w:rStyle w:val="FootnoteReference"/>
          <w:rFonts w:asciiTheme="majorHAnsi" w:hAnsiTheme="majorHAnsi" w:cstheme="majorHAnsi"/>
          <w:sz w:val="24"/>
          <w:szCs w:val="24"/>
        </w:rPr>
        <w:footnoteReference w:id="15"/>
      </w:r>
      <w:r w:rsidR="00280EC8">
        <w:rPr>
          <w:rFonts w:asciiTheme="majorHAnsi" w:hAnsiTheme="majorHAnsi" w:cstheme="majorHAnsi"/>
          <w:sz w:val="24"/>
          <w:szCs w:val="24"/>
        </w:rPr>
        <w:t>;</w:t>
      </w:r>
    </w:p>
    <w:p w:rsidR="00B53A05" w:rsidRPr="00B53A05" w:rsidRDefault="00B53A05" w:rsidP="00B53A05">
      <w:pPr>
        <w:numPr>
          <w:ilvl w:val="0"/>
          <w:numId w:val="3"/>
        </w:numPr>
        <w:tabs>
          <w:tab w:val="left" w:pos="993"/>
        </w:tabs>
        <w:spacing w:after="0" w:line="276" w:lineRule="auto"/>
        <w:ind w:left="0" w:firstLine="709"/>
        <w:jc w:val="both"/>
        <w:rPr>
          <w:rFonts w:asciiTheme="majorHAnsi" w:hAnsiTheme="majorHAnsi" w:cstheme="majorHAnsi"/>
          <w:sz w:val="24"/>
          <w:szCs w:val="24"/>
        </w:rPr>
      </w:pPr>
      <w:r w:rsidRPr="00B53A05">
        <w:rPr>
          <w:rFonts w:asciiTheme="majorHAnsi" w:hAnsiTheme="majorHAnsi" w:cstheme="majorHAnsi"/>
          <w:sz w:val="24"/>
          <w:szCs w:val="24"/>
        </w:rPr>
        <w:t>s-a majorat impozitul pe venitul persoanelor fizice cetățeni (reținere finală) din livrarea producției agricole către agenții economici, de la 3% la 5%</w:t>
      </w:r>
      <w:r w:rsidR="00280EC8">
        <w:rPr>
          <w:rStyle w:val="FootnoteReference"/>
          <w:rFonts w:asciiTheme="majorHAnsi" w:hAnsiTheme="majorHAnsi" w:cstheme="majorHAnsi"/>
          <w:sz w:val="24"/>
          <w:szCs w:val="24"/>
        </w:rPr>
        <w:footnoteReference w:id="16"/>
      </w:r>
      <w:r w:rsidR="00280EC8">
        <w:rPr>
          <w:rFonts w:asciiTheme="majorHAnsi" w:hAnsiTheme="majorHAnsi" w:cstheme="majorHAnsi"/>
          <w:sz w:val="24"/>
          <w:szCs w:val="24"/>
        </w:rPr>
        <w:t>;</w:t>
      </w:r>
    </w:p>
    <w:p w:rsidR="00B53A05" w:rsidRPr="00B53A05" w:rsidRDefault="00B53A05" w:rsidP="00B53A05">
      <w:pPr>
        <w:numPr>
          <w:ilvl w:val="0"/>
          <w:numId w:val="3"/>
        </w:numPr>
        <w:tabs>
          <w:tab w:val="left" w:pos="993"/>
        </w:tabs>
        <w:spacing w:after="0" w:line="276" w:lineRule="auto"/>
        <w:ind w:left="0" w:firstLine="709"/>
        <w:jc w:val="both"/>
        <w:rPr>
          <w:rFonts w:asciiTheme="majorHAnsi" w:hAnsiTheme="majorHAnsi" w:cstheme="majorHAnsi"/>
          <w:sz w:val="24"/>
          <w:szCs w:val="24"/>
        </w:rPr>
      </w:pPr>
      <w:r w:rsidRPr="00B53A05">
        <w:rPr>
          <w:rFonts w:asciiTheme="majorHAnsi" w:hAnsiTheme="majorHAnsi" w:cstheme="majorHAnsi"/>
          <w:sz w:val="24"/>
          <w:szCs w:val="24"/>
        </w:rPr>
        <w:t>s-a majorat cota de impozitare</w:t>
      </w:r>
      <w:r w:rsidR="00F95E88">
        <w:rPr>
          <w:rFonts w:asciiTheme="majorHAnsi" w:hAnsiTheme="majorHAnsi" w:cstheme="majorHAnsi"/>
          <w:sz w:val="24"/>
          <w:szCs w:val="24"/>
        </w:rPr>
        <w:t>,</w:t>
      </w:r>
      <w:r w:rsidRPr="00B53A05">
        <w:rPr>
          <w:rFonts w:asciiTheme="majorHAnsi" w:hAnsiTheme="majorHAnsi" w:cstheme="majorHAnsi"/>
          <w:sz w:val="24"/>
          <w:szCs w:val="24"/>
        </w:rPr>
        <w:t xml:space="preserve"> de la 3% la 4%</w:t>
      </w:r>
      <w:r w:rsidR="00F95E88">
        <w:rPr>
          <w:rFonts w:asciiTheme="majorHAnsi" w:hAnsiTheme="majorHAnsi" w:cstheme="majorHAnsi"/>
          <w:sz w:val="24"/>
          <w:szCs w:val="24"/>
        </w:rPr>
        <w:t>,</w:t>
      </w:r>
      <w:r w:rsidRPr="00B53A05">
        <w:rPr>
          <w:rFonts w:asciiTheme="majorHAnsi" w:hAnsiTheme="majorHAnsi" w:cstheme="majorHAnsi"/>
          <w:sz w:val="24"/>
          <w:szCs w:val="24"/>
        </w:rPr>
        <w:t xml:space="preserve"> din venitul din activitatea operațională</w:t>
      </w:r>
      <w:r w:rsidR="00280EC8">
        <w:rPr>
          <w:rStyle w:val="FootnoteReference"/>
          <w:rFonts w:asciiTheme="majorHAnsi" w:hAnsiTheme="majorHAnsi" w:cstheme="majorHAnsi"/>
          <w:sz w:val="24"/>
          <w:szCs w:val="24"/>
        </w:rPr>
        <w:footnoteReference w:id="17"/>
      </w:r>
      <w:r w:rsidR="00280EC8">
        <w:rPr>
          <w:rFonts w:asciiTheme="majorHAnsi" w:hAnsiTheme="majorHAnsi" w:cstheme="majorHAnsi"/>
          <w:sz w:val="24"/>
          <w:szCs w:val="24"/>
        </w:rPr>
        <w:t>;</w:t>
      </w:r>
    </w:p>
    <w:p w:rsidR="00B53A05" w:rsidRDefault="00B53A05" w:rsidP="00CD0339">
      <w:pPr>
        <w:numPr>
          <w:ilvl w:val="0"/>
          <w:numId w:val="3"/>
        </w:numPr>
        <w:tabs>
          <w:tab w:val="left" w:pos="0"/>
          <w:tab w:val="left" w:pos="993"/>
        </w:tabs>
        <w:ind w:left="0" w:firstLine="709"/>
        <w:contextualSpacing/>
        <w:jc w:val="both"/>
        <w:rPr>
          <w:rFonts w:asciiTheme="majorHAnsi" w:hAnsiTheme="majorHAnsi" w:cstheme="majorHAnsi"/>
          <w:sz w:val="24"/>
          <w:szCs w:val="24"/>
        </w:rPr>
      </w:pPr>
      <w:r w:rsidRPr="00B53A05">
        <w:rPr>
          <w:rFonts w:asciiTheme="majorHAnsi" w:hAnsiTheme="majorHAnsi" w:cstheme="majorHAnsi"/>
          <w:sz w:val="24"/>
          <w:szCs w:val="24"/>
        </w:rPr>
        <w:t>s-a majorat mărimea procentului de demarcare în cazul livrărilor de mărfuri și servicii ce nu constituie obiect impozabil cu TVA efectuate cu titlu gratuit în scopuri de publicitate și/sau de promovare a vânzărilor</w:t>
      </w:r>
      <w:r w:rsidR="00F95E88">
        <w:rPr>
          <w:rFonts w:asciiTheme="majorHAnsi" w:hAnsiTheme="majorHAnsi" w:cstheme="majorHAnsi"/>
          <w:sz w:val="24"/>
          <w:szCs w:val="24"/>
        </w:rPr>
        <w:t>,</w:t>
      </w:r>
      <w:r w:rsidRPr="00B53A05">
        <w:rPr>
          <w:rFonts w:asciiTheme="majorHAnsi" w:hAnsiTheme="majorHAnsi" w:cstheme="majorHAnsi"/>
          <w:sz w:val="24"/>
          <w:szCs w:val="24"/>
        </w:rPr>
        <w:t xml:space="preserve"> de la 0,2% până la 0,5% din venitul din vânzări obținut pe parcursul anului precedent anului în care se efectuează această livrare</w:t>
      </w:r>
      <w:r w:rsidR="00280EC8">
        <w:rPr>
          <w:rStyle w:val="FootnoteReference"/>
          <w:rFonts w:asciiTheme="majorHAnsi" w:hAnsiTheme="majorHAnsi" w:cstheme="majorHAnsi"/>
          <w:sz w:val="24"/>
          <w:szCs w:val="24"/>
        </w:rPr>
        <w:footnoteReference w:id="18"/>
      </w:r>
      <w:r w:rsidRPr="00B53A05">
        <w:rPr>
          <w:rFonts w:asciiTheme="majorHAnsi" w:hAnsiTheme="majorHAnsi" w:cstheme="majorHAnsi"/>
          <w:sz w:val="24"/>
          <w:szCs w:val="24"/>
        </w:rPr>
        <w:t xml:space="preserve"> </w:t>
      </w:r>
      <w:r w:rsidR="00035A20">
        <w:rPr>
          <w:rFonts w:asciiTheme="majorHAnsi" w:hAnsiTheme="majorHAnsi" w:cstheme="majorHAnsi"/>
          <w:sz w:val="24"/>
          <w:szCs w:val="24"/>
        </w:rPr>
        <w:t>etc.</w:t>
      </w:r>
    </w:p>
    <w:p w:rsidR="000A36E6" w:rsidRPr="009E1335" w:rsidRDefault="00AD2354" w:rsidP="00B70EBA">
      <w:pPr>
        <w:tabs>
          <w:tab w:val="left" w:pos="0"/>
          <w:tab w:val="left" w:pos="993"/>
        </w:tabs>
        <w:spacing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De</w:t>
      </w:r>
      <w:r w:rsidR="00F95E88">
        <w:rPr>
          <w:rFonts w:asciiTheme="majorHAnsi" w:hAnsiTheme="majorHAnsi" w:cstheme="majorHAnsi"/>
          <w:sz w:val="24"/>
          <w:szCs w:val="24"/>
        </w:rPr>
        <w:t xml:space="preserve"> </w:t>
      </w:r>
      <w:r>
        <w:rPr>
          <w:rFonts w:asciiTheme="majorHAnsi" w:hAnsiTheme="majorHAnsi" w:cstheme="majorHAnsi"/>
          <w:sz w:val="24"/>
          <w:szCs w:val="24"/>
        </w:rPr>
        <w:t>asemenea</w:t>
      </w:r>
      <w:r w:rsidR="000A36E6" w:rsidRPr="00AB1BE8">
        <w:rPr>
          <w:rFonts w:asciiTheme="majorHAnsi" w:hAnsiTheme="majorHAnsi" w:cstheme="majorHAnsi"/>
          <w:sz w:val="24"/>
          <w:szCs w:val="24"/>
        </w:rPr>
        <w:t xml:space="preserve">, în anul 2018, clasificația economică a </w:t>
      </w:r>
      <w:r>
        <w:rPr>
          <w:rFonts w:asciiTheme="majorHAnsi" w:hAnsiTheme="majorHAnsi" w:cstheme="majorHAnsi"/>
          <w:sz w:val="24"/>
          <w:szCs w:val="24"/>
        </w:rPr>
        <w:t>fost completată cu 4 coduri ECO. Verificările auditului au constatat că</w:t>
      </w:r>
      <w:r w:rsidR="000A36E6" w:rsidRPr="00AB1BE8">
        <w:rPr>
          <w:rFonts w:asciiTheme="majorHAnsi" w:hAnsiTheme="majorHAnsi" w:cstheme="majorHAnsi"/>
          <w:sz w:val="24"/>
          <w:szCs w:val="24"/>
        </w:rPr>
        <w:t xml:space="preserve"> la 2 coduri ECO </w:t>
      </w:r>
      <w:r w:rsidR="00F95E88" w:rsidRPr="00AB1BE8">
        <w:rPr>
          <w:rFonts w:asciiTheme="majorHAnsi" w:hAnsiTheme="majorHAnsi" w:cstheme="majorHAnsi"/>
          <w:sz w:val="24"/>
          <w:szCs w:val="24"/>
        </w:rPr>
        <w:t>au fost executate</w:t>
      </w:r>
      <w:r w:rsidR="00F95E88">
        <w:rPr>
          <w:rFonts w:asciiTheme="majorHAnsi" w:hAnsiTheme="majorHAnsi" w:cstheme="majorHAnsi"/>
          <w:sz w:val="24"/>
          <w:szCs w:val="24"/>
        </w:rPr>
        <w:t xml:space="preserve"> venituri în sumă totală de 10,8</w:t>
      </w:r>
      <w:r w:rsidR="00F95E88" w:rsidRPr="00AB1BE8">
        <w:rPr>
          <w:rFonts w:asciiTheme="majorHAnsi" w:hAnsiTheme="majorHAnsi" w:cstheme="majorHAnsi"/>
          <w:sz w:val="24"/>
          <w:szCs w:val="24"/>
        </w:rPr>
        <w:t xml:space="preserve"> mil. </w:t>
      </w:r>
      <w:r w:rsidR="00F95E88">
        <w:rPr>
          <w:rFonts w:asciiTheme="majorHAnsi" w:hAnsiTheme="majorHAnsi" w:cstheme="majorHAnsi"/>
          <w:sz w:val="24"/>
          <w:szCs w:val="24"/>
        </w:rPr>
        <w:t>MDL: „</w:t>
      </w:r>
      <w:r w:rsidR="000A36E6" w:rsidRPr="00005F9E">
        <w:rPr>
          <w:rFonts w:asciiTheme="majorHAnsi" w:hAnsiTheme="majorHAnsi" w:cstheme="majorHAnsi"/>
          <w:sz w:val="24"/>
          <w:szCs w:val="24"/>
        </w:rPr>
        <w:t>143116 amenzi aplicate de Inspectoratul pentru Protecția Mediului</w:t>
      </w:r>
      <w:r w:rsidR="00005F9E" w:rsidRPr="00005F9E">
        <w:rPr>
          <w:rFonts w:asciiTheme="majorHAnsi" w:hAnsiTheme="majorHAnsi" w:cstheme="majorHAnsi"/>
          <w:sz w:val="24"/>
          <w:szCs w:val="24"/>
        </w:rPr>
        <w:t>”</w:t>
      </w:r>
      <w:r w:rsidR="000A36E6" w:rsidRPr="00005F9E">
        <w:rPr>
          <w:rFonts w:asciiTheme="majorHAnsi" w:hAnsiTheme="majorHAnsi" w:cstheme="majorHAnsi"/>
          <w:sz w:val="24"/>
          <w:szCs w:val="24"/>
        </w:rPr>
        <w:t xml:space="preserve"> </w:t>
      </w:r>
      <w:r w:rsidR="00F95E88">
        <w:rPr>
          <w:rFonts w:asciiTheme="majorHAnsi" w:hAnsiTheme="majorHAnsi" w:cstheme="majorHAnsi"/>
          <w:sz w:val="24"/>
          <w:szCs w:val="24"/>
        </w:rPr>
        <w:t>–</w:t>
      </w:r>
      <w:r w:rsidR="00740938">
        <w:rPr>
          <w:rFonts w:asciiTheme="majorHAnsi" w:hAnsiTheme="majorHAnsi" w:cstheme="majorHAnsi"/>
          <w:sz w:val="24"/>
          <w:szCs w:val="24"/>
        </w:rPr>
        <w:t xml:space="preserve"> </w:t>
      </w:r>
      <w:r w:rsidR="000A36E6" w:rsidRPr="00005F9E">
        <w:rPr>
          <w:rFonts w:asciiTheme="majorHAnsi" w:hAnsiTheme="majorHAnsi" w:cstheme="majorHAnsi"/>
          <w:sz w:val="24"/>
          <w:szCs w:val="24"/>
        </w:rPr>
        <w:t>3,5 mil.</w:t>
      </w:r>
      <w:r w:rsidR="00005F9E" w:rsidRPr="00005F9E">
        <w:rPr>
          <w:rFonts w:asciiTheme="majorHAnsi" w:hAnsiTheme="majorHAnsi" w:cstheme="majorHAnsi"/>
          <w:sz w:val="24"/>
          <w:szCs w:val="24"/>
        </w:rPr>
        <w:t xml:space="preserve"> </w:t>
      </w:r>
      <w:r w:rsidR="007160B9">
        <w:rPr>
          <w:rFonts w:asciiTheme="majorHAnsi" w:hAnsiTheme="majorHAnsi" w:cstheme="majorHAnsi"/>
          <w:sz w:val="24"/>
          <w:szCs w:val="24"/>
        </w:rPr>
        <w:t>MDL</w:t>
      </w:r>
      <w:r w:rsidR="00820A6A">
        <w:rPr>
          <w:rFonts w:asciiTheme="majorHAnsi" w:hAnsiTheme="majorHAnsi" w:cstheme="majorHAnsi"/>
          <w:sz w:val="24"/>
          <w:szCs w:val="24"/>
        </w:rPr>
        <w:t>;</w:t>
      </w:r>
      <w:r w:rsidR="000A36E6" w:rsidRPr="00005F9E">
        <w:rPr>
          <w:rFonts w:asciiTheme="majorHAnsi" w:hAnsiTheme="majorHAnsi" w:cstheme="majorHAnsi"/>
          <w:sz w:val="24"/>
          <w:szCs w:val="24"/>
        </w:rPr>
        <w:t xml:space="preserve"> </w:t>
      </w:r>
      <w:r w:rsidR="00F95E88">
        <w:rPr>
          <w:rFonts w:asciiTheme="majorHAnsi" w:hAnsiTheme="majorHAnsi" w:cstheme="majorHAnsi"/>
          <w:sz w:val="24"/>
          <w:szCs w:val="24"/>
        </w:rPr>
        <w:t>„</w:t>
      </w:r>
      <w:r w:rsidR="000A36E6" w:rsidRPr="00005F9E">
        <w:rPr>
          <w:rFonts w:asciiTheme="majorHAnsi" w:hAnsiTheme="majorHAnsi" w:cstheme="majorHAnsi"/>
          <w:sz w:val="24"/>
          <w:szCs w:val="24"/>
        </w:rPr>
        <w:t>143117 amenzi aplicate de Consiliul Concurenței</w:t>
      </w:r>
      <w:r w:rsidR="00005F9E" w:rsidRPr="00005F9E">
        <w:rPr>
          <w:rFonts w:asciiTheme="majorHAnsi" w:hAnsiTheme="majorHAnsi" w:cstheme="majorHAnsi"/>
          <w:sz w:val="24"/>
          <w:szCs w:val="24"/>
        </w:rPr>
        <w:t xml:space="preserve">” </w:t>
      </w:r>
      <w:r w:rsidR="00F95E88">
        <w:rPr>
          <w:rFonts w:asciiTheme="majorHAnsi" w:hAnsiTheme="majorHAnsi" w:cstheme="majorHAnsi"/>
          <w:sz w:val="24"/>
          <w:szCs w:val="24"/>
        </w:rPr>
        <w:t>–</w:t>
      </w:r>
      <w:r w:rsidR="000A36E6" w:rsidRPr="00005F9E">
        <w:rPr>
          <w:rFonts w:asciiTheme="majorHAnsi" w:hAnsiTheme="majorHAnsi" w:cstheme="majorHAnsi"/>
          <w:sz w:val="24"/>
          <w:szCs w:val="24"/>
        </w:rPr>
        <w:t xml:space="preserve"> 7,3 mil.</w:t>
      </w:r>
      <w:r w:rsidR="00005F9E" w:rsidRPr="00005F9E">
        <w:rPr>
          <w:rFonts w:asciiTheme="majorHAnsi" w:hAnsiTheme="majorHAnsi" w:cstheme="majorHAnsi"/>
          <w:sz w:val="24"/>
          <w:szCs w:val="24"/>
        </w:rPr>
        <w:t xml:space="preserve"> </w:t>
      </w:r>
      <w:r w:rsidR="007160B9">
        <w:rPr>
          <w:rFonts w:asciiTheme="majorHAnsi" w:hAnsiTheme="majorHAnsi" w:cstheme="majorHAnsi"/>
          <w:sz w:val="24"/>
          <w:szCs w:val="24"/>
        </w:rPr>
        <w:t>MDL</w:t>
      </w:r>
      <w:r w:rsidR="00BC605E">
        <w:rPr>
          <w:rFonts w:asciiTheme="majorHAnsi" w:hAnsiTheme="majorHAnsi" w:cstheme="majorHAnsi"/>
          <w:sz w:val="24"/>
          <w:szCs w:val="24"/>
        </w:rPr>
        <w:t>. Totodată,</w:t>
      </w:r>
      <w:r w:rsidR="000A36E6" w:rsidRPr="00AB1BE8">
        <w:rPr>
          <w:rFonts w:asciiTheme="majorHAnsi" w:hAnsiTheme="majorHAnsi" w:cstheme="majorHAnsi"/>
          <w:sz w:val="24"/>
          <w:szCs w:val="24"/>
        </w:rPr>
        <w:t xml:space="preserve"> la </w:t>
      </w:r>
      <w:r w:rsidR="00E45652">
        <w:rPr>
          <w:rFonts w:asciiTheme="majorHAnsi" w:hAnsiTheme="majorHAnsi" w:cstheme="majorHAnsi"/>
          <w:sz w:val="24"/>
          <w:szCs w:val="24"/>
        </w:rPr>
        <w:t xml:space="preserve">alte </w:t>
      </w:r>
      <w:r w:rsidR="000A36E6" w:rsidRPr="00AB1BE8">
        <w:rPr>
          <w:rFonts w:asciiTheme="majorHAnsi" w:hAnsiTheme="majorHAnsi" w:cstheme="majorHAnsi"/>
          <w:sz w:val="24"/>
          <w:szCs w:val="24"/>
        </w:rPr>
        <w:t>2 coduri ECO</w:t>
      </w:r>
      <w:r w:rsidR="00E45652">
        <w:rPr>
          <w:rFonts w:asciiTheme="majorHAnsi" w:hAnsiTheme="majorHAnsi" w:cstheme="majorHAnsi"/>
          <w:sz w:val="24"/>
          <w:szCs w:val="24"/>
        </w:rPr>
        <w:t>,</w:t>
      </w:r>
      <w:r w:rsidR="000A36E6" w:rsidRPr="00AB1BE8">
        <w:rPr>
          <w:rFonts w:asciiTheme="majorHAnsi" w:hAnsiTheme="majorHAnsi" w:cstheme="majorHAnsi"/>
          <w:sz w:val="24"/>
          <w:szCs w:val="24"/>
        </w:rPr>
        <w:t xml:space="preserve"> </w:t>
      </w:r>
      <w:r w:rsidR="00E45652">
        <w:rPr>
          <w:rFonts w:asciiTheme="majorHAnsi" w:hAnsiTheme="majorHAnsi" w:cstheme="majorHAnsi"/>
          <w:sz w:val="24"/>
          <w:szCs w:val="24"/>
        </w:rPr>
        <w:t>„</w:t>
      </w:r>
      <w:r w:rsidR="000A36E6" w:rsidRPr="00AA5E78">
        <w:rPr>
          <w:rFonts w:asciiTheme="majorHAnsi" w:hAnsiTheme="majorHAnsi" w:cstheme="majorHAnsi"/>
          <w:sz w:val="24"/>
          <w:szCs w:val="24"/>
        </w:rPr>
        <w:t>141541 redevența</w:t>
      </w:r>
      <w:r w:rsidR="000A36E6" w:rsidRPr="00AA5E78">
        <w:rPr>
          <w:rFonts w:asciiTheme="majorHAnsi" w:hAnsiTheme="majorHAnsi" w:cstheme="majorHAnsi"/>
          <w:sz w:val="24"/>
          <w:szCs w:val="24"/>
          <w:lang w:val="ro-MD"/>
        </w:rPr>
        <w:t xml:space="preserve"> din concesionarea activelor și terenurilor, inclusiv achitate de către</w:t>
      </w:r>
      <w:r w:rsidR="00793C62">
        <w:rPr>
          <w:rFonts w:asciiTheme="majorHAnsi" w:hAnsiTheme="majorHAnsi" w:cstheme="majorHAnsi"/>
          <w:sz w:val="24"/>
          <w:szCs w:val="24"/>
          <w:lang w:val="ro-MD"/>
        </w:rPr>
        <w:t xml:space="preserve"> </w:t>
      </w:r>
      <w:r w:rsidR="000A36E6" w:rsidRPr="00AA5E78">
        <w:rPr>
          <w:rFonts w:asciiTheme="majorHAnsi" w:hAnsiTheme="majorHAnsi" w:cstheme="majorHAnsi"/>
          <w:sz w:val="24"/>
          <w:szCs w:val="24"/>
          <w:lang w:val="ro-MD"/>
        </w:rPr>
        <w:t xml:space="preserve">ÎS </w:t>
      </w:r>
      <w:r w:rsidR="00E45652">
        <w:rPr>
          <w:rFonts w:asciiTheme="majorHAnsi" w:hAnsiTheme="majorHAnsi" w:cstheme="majorHAnsi"/>
          <w:sz w:val="24"/>
          <w:szCs w:val="24"/>
          <w:lang w:val="ro-MD"/>
        </w:rPr>
        <w:t>„</w:t>
      </w:r>
      <w:r w:rsidR="000A36E6" w:rsidRPr="00AA5E78">
        <w:rPr>
          <w:rFonts w:asciiTheme="majorHAnsi" w:hAnsiTheme="majorHAnsi" w:cstheme="majorHAnsi"/>
          <w:sz w:val="24"/>
          <w:szCs w:val="24"/>
          <w:lang w:val="ro-MD"/>
        </w:rPr>
        <w:t>A</w:t>
      </w:r>
      <w:r w:rsidR="00BC605E" w:rsidRPr="00AA5E78">
        <w:rPr>
          <w:rFonts w:asciiTheme="majorHAnsi" w:hAnsiTheme="majorHAnsi" w:cstheme="majorHAnsi"/>
          <w:sz w:val="24"/>
          <w:szCs w:val="24"/>
          <w:lang w:val="ro-MD"/>
        </w:rPr>
        <w:t>eroport</w:t>
      </w:r>
      <w:r w:rsidR="00E45652">
        <w:rPr>
          <w:rFonts w:asciiTheme="majorHAnsi" w:hAnsiTheme="majorHAnsi" w:cstheme="majorHAnsi"/>
          <w:sz w:val="24"/>
          <w:szCs w:val="24"/>
          <w:lang w:val="ro-MD"/>
        </w:rPr>
        <w:t>ul</w:t>
      </w:r>
      <w:r w:rsidR="00BC605E" w:rsidRPr="00AA5E78">
        <w:rPr>
          <w:rFonts w:asciiTheme="majorHAnsi" w:hAnsiTheme="majorHAnsi" w:cstheme="majorHAnsi"/>
          <w:sz w:val="24"/>
          <w:szCs w:val="24"/>
          <w:lang w:val="ro-MD"/>
        </w:rPr>
        <w:t xml:space="preserve"> Internațional Chișinău”</w:t>
      </w:r>
      <w:r w:rsidR="004A07C7">
        <w:rPr>
          <w:rStyle w:val="FootnoteReference"/>
          <w:rFonts w:asciiTheme="majorHAnsi" w:hAnsiTheme="majorHAnsi" w:cstheme="majorHAnsi"/>
          <w:sz w:val="24"/>
          <w:szCs w:val="24"/>
          <w:lang w:val="ro-MD"/>
        </w:rPr>
        <w:footnoteReference w:id="19"/>
      </w:r>
      <w:r w:rsidR="00BC605E" w:rsidRPr="00AA5E78">
        <w:rPr>
          <w:rFonts w:asciiTheme="majorHAnsi" w:hAnsiTheme="majorHAnsi" w:cstheme="majorHAnsi"/>
          <w:sz w:val="24"/>
          <w:szCs w:val="24"/>
          <w:lang w:val="ro-MD"/>
        </w:rPr>
        <w:t xml:space="preserve">, </w:t>
      </w:r>
      <w:r w:rsidR="00E45652">
        <w:rPr>
          <w:rFonts w:asciiTheme="majorHAnsi" w:hAnsiTheme="majorHAnsi" w:cstheme="majorHAnsi"/>
          <w:sz w:val="24"/>
          <w:szCs w:val="24"/>
          <w:lang w:val="ro-MD"/>
        </w:rPr>
        <w:t>„</w:t>
      </w:r>
      <w:r w:rsidR="000A36E6" w:rsidRPr="00AA5E78">
        <w:rPr>
          <w:rFonts w:asciiTheme="majorHAnsi" w:hAnsiTheme="majorHAnsi" w:cstheme="majorHAnsi"/>
          <w:sz w:val="24"/>
          <w:szCs w:val="24"/>
        </w:rPr>
        <w:t>142234 recuperarea bunurilor infracționale indisponibilizate prin hotărâre judecătorească definitivă încasate în BS (Agenția de Recuperare a Bunurilor Infracționale)</w:t>
      </w:r>
      <w:r w:rsidR="00BC605E" w:rsidRPr="00AA5E78">
        <w:rPr>
          <w:rFonts w:asciiTheme="majorHAnsi" w:hAnsiTheme="majorHAnsi" w:cstheme="majorHAnsi"/>
          <w:sz w:val="24"/>
          <w:szCs w:val="24"/>
        </w:rPr>
        <w:t>”</w:t>
      </w:r>
      <w:r w:rsidR="00E45652">
        <w:rPr>
          <w:rFonts w:asciiTheme="majorHAnsi" w:hAnsiTheme="majorHAnsi" w:cstheme="majorHAnsi"/>
          <w:sz w:val="24"/>
          <w:szCs w:val="24"/>
        </w:rPr>
        <w:t>,</w:t>
      </w:r>
      <w:r w:rsidR="000A36E6" w:rsidRPr="00AA5E78">
        <w:rPr>
          <w:rFonts w:asciiTheme="majorHAnsi" w:hAnsiTheme="majorHAnsi" w:cstheme="majorHAnsi"/>
          <w:sz w:val="24"/>
          <w:szCs w:val="24"/>
        </w:rPr>
        <w:t xml:space="preserve"> </w:t>
      </w:r>
      <w:r w:rsidR="000A36E6" w:rsidRPr="00AB1BE8">
        <w:rPr>
          <w:rFonts w:asciiTheme="majorHAnsi" w:hAnsiTheme="majorHAnsi" w:cstheme="majorHAnsi"/>
          <w:sz w:val="24"/>
          <w:szCs w:val="24"/>
        </w:rPr>
        <w:t>nu au fost executate venituri.</w:t>
      </w:r>
    </w:p>
    <w:p w:rsidR="009E1335" w:rsidRPr="009E1335" w:rsidRDefault="009E1335" w:rsidP="009E1335">
      <w:pPr>
        <w:spacing w:after="0" w:line="276" w:lineRule="auto"/>
        <w:ind w:firstLine="709"/>
        <w:jc w:val="both"/>
        <w:rPr>
          <w:rFonts w:asciiTheme="majorHAnsi" w:eastAsia="Times New Roman" w:hAnsiTheme="majorHAnsi" w:cstheme="majorHAnsi"/>
          <w:sz w:val="24"/>
          <w:szCs w:val="24"/>
          <w:lang w:val="en-US"/>
        </w:rPr>
      </w:pPr>
      <w:r w:rsidRPr="009E1335">
        <w:rPr>
          <w:rFonts w:asciiTheme="majorHAnsi" w:eastAsia="Times New Roman" w:hAnsiTheme="majorHAnsi" w:cstheme="majorHAnsi"/>
          <w:sz w:val="24"/>
          <w:szCs w:val="24"/>
          <w:lang w:val="ro-MD"/>
        </w:rPr>
        <w:t xml:space="preserve">Analiza auditului denotă că, în totalul veniturilor </w:t>
      </w:r>
      <w:r w:rsidR="00636055">
        <w:rPr>
          <w:rFonts w:asciiTheme="majorHAnsi" w:eastAsia="Times New Roman" w:hAnsiTheme="majorHAnsi" w:cstheme="majorHAnsi"/>
          <w:sz w:val="24"/>
          <w:szCs w:val="24"/>
          <w:lang w:val="ro-MD"/>
        </w:rPr>
        <w:t>BS</w:t>
      </w:r>
      <w:r w:rsidRPr="009E1335">
        <w:rPr>
          <w:rFonts w:asciiTheme="majorHAnsi" w:eastAsia="Times New Roman" w:hAnsiTheme="majorHAnsi" w:cstheme="majorHAnsi"/>
          <w:sz w:val="24"/>
          <w:szCs w:val="24"/>
          <w:lang w:val="ro-MD"/>
        </w:rPr>
        <w:t>, ponderea cea mai semnificativă revine celor provenite din încasările TVA, în sumă de 18 527,3 mil.</w:t>
      </w:r>
      <w:r w:rsidR="008B73E0">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9E1335">
        <w:rPr>
          <w:rFonts w:asciiTheme="majorHAnsi" w:eastAsia="Times New Roman" w:hAnsiTheme="majorHAnsi" w:cstheme="majorHAnsi"/>
          <w:sz w:val="24"/>
          <w:szCs w:val="24"/>
          <w:lang w:val="ro-MD"/>
        </w:rPr>
        <w:t>, sau 50,9%; accize</w:t>
      </w:r>
      <w:r w:rsidR="00820A6A">
        <w:rPr>
          <w:rFonts w:asciiTheme="majorHAnsi" w:eastAsia="Times New Roman" w:hAnsiTheme="majorHAnsi" w:cstheme="majorHAnsi"/>
          <w:sz w:val="24"/>
          <w:szCs w:val="24"/>
          <w:lang w:val="ro-MD"/>
        </w:rPr>
        <w:t>le</w:t>
      </w:r>
      <w:r w:rsidRPr="009E1335">
        <w:rPr>
          <w:rFonts w:asciiTheme="majorHAnsi" w:eastAsia="Times New Roman" w:hAnsiTheme="majorHAnsi" w:cstheme="majorHAnsi"/>
          <w:sz w:val="24"/>
          <w:szCs w:val="24"/>
          <w:lang w:val="ro-MD"/>
        </w:rPr>
        <w:t xml:space="preserve"> – 5 682,8 mil.</w:t>
      </w:r>
      <w:r w:rsidR="008B73E0">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lastRenderedPageBreak/>
        <w:t>MDL</w:t>
      </w:r>
      <w:r w:rsidRPr="009E1335">
        <w:rPr>
          <w:rFonts w:asciiTheme="majorHAnsi" w:eastAsia="Times New Roman" w:hAnsiTheme="majorHAnsi" w:cstheme="majorHAnsi"/>
          <w:sz w:val="24"/>
          <w:szCs w:val="24"/>
          <w:lang w:val="ro-MD"/>
        </w:rPr>
        <w:t>, sau 15,6%; impozitul pe venit</w:t>
      </w:r>
      <w:r w:rsidRPr="009E1335">
        <w:rPr>
          <w:rFonts w:asciiTheme="majorHAnsi" w:eastAsia="Times New Roman" w:hAnsiTheme="majorHAnsi" w:cstheme="majorHAnsi"/>
          <w:i/>
          <w:iCs/>
          <w:sz w:val="24"/>
          <w:szCs w:val="24"/>
          <w:lang w:val="ro-MD"/>
        </w:rPr>
        <w:t xml:space="preserve"> –</w:t>
      </w:r>
      <w:r w:rsidRPr="009E1335">
        <w:rPr>
          <w:rFonts w:asciiTheme="majorHAnsi" w:eastAsia="Times New Roman" w:hAnsiTheme="majorHAnsi" w:cstheme="majorHAnsi"/>
          <w:sz w:val="24"/>
          <w:szCs w:val="24"/>
          <w:lang w:val="ro-MD"/>
        </w:rPr>
        <w:t xml:space="preserve"> 6 865,9 mil.</w:t>
      </w:r>
      <w:r w:rsidR="008B73E0">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9E1335">
        <w:rPr>
          <w:rFonts w:asciiTheme="majorHAnsi" w:eastAsia="Times New Roman" w:hAnsiTheme="majorHAnsi" w:cstheme="majorHAnsi"/>
          <w:sz w:val="24"/>
          <w:szCs w:val="24"/>
          <w:lang w:val="ro-MD"/>
        </w:rPr>
        <w:t xml:space="preserve">, sau </w:t>
      </w:r>
      <w:r w:rsidR="008B73E0">
        <w:rPr>
          <w:rFonts w:asciiTheme="majorHAnsi" w:eastAsia="Times New Roman" w:hAnsiTheme="majorHAnsi" w:cstheme="majorHAnsi"/>
          <w:sz w:val="24"/>
          <w:szCs w:val="24"/>
          <w:lang w:val="ro-MD"/>
        </w:rPr>
        <w:t>18,8</w:t>
      </w:r>
      <w:r w:rsidRPr="009E1335">
        <w:rPr>
          <w:rFonts w:asciiTheme="majorHAnsi" w:eastAsia="Times New Roman" w:hAnsiTheme="majorHAnsi" w:cstheme="majorHAnsi"/>
          <w:sz w:val="24"/>
          <w:szCs w:val="24"/>
          <w:lang w:val="ro-MD"/>
        </w:rPr>
        <w:t xml:space="preserve">% etc. </w:t>
      </w:r>
      <w:r w:rsidRPr="009E1335">
        <w:rPr>
          <w:rFonts w:asciiTheme="majorHAnsi" w:eastAsia="Times New Roman" w:hAnsiTheme="majorHAnsi" w:cstheme="majorHAnsi"/>
          <w:i/>
          <w:sz w:val="24"/>
          <w:szCs w:val="24"/>
        </w:rPr>
        <w:t xml:space="preserve">Ponderea principalelor categorii de venituri în totalul veniturilor bugetului de stat în anul 2018 se prezintă </w:t>
      </w:r>
      <w:r w:rsidRPr="009E1335">
        <w:rPr>
          <w:rFonts w:asciiTheme="majorHAnsi" w:eastAsia="Times New Roman" w:hAnsiTheme="majorHAnsi" w:cstheme="majorHAnsi"/>
          <w:i/>
          <w:iCs/>
          <w:sz w:val="24"/>
          <w:szCs w:val="24"/>
          <w:lang w:val="ro-MD"/>
        </w:rPr>
        <w:t>în mod grafic în Diagrama nr.1.</w:t>
      </w:r>
    </w:p>
    <w:p w:rsidR="009E1335" w:rsidRPr="009E1335" w:rsidRDefault="009E1335" w:rsidP="009E1335">
      <w:pPr>
        <w:spacing w:after="0" w:line="276" w:lineRule="auto"/>
        <w:jc w:val="right"/>
        <w:rPr>
          <w:rFonts w:asciiTheme="majorHAnsi" w:hAnsiTheme="majorHAnsi" w:cstheme="majorHAnsi"/>
          <w:i/>
          <w:sz w:val="24"/>
          <w:szCs w:val="24"/>
        </w:rPr>
      </w:pPr>
      <w:r w:rsidRPr="009E1335">
        <w:rPr>
          <w:rFonts w:asciiTheme="majorHAnsi" w:hAnsiTheme="majorHAnsi" w:cstheme="majorHAnsi"/>
          <w:i/>
          <w:sz w:val="24"/>
          <w:szCs w:val="24"/>
        </w:rPr>
        <w:t>Diagrama nr.1</w:t>
      </w:r>
    </w:p>
    <w:p w:rsidR="009E1335" w:rsidRPr="009E1335" w:rsidRDefault="009E1335" w:rsidP="009E1335">
      <w:pPr>
        <w:spacing w:line="276" w:lineRule="auto"/>
        <w:jc w:val="center"/>
        <w:rPr>
          <w:rFonts w:asciiTheme="majorHAnsi" w:hAnsiTheme="majorHAnsi" w:cstheme="majorHAnsi"/>
          <w:b/>
          <w:sz w:val="24"/>
          <w:szCs w:val="24"/>
        </w:rPr>
      </w:pPr>
      <w:r w:rsidRPr="009E1335">
        <w:rPr>
          <w:rFonts w:asciiTheme="majorHAnsi" w:hAnsiTheme="majorHAnsi" w:cstheme="majorHAnsi"/>
          <w:b/>
          <w:sz w:val="24"/>
          <w:szCs w:val="24"/>
        </w:rPr>
        <w:t xml:space="preserve">Ponderea principalelor tipuri de venituri ale </w:t>
      </w:r>
      <w:r w:rsidR="007A4165">
        <w:rPr>
          <w:rFonts w:asciiTheme="majorHAnsi" w:hAnsiTheme="majorHAnsi" w:cstheme="majorHAnsi"/>
          <w:b/>
          <w:sz w:val="24"/>
          <w:szCs w:val="24"/>
        </w:rPr>
        <w:t>bugetului de stat</w:t>
      </w:r>
      <w:r w:rsidRPr="009E1335">
        <w:rPr>
          <w:rFonts w:asciiTheme="majorHAnsi" w:hAnsiTheme="majorHAnsi" w:cstheme="majorHAnsi"/>
          <w:b/>
          <w:sz w:val="24"/>
          <w:szCs w:val="24"/>
        </w:rPr>
        <w:t xml:space="preserve"> în totalul veniturilor </w:t>
      </w:r>
      <w:r w:rsidR="007A4165">
        <w:rPr>
          <w:rFonts w:asciiTheme="majorHAnsi" w:hAnsiTheme="majorHAnsi" w:cstheme="majorHAnsi"/>
          <w:b/>
          <w:sz w:val="24"/>
          <w:szCs w:val="24"/>
        </w:rPr>
        <w:t>bugetului de stat</w:t>
      </w:r>
      <w:r w:rsidRPr="009E1335">
        <w:rPr>
          <w:rFonts w:asciiTheme="majorHAnsi" w:hAnsiTheme="majorHAnsi" w:cstheme="majorHAnsi"/>
          <w:b/>
          <w:sz w:val="24"/>
          <w:szCs w:val="24"/>
        </w:rPr>
        <w:t xml:space="preserve"> executate în anul 2018</w:t>
      </w:r>
    </w:p>
    <w:p w:rsidR="009E1335" w:rsidRDefault="009E1335" w:rsidP="009E1335">
      <w:pPr>
        <w:jc w:val="both"/>
        <w:rPr>
          <w:rFonts w:asciiTheme="majorHAnsi" w:hAnsiTheme="majorHAnsi" w:cstheme="majorHAnsi"/>
          <w:i/>
          <w:sz w:val="20"/>
          <w:szCs w:val="20"/>
        </w:rPr>
      </w:pPr>
      <w:r w:rsidRPr="009E1335">
        <w:rPr>
          <w:rFonts w:asciiTheme="majorHAnsi" w:hAnsiTheme="majorHAnsi" w:cstheme="majorHAnsi"/>
          <w:noProof/>
          <w:lang w:val="en-US"/>
        </w:rPr>
        <w:drawing>
          <wp:inline distT="0" distB="0" distL="0" distR="0" wp14:anchorId="443E28B0" wp14:editId="1FABBC75">
            <wp:extent cx="6149340" cy="3909060"/>
            <wp:effectExtent l="0" t="0" r="381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B1BE8">
        <w:rPr>
          <w:rFonts w:asciiTheme="majorHAnsi" w:hAnsiTheme="majorHAnsi" w:cstheme="majorHAnsi"/>
          <w:b/>
          <w:i/>
          <w:sz w:val="20"/>
          <w:szCs w:val="20"/>
        </w:rPr>
        <w:t>Sursă:</w:t>
      </w:r>
      <w:r w:rsidRPr="00AB1BE8">
        <w:rPr>
          <w:rFonts w:asciiTheme="majorHAnsi" w:hAnsiTheme="majorHAnsi" w:cstheme="majorHAnsi"/>
          <w:sz w:val="20"/>
          <w:szCs w:val="20"/>
        </w:rPr>
        <w:t xml:space="preserve"> </w:t>
      </w:r>
      <w:r w:rsidRPr="00AB1BE8">
        <w:rPr>
          <w:rFonts w:asciiTheme="majorHAnsi" w:hAnsiTheme="majorHAnsi" w:cstheme="majorHAnsi"/>
          <w:i/>
          <w:sz w:val="20"/>
          <w:szCs w:val="20"/>
        </w:rPr>
        <w:t>Informații generalizate de echipa de audit conform Raportului privind executarea bugetului de stat pe anul 2018, Formularul nr.2.</w:t>
      </w:r>
    </w:p>
    <w:p w:rsidR="000A42D6" w:rsidRPr="00AB1BE8" w:rsidRDefault="000A42D6" w:rsidP="00FB186A">
      <w:pPr>
        <w:spacing w:after="0"/>
        <w:ind w:firstLine="720"/>
        <w:jc w:val="both"/>
        <w:rPr>
          <w:rFonts w:asciiTheme="majorHAnsi" w:hAnsiTheme="majorHAnsi" w:cstheme="majorHAnsi"/>
          <w:i/>
          <w:sz w:val="20"/>
          <w:szCs w:val="20"/>
        </w:rPr>
      </w:pPr>
      <w:r w:rsidRPr="009E1335">
        <w:rPr>
          <w:rFonts w:asciiTheme="majorHAnsi" w:eastAsia="Times New Roman" w:hAnsiTheme="majorHAnsi" w:cstheme="majorHAnsi"/>
          <w:sz w:val="24"/>
          <w:szCs w:val="24"/>
          <w:lang w:val="ro-MD"/>
        </w:rPr>
        <w:t>Se menționează că totalul veniturilor bugetului de stat este raportat, luând în considerare sumele restituite la TVA, accize</w:t>
      </w:r>
      <w:r w:rsidR="00820A6A">
        <w:rPr>
          <w:rFonts w:asciiTheme="majorHAnsi" w:eastAsia="Times New Roman" w:hAnsiTheme="majorHAnsi" w:cstheme="majorHAnsi"/>
          <w:sz w:val="24"/>
          <w:szCs w:val="24"/>
          <w:lang w:val="ro-MD"/>
        </w:rPr>
        <w:t>le</w:t>
      </w:r>
      <w:r w:rsidRPr="009E1335">
        <w:rPr>
          <w:rFonts w:asciiTheme="majorHAnsi" w:eastAsia="Times New Roman" w:hAnsiTheme="majorHAnsi" w:cstheme="majorHAnsi"/>
          <w:sz w:val="24"/>
          <w:szCs w:val="24"/>
          <w:lang w:val="ro-MD"/>
        </w:rPr>
        <w:t xml:space="preserve"> și impozitul pe venit, în sumă totală de 3 129,5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9E1335">
        <w:rPr>
          <w:rFonts w:asciiTheme="majorHAnsi" w:eastAsia="Times New Roman" w:hAnsiTheme="majorHAnsi" w:cstheme="majorHAnsi"/>
          <w:sz w:val="24"/>
          <w:szCs w:val="24"/>
          <w:lang w:val="ro-MD"/>
        </w:rPr>
        <w:t>.</w:t>
      </w:r>
    </w:p>
    <w:p w:rsidR="00D77C3A" w:rsidRPr="00E04755" w:rsidRDefault="0032297C" w:rsidP="008E470C">
      <w:pPr>
        <w:pStyle w:val="ListParagraph"/>
        <w:numPr>
          <w:ilvl w:val="0"/>
          <w:numId w:val="19"/>
        </w:numPr>
        <w:tabs>
          <w:tab w:val="left" w:pos="360"/>
        </w:tabs>
        <w:spacing w:after="0" w:line="276" w:lineRule="auto"/>
        <w:ind w:left="0" w:firstLine="0"/>
        <w:jc w:val="both"/>
        <w:rPr>
          <w:rFonts w:asciiTheme="majorHAnsi" w:hAnsiTheme="majorHAnsi" w:cstheme="majorHAnsi"/>
          <w:b/>
          <w:i/>
          <w:sz w:val="24"/>
          <w:szCs w:val="24"/>
          <w:lang w:val="ro-MD"/>
        </w:rPr>
      </w:pPr>
      <w:r w:rsidRPr="002727FF">
        <w:rPr>
          <w:rFonts w:asciiTheme="majorHAnsi" w:hAnsiTheme="majorHAnsi" w:cstheme="majorHAnsi"/>
          <w:b/>
          <w:i/>
          <w:sz w:val="24"/>
          <w:szCs w:val="24"/>
          <w:lang w:val="ro-MD"/>
        </w:rPr>
        <w:t>Volum</w:t>
      </w:r>
      <w:r w:rsidRPr="00E04755">
        <w:rPr>
          <w:rFonts w:asciiTheme="majorHAnsi" w:hAnsiTheme="majorHAnsi" w:cstheme="majorHAnsi"/>
          <w:b/>
          <w:i/>
          <w:sz w:val="24"/>
          <w:szCs w:val="24"/>
          <w:lang w:val="ro-MD"/>
        </w:rPr>
        <w:t>ul r</w:t>
      </w:r>
      <w:r w:rsidR="00D77C3A" w:rsidRPr="00E04755">
        <w:rPr>
          <w:rFonts w:asciiTheme="majorHAnsi" w:hAnsiTheme="majorHAnsi" w:cstheme="majorHAnsi"/>
          <w:b/>
          <w:i/>
          <w:sz w:val="24"/>
          <w:szCs w:val="24"/>
          <w:lang w:val="ro-MD"/>
        </w:rPr>
        <w:t>estituiri</w:t>
      </w:r>
      <w:r w:rsidRPr="00E04755">
        <w:rPr>
          <w:rFonts w:asciiTheme="majorHAnsi" w:hAnsiTheme="majorHAnsi" w:cstheme="majorHAnsi"/>
          <w:b/>
          <w:i/>
          <w:sz w:val="24"/>
          <w:szCs w:val="24"/>
          <w:lang w:val="ro-MD"/>
        </w:rPr>
        <w:t xml:space="preserve">lor TVA din </w:t>
      </w:r>
      <w:r w:rsidR="007A4165">
        <w:rPr>
          <w:rFonts w:asciiTheme="majorHAnsi" w:hAnsiTheme="majorHAnsi" w:cstheme="majorHAnsi"/>
          <w:b/>
          <w:i/>
          <w:sz w:val="24"/>
          <w:szCs w:val="24"/>
          <w:lang w:val="ro-MD"/>
        </w:rPr>
        <w:t>bugetul de stat</w:t>
      </w:r>
      <w:r w:rsidRPr="00E04755">
        <w:rPr>
          <w:rFonts w:asciiTheme="majorHAnsi" w:hAnsiTheme="majorHAnsi" w:cstheme="majorHAnsi"/>
          <w:b/>
          <w:i/>
          <w:sz w:val="24"/>
          <w:szCs w:val="24"/>
          <w:lang w:val="ro-MD"/>
        </w:rPr>
        <w:t xml:space="preserve"> </w:t>
      </w:r>
      <w:r w:rsidR="00B668CE" w:rsidRPr="00E04755">
        <w:rPr>
          <w:rFonts w:asciiTheme="majorHAnsi" w:hAnsiTheme="majorHAnsi" w:cstheme="majorHAnsi"/>
          <w:b/>
          <w:i/>
          <w:sz w:val="24"/>
          <w:szCs w:val="24"/>
          <w:lang w:val="ro-MD"/>
        </w:rPr>
        <w:t xml:space="preserve">a fost în limita bugetară și </w:t>
      </w:r>
      <w:r w:rsidRPr="00E04755">
        <w:rPr>
          <w:rFonts w:asciiTheme="majorHAnsi" w:hAnsiTheme="majorHAnsi" w:cstheme="majorHAnsi"/>
          <w:b/>
          <w:i/>
          <w:sz w:val="24"/>
          <w:szCs w:val="24"/>
          <w:lang w:val="ro-MD"/>
        </w:rPr>
        <w:t>în creștere</w:t>
      </w:r>
      <w:r w:rsidR="00B668CE" w:rsidRPr="00E04755">
        <w:rPr>
          <w:rFonts w:asciiTheme="majorHAnsi" w:hAnsiTheme="majorHAnsi" w:cstheme="majorHAnsi"/>
          <w:b/>
          <w:i/>
          <w:sz w:val="24"/>
          <w:szCs w:val="24"/>
          <w:lang w:val="ro-MD"/>
        </w:rPr>
        <w:t xml:space="preserve"> față de anii precedenți</w:t>
      </w:r>
      <w:r w:rsidR="00C76E7B">
        <w:rPr>
          <w:rFonts w:asciiTheme="majorHAnsi" w:hAnsiTheme="majorHAnsi" w:cstheme="majorHAnsi"/>
          <w:b/>
          <w:i/>
          <w:sz w:val="24"/>
          <w:szCs w:val="24"/>
          <w:lang w:val="ro-MD"/>
        </w:rPr>
        <w:t>.</w:t>
      </w:r>
      <w:r w:rsidRPr="00E04755">
        <w:rPr>
          <w:rFonts w:asciiTheme="majorHAnsi" w:hAnsiTheme="majorHAnsi" w:cstheme="majorHAnsi"/>
          <w:b/>
          <w:i/>
          <w:sz w:val="24"/>
          <w:szCs w:val="24"/>
          <w:lang w:val="ro-MD"/>
        </w:rPr>
        <w:t xml:space="preserve"> </w:t>
      </w:r>
      <w:r w:rsidR="00C76E7B">
        <w:rPr>
          <w:rFonts w:asciiTheme="majorHAnsi" w:hAnsiTheme="majorHAnsi" w:cstheme="majorHAnsi"/>
          <w:b/>
          <w:i/>
          <w:sz w:val="24"/>
          <w:szCs w:val="24"/>
          <w:lang w:val="ro-MD"/>
        </w:rPr>
        <w:t>P</w:t>
      </w:r>
      <w:r w:rsidRPr="00E04755">
        <w:rPr>
          <w:rFonts w:asciiTheme="majorHAnsi" w:hAnsiTheme="majorHAnsi" w:cstheme="majorHAnsi"/>
          <w:b/>
          <w:i/>
          <w:sz w:val="24"/>
          <w:szCs w:val="24"/>
          <w:lang w:val="ro-MD"/>
        </w:rPr>
        <w:t>entru restituirea de accize nu au fost mijloace suficiente</w:t>
      </w:r>
      <w:r w:rsidR="00FD4F75" w:rsidRPr="00E04755">
        <w:rPr>
          <w:rFonts w:asciiTheme="majorHAnsi" w:hAnsiTheme="majorHAnsi" w:cstheme="majorHAnsi"/>
          <w:b/>
          <w:i/>
          <w:sz w:val="24"/>
          <w:szCs w:val="24"/>
          <w:lang w:val="ro-MD"/>
        </w:rPr>
        <w:t>,</w:t>
      </w:r>
      <w:r w:rsidRPr="00E04755">
        <w:rPr>
          <w:rFonts w:asciiTheme="majorHAnsi" w:hAnsiTheme="majorHAnsi" w:cstheme="majorHAnsi"/>
          <w:b/>
          <w:i/>
          <w:sz w:val="24"/>
          <w:szCs w:val="24"/>
          <w:lang w:val="ro-MD"/>
        </w:rPr>
        <w:t xml:space="preserve"> iar restituirile</w:t>
      </w:r>
      <w:r w:rsidRPr="00E04755">
        <w:rPr>
          <w:rFonts w:asciiTheme="majorHAnsi" w:hAnsiTheme="majorHAnsi" w:cstheme="majorHAnsi"/>
          <w:b/>
          <w:i/>
          <w:sz w:val="24"/>
          <w:szCs w:val="24"/>
        </w:rPr>
        <w:t xml:space="preserve"> impozitului pe venit persoanelor fizice au depășit limita bugetară.</w:t>
      </w:r>
    </w:p>
    <w:p w:rsidR="000A36E6" w:rsidRPr="00D4207C" w:rsidRDefault="00101A8B" w:rsidP="000A36E6">
      <w:pPr>
        <w:pStyle w:val="ListParagraph"/>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Analiza auditului denotă că, p</w:t>
      </w:r>
      <w:r w:rsidR="000A36E6" w:rsidRPr="00D4207C">
        <w:rPr>
          <w:rFonts w:asciiTheme="majorHAnsi" w:hAnsiTheme="majorHAnsi" w:cstheme="majorHAnsi"/>
          <w:sz w:val="24"/>
          <w:szCs w:val="24"/>
          <w:lang w:val="ro-MD"/>
        </w:rPr>
        <w:t xml:space="preserve">rin Legea bugetului de stat pentru anul 2018, pentru restituirea TVA au fost aprobate mijloace în sumă de </w:t>
      </w:r>
      <w:r w:rsidR="000A36E6">
        <w:rPr>
          <w:rFonts w:asciiTheme="majorHAnsi" w:hAnsiTheme="majorHAnsi" w:cstheme="majorHAnsi"/>
          <w:sz w:val="24"/>
          <w:szCs w:val="24"/>
          <w:lang w:val="ro-MD"/>
        </w:rPr>
        <w:t xml:space="preserve">2 649,5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Urmare </w:t>
      </w:r>
      <w:r w:rsidR="00C76E7B">
        <w:rPr>
          <w:rFonts w:asciiTheme="majorHAnsi" w:hAnsiTheme="majorHAnsi" w:cstheme="majorHAnsi"/>
          <w:sz w:val="24"/>
          <w:szCs w:val="24"/>
          <w:lang w:val="ro-MD"/>
        </w:rPr>
        <w:t xml:space="preserve">a </w:t>
      </w:r>
      <w:r w:rsidR="000A36E6">
        <w:rPr>
          <w:rFonts w:asciiTheme="majorHAnsi" w:hAnsiTheme="majorHAnsi" w:cstheme="majorHAnsi"/>
          <w:sz w:val="24"/>
          <w:szCs w:val="24"/>
          <w:lang w:val="ro-MD"/>
        </w:rPr>
        <w:t xml:space="preserve">modificărilor operate pe parcursul anului, </w:t>
      </w:r>
      <w:r w:rsidR="0086194C">
        <w:rPr>
          <w:rFonts w:asciiTheme="majorHAnsi" w:hAnsiTheme="majorHAnsi" w:cstheme="majorHAnsi"/>
          <w:sz w:val="24"/>
          <w:szCs w:val="24"/>
          <w:lang w:val="ro-MD"/>
        </w:rPr>
        <w:t xml:space="preserve">resursele </w:t>
      </w:r>
      <w:r w:rsidR="000A36E6">
        <w:rPr>
          <w:rFonts w:asciiTheme="majorHAnsi" w:hAnsiTheme="majorHAnsi" w:cstheme="majorHAnsi"/>
          <w:sz w:val="24"/>
          <w:szCs w:val="24"/>
          <w:lang w:val="ro-MD"/>
        </w:rPr>
        <w:t xml:space="preserve">destinate restituirii TVA au fost precizate în sumă de 2 933,1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sau cu 292,6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mai mult (+10,7%).</w:t>
      </w:r>
    </w:p>
    <w:p w:rsidR="00231019" w:rsidRDefault="00832270" w:rsidP="000A36E6">
      <w:pPr>
        <w:pStyle w:val="ListParagraph"/>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Verificările auditului </w:t>
      </w:r>
      <w:r w:rsidR="000A36E6">
        <w:rPr>
          <w:rFonts w:asciiTheme="majorHAnsi" w:hAnsiTheme="majorHAnsi" w:cstheme="majorHAnsi"/>
          <w:sz w:val="24"/>
          <w:szCs w:val="24"/>
          <w:lang w:val="ro-MD"/>
        </w:rPr>
        <w:t>a</w:t>
      </w:r>
      <w:r w:rsidR="00C76E7B">
        <w:rPr>
          <w:rFonts w:asciiTheme="majorHAnsi" w:hAnsiTheme="majorHAnsi" w:cstheme="majorHAnsi"/>
          <w:sz w:val="24"/>
          <w:szCs w:val="24"/>
          <w:lang w:val="ro-MD"/>
        </w:rPr>
        <w:t>u</w:t>
      </w:r>
      <w:r w:rsidR="000A36E6">
        <w:rPr>
          <w:rFonts w:asciiTheme="majorHAnsi" w:hAnsiTheme="majorHAnsi" w:cstheme="majorHAnsi"/>
          <w:sz w:val="24"/>
          <w:szCs w:val="24"/>
          <w:lang w:val="ro-MD"/>
        </w:rPr>
        <w:t xml:space="preserve"> </w:t>
      </w:r>
      <w:r w:rsidR="00C76E7B">
        <w:rPr>
          <w:rFonts w:asciiTheme="majorHAnsi" w:hAnsiTheme="majorHAnsi" w:cstheme="majorHAnsi"/>
          <w:sz w:val="24"/>
          <w:szCs w:val="24"/>
          <w:lang w:val="ro-MD"/>
        </w:rPr>
        <w:t xml:space="preserve">stabilit </w:t>
      </w:r>
      <w:r w:rsidR="000A36E6">
        <w:rPr>
          <w:rFonts w:asciiTheme="majorHAnsi" w:hAnsiTheme="majorHAnsi" w:cstheme="majorHAnsi"/>
          <w:sz w:val="24"/>
          <w:szCs w:val="24"/>
          <w:lang w:val="ro-MD"/>
        </w:rPr>
        <w:t>că</w:t>
      </w:r>
      <w:r>
        <w:rPr>
          <w:rFonts w:asciiTheme="majorHAnsi" w:hAnsiTheme="majorHAnsi" w:cstheme="majorHAnsi"/>
          <w:sz w:val="24"/>
          <w:szCs w:val="24"/>
          <w:lang w:val="ro-MD"/>
        </w:rPr>
        <w:t>,</w:t>
      </w:r>
      <w:r w:rsidR="000A36E6">
        <w:rPr>
          <w:rFonts w:asciiTheme="majorHAnsi" w:hAnsiTheme="majorHAnsi" w:cstheme="majorHAnsi"/>
          <w:sz w:val="24"/>
          <w:szCs w:val="24"/>
          <w:lang w:val="ro-MD"/>
        </w:rPr>
        <w:t xml:space="preserve"> în perioada auditată</w:t>
      </w:r>
      <w:r w:rsidR="00C76E7B">
        <w:rPr>
          <w:rFonts w:asciiTheme="majorHAnsi" w:hAnsiTheme="majorHAnsi" w:cstheme="majorHAnsi"/>
          <w:sz w:val="24"/>
          <w:szCs w:val="24"/>
          <w:lang w:val="ro-MD"/>
        </w:rPr>
        <w:t>,</w:t>
      </w:r>
      <w:r w:rsidR="000A36E6">
        <w:rPr>
          <w:rFonts w:asciiTheme="majorHAnsi" w:hAnsiTheme="majorHAnsi" w:cstheme="majorHAnsi"/>
          <w:sz w:val="24"/>
          <w:szCs w:val="24"/>
          <w:lang w:val="ro-MD"/>
        </w:rPr>
        <w:t xml:space="preserve"> </w:t>
      </w:r>
      <w:r w:rsidR="00441E5D">
        <w:rPr>
          <w:rFonts w:asciiTheme="majorHAnsi" w:hAnsiTheme="majorHAnsi" w:cstheme="majorHAnsi"/>
          <w:sz w:val="24"/>
          <w:szCs w:val="24"/>
          <w:lang w:val="ro-MD"/>
        </w:rPr>
        <w:t xml:space="preserve">executarea restituirilor TVA </w:t>
      </w:r>
      <w:r w:rsidR="000A36E6">
        <w:rPr>
          <w:rFonts w:asciiTheme="majorHAnsi" w:hAnsiTheme="majorHAnsi" w:cstheme="majorHAnsi"/>
          <w:sz w:val="24"/>
          <w:szCs w:val="24"/>
          <w:lang w:val="ro-MD"/>
        </w:rPr>
        <w:t xml:space="preserve">au însumat 2 854,6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w:t>
      </w:r>
      <w:r w:rsidR="00441E5D">
        <w:rPr>
          <w:rFonts w:asciiTheme="majorHAnsi" w:hAnsiTheme="majorHAnsi" w:cstheme="majorHAnsi"/>
          <w:color w:val="000000"/>
          <w:sz w:val="24"/>
          <w:szCs w:val="24"/>
          <w:lang w:val="ro-MD"/>
        </w:rPr>
        <w:t xml:space="preserve">beneficiari </w:t>
      </w:r>
      <w:r w:rsidR="00C76E7B">
        <w:rPr>
          <w:rFonts w:asciiTheme="majorHAnsi" w:hAnsiTheme="majorHAnsi" w:cstheme="majorHAnsi"/>
          <w:color w:val="000000"/>
          <w:sz w:val="24"/>
          <w:szCs w:val="24"/>
          <w:lang w:val="ro-MD"/>
        </w:rPr>
        <w:t>–</w:t>
      </w:r>
      <w:r w:rsidR="000A36E6" w:rsidRPr="005214E2">
        <w:rPr>
          <w:rFonts w:asciiTheme="majorHAnsi" w:hAnsiTheme="majorHAnsi" w:cstheme="majorHAnsi"/>
          <w:color w:val="000000"/>
          <w:sz w:val="24"/>
          <w:szCs w:val="24"/>
        </w:rPr>
        <w:t xml:space="preserve"> 1</w:t>
      </w:r>
      <w:r w:rsidR="00C76E7B">
        <w:rPr>
          <w:rFonts w:asciiTheme="majorHAnsi" w:hAnsiTheme="majorHAnsi" w:cstheme="majorHAnsi"/>
          <w:color w:val="000000"/>
          <w:sz w:val="24"/>
          <w:szCs w:val="24"/>
        </w:rPr>
        <w:t xml:space="preserve"> </w:t>
      </w:r>
      <w:r w:rsidR="000A36E6" w:rsidRPr="005214E2">
        <w:rPr>
          <w:rFonts w:asciiTheme="majorHAnsi" w:hAnsiTheme="majorHAnsi" w:cstheme="majorHAnsi"/>
          <w:color w:val="000000"/>
          <w:sz w:val="24"/>
          <w:szCs w:val="24"/>
        </w:rPr>
        <w:t xml:space="preserve">118 </w:t>
      </w:r>
      <w:r w:rsidR="000A36E6">
        <w:rPr>
          <w:rFonts w:asciiTheme="majorHAnsi" w:hAnsiTheme="majorHAnsi" w:cstheme="majorHAnsi"/>
          <w:color w:val="000000"/>
          <w:sz w:val="24"/>
          <w:szCs w:val="24"/>
        </w:rPr>
        <w:t>contribuabili</w:t>
      </w:r>
      <w:r w:rsidR="000A36E6">
        <w:rPr>
          <w:rFonts w:asciiTheme="majorHAnsi" w:hAnsiTheme="majorHAnsi" w:cstheme="majorHAnsi"/>
          <w:sz w:val="24"/>
          <w:szCs w:val="24"/>
          <w:lang w:val="ro-MD"/>
        </w:rPr>
        <w:t xml:space="preserve">), </w:t>
      </w:r>
      <w:r w:rsidR="00231019">
        <w:rPr>
          <w:rFonts w:asciiTheme="majorHAnsi" w:hAnsiTheme="majorHAnsi" w:cstheme="majorHAnsi"/>
          <w:sz w:val="24"/>
          <w:szCs w:val="24"/>
          <w:lang w:val="ro-MD"/>
        </w:rPr>
        <w:t xml:space="preserve">ceea ce constituie </w:t>
      </w:r>
      <w:r w:rsidR="00231019">
        <w:rPr>
          <w:rFonts w:asciiTheme="majorHAnsi" w:hAnsiTheme="majorHAnsi" w:cstheme="majorHAnsi"/>
          <w:sz w:val="24"/>
          <w:szCs w:val="24"/>
        </w:rPr>
        <w:t>15,4% din suma</w:t>
      </w:r>
      <w:r w:rsidR="00231019" w:rsidRPr="00736438">
        <w:rPr>
          <w:rFonts w:asciiTheme="majorHAnsi" w:hAnsiTheme="majorHAnsi" w:cstheme="majorHAnsi"/>
          <w:sz w:val="24"/>
          <w:szCs w:val="24"/>
        </w:rPr>
        <w:t xml:space="preserve"> TVA încasată la buget</w:t>
      </w:r>
      <w:r w:rsidR="00231019">
        <w:rPr>
          <w:rFonts w:asciiTheme="majorHAnsi" w:hAnsiTheme="majorHAnsi" w:cstheme="majorHAnsi"/>
          <w:sz w:val="24"/>
          <w:szCs w:val="24"/>
        </w:rPr>
        <w:t>.</w:t>
      </w:r>
    </w:p>
    <w:p w:rsidR="000A36E6" w:rsidRDefault="00C76E7B" w:rsidP="000A36E6">
      <w:pPr>
        <w:pStyle w:val="ListParagraph"/>
        <w:tabs>
          <w:tab w:val="left" w:pos="993"/>
        </w:tabs>
        <w:spacing w:after="0"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lastRenderedPageBreak/>
        <w:t>Totodată</w:t>
      </w:r>
      <w:r w:rsidR="00E07BEB">
        <w:rPr>
          <w:rFonts w:asciiTheme="majorHAnsi" w:hAnsiTheme="majorHAnsi" w:cstheme="majorHAnsi"/>
          <w:sz w:val="24"/>
          <w:szCs w:val="24"/>
          <w:lang w:val="ro-MD"/>
        </w:rPr>
        <w:t>,</w:t>
      </w:r>
      <w:r w:rsidR="000A36E6">
        <w:rPr>
          <w:rFonts w:asciiTheme="majorHAnsi" w:hAnsiTheme="majorHAnsi" w:cstheme="majorHAnsi"/>
          <w:sz w:val="24"/>
          <w:szCs w:val="24"/>
          <w:lang w:val="ro-MD"/>
        </w:rPr>
        <w:t xml:space="preserve"> în ultimii 3 ani s-a înregistrat o tendință stabilă de creștere a volumului TVA restituită din </w:t>
      </w:r>
      <w:r w:rsidR="00E07BEB">
        <w:rPr>
          <w:rFonts w:asciiTheme="majorHAnsi" w:hAnsiTheme="majorHAnsi" w:cstheme="majorHAnsi"/>
          <w:sz w:val="24"/>
          <w:szCs w:val="24"/>
          <w:lang w:val="ro-MD"/>
        </w:rPr>
        <w:t>BS</w:t>
      </w:r>
      <w:r w:rsidR="000A36E6">
        <w:rPr>
          <w:rFonts w:asciiTheme="majorHAnsi" w:hAnsiTheme="majorHAnsi" w:cstheme="majorHAnsi"/>
          <w:sz w:val="24"/>
          <w:szCs w:val="24"/>
          <w:lang w:val="ro-MD"/>
        </w:rPr>
        <w:t xml:space="preserve">. Astfel, în anul 2018, comparativ cu anul 2017, acestea au înregistrat o creștere cu 212,0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(8,0%) și, respectiv, </w:t>
      </w:r>
      <w:r w:rsidR="005365B6">
        <w:rPr>
          <w:rFonts w:asciiTheme="majorHAnsi" w:hAnsiTheme="majorHAnsi" w:cstheme="majorHAnsi"/>
          <w:sz w:val="24"/>
          <w:szCs w:val="24"/>
          <w:lang w:val="ro-MD"/>
        </w:rPr>
        <w:t>față de</w:t>
      </w:r>
      <w:r w:rsidR="000A36E6">
        <w:rPr>
          <w:rFonts w:asciiTheme="majorHAnsi" w:hAnsiTheme="majorHAnsi" w:cstheme="majorHAnsi"/>
          <w:sz w:val="24"/>
          <w:szCs w:val="24"/>
          <w:lang w:val="ro-MD"/>
        </w:rPr>
        <w:t xml:space="preserve"> anul 2016, cu 282,9 mil. </w:t>
      </w:r>
      <w:r w:rsidR="007160B9">
        <w:rPr>
          <w:rFonts w:asciiTheme="majorHAnsi" w:hAnsiTheme="majorHAnsi" w:cstheme="majorHAnsi"/>
          <w:sz w:val="24"/>
          <w:szCs w:val="24"/>
          <w:lang w:val="ro-MD"/>
        </w:rPr>
        <w:t>MDL</w:t>
      </w:r>
      <w:r w:rsidR="000A36E6">
        <w:rPr>
          <w:rFonts w:asciiTheme="majorHAnsi" w:hAnsiTheme="majorHAnsi" w:cstheme="majorHAnsi"/>
          <w:sz w:val="24"/>
          <w:szCs w:val="24"/>
          <w:lang w:val="ro-MD"/>
        </w:rPr>
        <w:t xml:space="preserve"> (11,0%).</w:t>
      </w:r>
      <w:r w:rsidR="00793C62">
        <w:rPr>
          <w:rFonts w:asciiTheme="majorHAnsi" w:hAnsiTheme="majorHAnsi" w:cstheme="majorHAnsi"/>
          <w:sz w:val="24"/>
          <w:szCs w:val="24"/>
          <w:lang w:val="ro-MD"/>
        </w:rPr>
        <w:t xml:space="preserve"> </w:t>
      </w:r>
    </w:p>
    <w:p w:rsidR="000A36E6" w:rsidRPr="003B041A" w:rsidRDefault="00771992" w:rsidP="003B041A">
      <w:pPr>
        <w:pStyle w:val="ListParagraph"/>
        <w:tabs>
          <w:tab w:val="left" w:pos="993"/>
        </w:tabs>
        <w:spacing w:after="0" w:line="276" w:lineRule="auto"/>
        <w:ind w:left="0" w:firstLine="709"/>
        <w:jc w:val="both"/>
        <w:rPr>
          <w:rFonts w:asciiTheme="majorHAnsi" w:eastAsia="Times New Roman" w:hAnsiTheme="majorHAnsi" w:cstheme="majorHAnsi"/>
          <w:color w:val="000000"/>
          <w:sz w:val="24"/>
          <w:szCs w:val="24"/>
          <w:lang w:eastAsia="ru-RU"/>
        </w:rPr>
      </w:pPr>
      <w:r>
        <w:rPr>
          <w:rFonts w:asciiTheme="majorHAnsi" w:hAnsiTheme="majorHAnsi" w:cstheme="majorHAnsi"/>
          <w:sz w:val="24"/>
          <w:szCs w:val="24"/>
        </w:rPr>
        <w:t>De</w:t>
      </w:r>
      <w:r w:rsidR="00C76E7B">
        <w:rPr>
          <w:rFonts w:asciiTheme="majorHAnsi" w:hAnsiTheme="majorHAnsi" w:cstheme="majorHAnsi"/>
          <w:sz w:val="24"/>
          <w:szCs w:val="24"/>
        </w:rPr>
        <w:t xml:space="preserve"> </w:t>
      </w:r>
      <w:r>
        <w:rPr>
          <w:rFonts w:asciiTheme="majorHAnsi" w:hAnsiTheme="majorHAnsi" w:cstheme="majorHAnsi"/>
          <w:sz w:val="24"/>
          <w:szCs w:val="24"/>
        </w:rPr>
        <w:t>asemenea</w:t>
      </w:r>
      <w:r w:rsidR="009D23A9">
        <w:rPr>
          <w:rFonts w:asciiTheme="majorHAnsi" w:hAnsiTheme="majorHAnsi" w:cstheme="majorHAnsi"/>
          <w:sz w:val="24"/>
          <w:szCs w:val="24"/>
        </w:rPr>
        <w:t>,</w:t>
      </w:r>
      <w:r>
        <w:rPr>
          <w:rFonts w:asciiTheme="majorHAnsi" w:hAnsiTheme="majorHAnsi" w:cstheme="majorHAnsi"/>
          <w:sz w:val="24"/>
          <w:szCs w:val="24"/>
        </w:rPr>
        <w:t xml:space="preserve"> a</w:t>
      </w:r>
      <w:r w:rsidR="0062435B" w:rsidRPr="00EA0B21">
        <w:rPr>
          <w:rFonts w:asciiTheme="majorHAnsi" w:hAnsiTheme="majorHAnsi" w:cstheme="majorHAnsi"/>
          <w:sz w:val="24"/>
          <w:szCs w:val="24"/>
        </w:rPr>
        <w:t>naliza auditului relevă că</w:t>
      </w:r>
      <w:r w:rsidR="009D23A9">
        <w:rPr>
          <w:rFonts w:asciiTheme="majorHAnsi" w:hAnsiTheme="majorHAnsi" w:cstheme="majorHAnsi"/>
          <w:sz w:val="24"/>
          <w:szCs w:val="24"/>
        </w:rPr>
        <w:t>,</w:t>
      </w:r>
      <w:r w:rsidR="0062435B" w:rsidRPr="00EA0B21">
        <w:rPr>
          <w:rFonts w:asciiTheme="majorHAnsi" w:hAnsiTheme="majorHAnsi" w:cstheme="majorHAnsi"/>
          <w:sz w:val="24"/>
          <w:szCs w:val="24"/>
        </w:rPr>
        <w:t xml:space="preserve"> </w:t>
      </w:r>
      <w:r>
        <w:rPr>
          <w:rFonts w:asciiTheme="majorHAnsi" w:hAnsiTheme="majorHAnsi" w:cstheme="majorHAnsi"/>
          <w:sz w:val="24"/>
          <w:szCs w:val="24"/>
        </w:rPr>
        <w:t>și restituirile</w:t>
      </w:r>
      <w:r w:rsidR="0062435B" w:rsidRPr="00EA0B21">
        <w:rPr>
          <w:rFonts w:asciiTheme="majorHAnsi" w:hAnsiTheme="majorHAnsi" w:cstheme="majorHAnsi"/>
          <w:sz w:val="24"/>
          <w:szCs w:val="24"/>
        </w:rPr>
        <w:t xml:space="preserve"> la accize </w:t>
      </w:r>
      <w:r w:rsidR="009D23A9">
        <w:rPr>
          <w:rFonts w:asciiTheme="majorHAnsi" w:hAnsiTheme="majorHAnsi" w:cstheme="majorHAnsi"/>
          <w:sz w:val="24"/>
          <w:szCs w:val="24"/>
        </w:rPr>
        <w:t>au</w:t>
      </w:r>
      <w:r w:rsidR="0062435B" w:rsidRPr="00EA0B21">
        <w:rPr>
          <w:rFonts w:asciiTheme="majorHAnsi" w:hAnsiTheme="majorHAnsi" w:cstheme="majorHAnsi"/>
          <w:sz w:val="24"/>
          <w:szCs w:val="24"/>
        </w:rPr>
        <w:t xml:space="preserve"> o tendință variabilă, fiind mai </w:t>
      </w:r>
      <w:r w:rsidR="00DF286E">
        <w:rPr>
          <w:rFonts w:asciiTheme="majorHAnsi" w:hAnsiTheme="majorHAnsi" w:cstheme="majorHAnsi"/>
          <w:sz w:val="24"/>
          <w:szCs w:val="24"/>
        </w:rPr>
        <w:t>mari</w:t>
      </w:r>
      <w:r w:rsidR="00DF286E" w:rsidRPr="00EA0B21">
        <w:rPr>
          <w:rFonts w:asciiTheme="majorHAnsi" w:hAnsiTheme="majorHAnsi" w:cstheme="majorHAnsi"/>
          <w:sz w:val="24"/>
          <w:szCs w:val="24"/>
        </w:rPr>
        <w:t xml:space="preserve"> </w:t>
      </w:r>
      <w:r w:rsidR="0062435B" w:rsidRPr="00EA0B21">
        <w:rPr>
          <w:rFonts w:asciiTheme="majorHAnsi" w:hAnsiTheme="majorHAnsi" w:cstheme="majorHAnsi"/>
          <w:sz w:val="24"/>
          <w:szCs w:val="24"/>
        </w:rPr>
        <w:t xml:space="preserve">cu </w:t>
      </w:r>
      <w:r w:rsidR="0062435B">
        <w:rPr>
          <w:rFonts w:asciiTheme="majorHAnsi" w:hAnsiTheme="majorHAnsi" w:cstheme="majorHAnsi"/>
          <w:sz w:val="24"/>
          <w:szCs w:val="24"/>
        </w:rPr>
        <w:t>7,4</w:t>
      </w:r>
      <w:r w:rsidR="0062435B" w:rsidRPr="00EA0B21">
        <w:rPr>
          <w:rFonts w:asciiTheme="majorHAnsi" w:hAnsiTheme="majorHAnsi" w:cstheme="majorHAnsi"/>
          <w:sz w:val="24"/>
          <w:szCs w:val="24"/>
        </w:rPr>
        <w:t xml:space="preserve"> mil.</w:t>
      </w:r>
      <w:r w:rsidR="000679DD">
        <w:rPr>
          <w:rFonts w:asciiTheme="majorHAnsi" w:hAnsiTheme="majorHAnsi" w:cstheme="majorHAnsi"/>
          <w:sz w:val="24"/>
          <w:szCs w:val="24"/>
        </w:rPr>
        <w:t xml:space="preserve"> </w:t>
      </w:r>
      <w:r w:rsidR="007160B9">
        <w:rPr>
          <w:rFonts w:asciiTheme="majorHAnsi" w:hAnsiTheme="majorHAnsi" w:cstheme="majorHAnsi"/>
          <w:sz w:val="24"/>
          <w:szCs w:val="24"/>
        </w:rPr>
        <w:t>MDL</w:t>
      </w:r>
      <w:r w:rsidR="00C76E7B">
        <w:rPr>
          <w:rFonts w:asciiTheme="majorHAnsi" w:hAnsiTheme="majorHAnsi" w:cstheme="majorHAnsi"/>
          <w:sz w:val="24"/>
          <w:szCs w:val="24"/>
        </w:rPr>
        <w:t>,</w:t>
      </w:r>
      <w:r w:rsidR="0062435B" w:rsidRPr="00EA0B21">
        <w:rPr>
          <w:rFonts w:asciiTheme="majorHAnsi" w:hAnsiTheme="majorHAnsi" w:cstheme="majorHAnsi"/>
          <w:sz w:val="24"/>
          <w:szCs w:val="24"/>
        </w:rPr>
        <w:t xml:space="preserve"> față de an</w:t>
      </w:r>
      <w:r w:rsidR="0062435B">
        <w:rPr>
          <w:rFonts w:asciiTheme="majorHAnsi" w:hAnsiTheme="majorHAnsi" w:cstheme="majorHAnsi"/>
          <w:sz w:val="24"/>
          <w:szCs w:val="24"/>
        </w:rPr>
        <w:t>ul 2017</w:t>
      </w:r>
      <w:r w:rsidR="00C76E7B">
        <w:rPr>
          <w:rFonts w:asciiTheme="majorHAnsi" w:hAnsiTheme="majorHAnsi" w:cstheme="majorHAnsi"/>
          <w:sz w:val="24"/>
          <w:szCs w:val="24"/>
        </w:rPr>
        <w:t>,</w:t>
      </w:r>
      <w:r w:rsidR="0062435B" w:rsidRPr="00EA0B21">
        <w:rPr>
          <w:rFonts w:asciiTheme="majorHAnsi" w:hAnsiTheme="majorHAnsi" w:cstheme="majorHAnsi"/>
          <w:sz w:val="24"/>
          <w:szCs w:val="24"/>
        </w:rPr>
        <w:t xml:space="preserve"> și cu </w:t>
      </w:r>
      <w:r w:rsidR="0062435B">
        <w:rPr>
          <w:rFonts w:asciiTheme="majorHAnsi" w:hAnsiTheme="majorHAnsi" w:cstheme="majorHAnsi"/>
          <w:sz w:val="24"/>
          <w:szCs w:val="24"/>
        </w:rPr>
        <w:t>53,0</w:t>
      </w:r>
      <w:r w:rsidR="0062435B" w:rsidRPr="00EA0B21">
        <w:rPr>
          <w:rFonts w:asciiTheme="majorHAnsi" w:hAnsiTheme="majorHAnsi" w:cstheme="majorHAnsi"/>
          <w:sz w:val="24"/>
          <w:szCs w:val="24"/>
        </w:rPr>
        <w:t xml:space="preserve">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00C76E7B">
        <w:rPr>
          <w:rFonts w:asciiTheme="majorHAnsi" w:hAnsiTheme="majorHAnsi" w:cstheme="majorHAnsi"/>
          <w:sz w:val="24"/>
          <w:szCs w:val="24"/>
        </w:rPr>
        <w:t>,</w:t>
      </w:r>
      <w:r w:rsidR="0062435B" w:rsidRPr="00EA0B21">
        <w:rPr>
          <w:rFonts w:asciiTheme="majorHAnsi" w:hAnsiTheme="majorHAnsi" w:cstheme="majorHAnsi"/>
          <w:sz w:val="24"/>
          <w:szCs w:val="24"/>
        </w:rPr>
        <w:t xml:space="preserve"> față de</w:t>
      </w:r>
      <w:r w:rsidR="0062435B">
        <w:rPr>
          <w:rFonts w:asciiTheme="majorHAnsi" w:hAnsiTheme="majorHAnsi" w:cstheme="majorHAnsi"/>
          <w:sz w:val="24"/>
          <w:szCs w:val="24"/>
        </w:rPr>
        <w:t xml:space="preserve"> anul 2016</w:t>
      </w:r>
      <w:r w:rsidR="0062435B" w:rsidRPr="00EA0B21">
        <w:rPr>
          <w:rFonts w:asciiTheme="majorHAnsi" w:hAnsiTheme="majorHAnsi" w:cstheme="majorHAnsi"/>
          <w:sz w:val="24"/>
          <w:szCs w:val="24"/>
        </w:rPr>
        <w:t xml:space="preserve">. </w:t>
      </w:r>
      <w:r w:rsidR="0062435B">
        <w:rPr>
          <w:rFonts w:asciiTheme="majorHAnsi" w:hAnsiTheme="majorHAnsi" w:cstheme="majorHAnsi"/>
          <w:sz w:val="24"/>
          <w:szCs w:val="24"/>
        </w:rPr>
        <w:t>Astfel, p</w:t>
      </w:r>
      <w:r w:rsidR="000A36E6" w:rsidRPr="00EA0B21">
        <w:rPr>
          <w:rFonts w:asciiTheme="majorHAnsi" w:hAnsiTheme="majorHAnsi" w:cstheme="majorHAnsi"/>
          <w:sz w:val="24"/>
          <w:szCs w:val="24"/>
        </w:rPr>
        <w:t xml:space="preserve">otrivit datelor raportate de MF, restituirea accizelor </w:t>
      </w:r>
      <w:r w:rsidR="000A36E6">
        <w:rPr>
          <w:rFonts w:asciiTheme="majorHAnsi" w:hAnsiTheme="majorHAnsi" w:cstheme="majorHAnsi"/>
          <w:sz w:val="24"/>
          <w:szCs w:val="24"/>
        </w:rPr>
        <w:t>în anul 2018</w:t>
      </w:r>
      <w:r w:rsidR="000A36E6" w:rsidRPr="00EA0B21">
        <w:rPr>
          <w:rFonts w:asciiTheme="majorHAnsi" w:hAnsiTheme="majorHAnsi" w:cstheme="majorHAnsi"/>
          <w:sz w:val="24"/>
          <w:szCs w:val="24"/>
        </w:rPr>
        <w:t xml:space="preserve"> a însumat </w:t>
      </w:r>
      <w:r w:rsidR="000A36E6">
        <w:rPr>
          <w:rFonts w:asciiTheme="majorHAnsi" w:hAnsiTheme="majorHAnsi" w:cstheme="majorHAnsi"/>
          <w:sz w:val="24"/>
          <w:szCs w:val="24"/>
        </w:rPr>
        <w:t>220,0</w:t>
      </w:r>
      <w:r w:rsidR="000A36E6" w:rsidRPr="00EA0B21">
        <w:rPr>
          <w:rFonts w:asciiTheme="majorHAnsi" w:hAnsiTheme="majorHAnsi" w:cstheme="majorHAnsi"/>
          <w:sz w:val="24"/>
          <w:szCs w:val="24"/>
        </w:rPr>
        <w:t xml:space="preserve"> mil.</w:t>
      </w:r>
      <w:r w:rsidR="000A36E6">
        <w:rPr>
          <w:rFonts w:asciiTheme="majorHAnsi" w:hAnsiTheme="majorHAnsi" w:cstheme="majorHAnsi"/>
          <w:sz w:val="24"/>
          <w:szCs w:val="24"/>
        </w:rPr>
        <w:t xml:space="preserve"> </w:t>
      </w:r>
      <w:r w:rsidR="007160B9">
        <w:rPr>
          <w:rFonts w:asciiTheme="majorHAnsi" w:hAnsiTheme="majorHAnsi" w:cstheme="majorHAnsi"/>
          <w:sz w:val="24"/>
          <w:szCs w:val="24"/>
        </w:rPr>
        <w:t>MDL</w:t>
      </w:r>
      <w:r w:rsidR="000A36E6" w:rsidRPr="00EA0B21">
        <w:rPr>
          <w:rFonts w:asciiTheme="majorHAnsi" w:hAnsiTheme="majorHAnsi" w:cstheme="majorHAnsi"/>
          <w:sz w:val="24"/>
          <w:szCs w:val="24"/>
        </w:rPr>
        <w:t xml:space="preserve">, sau cu </w:t>
      </w:r>
      <w:r w:rsidR="000A36E6">
        <w:rPr>
          <w:rFonts w:asciiTheme="majorHAnsi" w:hAnsiTheme="majorHAnsi" w:cstheme="majorHAnsi"/>
          <w:sz w:val="24"/>
          <w:szCs w:val="24"/>
        </w:rPr>
        <w:t xml:space="preserve">0,8 mil. </w:t>
      </w:r>
      <w:r w:rsidR="007160B9">
        <w:rPr>
          <w:rFonts w:asciiTheme="majorHAnsi" w:hAnsiTheme="majorHAnsi" w:cstheme="majorHAnsi"/>
          <w:sz w:val="24"/>
          <w:szCs w:val="24"/>
        </w:rPr>
        <w:t>MDL</w:t>
      </w:r>
      <w:r w:rsidR="000A36E6" w:rsidRPr="00EA0B21">
        <w:rPr>
          <w:rFonts w:asciiTheme="majorHAnsi" w:hAnsiTheme="majorHAnsi" w:cstheme="majorHAnsi"/>
          <w:sz w:val="24"/>
          <w:szCs w:val="24"/>
        </w:rPr>
        <w:t xml:space="preserve"> mai puțin decât limita precizată în buget</w:t>
      </w:r>
      <w:r w:rsidR="000A36E6">
        <w:rPr>
          <w:rFonts w:asciiTheme="majorHAnsi" w:hAnsiTheme="majorHAnsi" w:cstheme="majorHAnsi"/>
          <w:sz w:val="24"/>
          <w:szCs w:val="24"/>
        </w:rPr>
        <w:t xml:space="preserve"> și cu 13,4 mil. </w:t>
      </w:r>
      <w:r w:rsidR="007160B9">
        <w:rPr>
          <w:rFonts w:asciiTheme="majorHAnsi" w:hAnsiTheme="majorHAnsi" w:cstheme="majorHAnsi"/>
          <w:sz w:val="24"/>
          <w:szCs w:val="24"/>
        </w:rPr>
        <w:t>MDL</w:t>
      </w:r>
      <w:r w:rsidR="000A36E6">
        <w:rPr>
          <w:rFonts w:asciiTheme="majorHAnsi" w:hAnsiTheme="majorHAnsi" w:cstheme="majorHAnsi"/>
          <w:sz w:val="24"/>
          <w:szCs w:val="24"/>
        </w:rPr>
        <w:t xml:space="preserve"> (6,5%) mai mult decât limita aprobată</w:t>
      </w:r>
      <w:r w:rsidR="000A36E6" w:rsidRPr="00EA0B21">
        <w:rPr>
          <w:rFonts w:asciiTheme="majorHAnsi" w:hAnsiTheme="majorHAnsi" w:cstheme="majorHAnsi"/>
          <w:sz w:val="24"/>
          <w:szCs w:val="24"/>
        </w:rPr>
        <w:t xml:space="preserve">. </w:t>
      </w:r>
      <w:r w:rsidR="003B041A">
        <w:rPr>
          <w:rFonts w:asciiTheme="majorHAnsi" w:hAnsiTheme="majorHAnsi" w:cstheme="majorHAnsi"/>
          <w:sz w:val="24"/>
          <w:szCs w:val="24"/>
          <w:lang w:val="ro-MD"/>
        </w:rPr>
        <w:t xml:space="preserve">Totodată, se atestă că un document de plată pentru restituirea de accize în sumă de 14,0 mil. </w:t>
      </w:r>
      <w:r w:rsidR="007160B9">
        <w:rPr>
          <w:rFonts w:asciiTheme="majorHAnsi" w:hAnsiTheme="majorHAnsi" w:cstheme="majorHAnsi"/>
          <w:sz w:val="24"/>
          <w:szCs w:val="24"/>
          <w:lang w:val="ro-MD"/>
        </w:rPr>
        <w:t>MDL</w:t>
      </w:r>
      <w:r w:rsidR="003B041A">
        <w:rPr>
          <w:rFonts w:asciiTheme="majorHAnsi" w:hAnsiTheme="majorHAnsi" w:cstheme="majorHAnsi"/>
          <w:sz w:val="24"/>
          <w:szCs w:val="24"/>
          <w:lang w:val="ro-MD"/>
        </w:rPr>
        <w:t xml:space="preserve">, prezentat MF pentru achitare </w:t>
      </w:r>
      <w:r w:rsidR="008856E6">
        <w:rPr>
          <w:rFonts w:asciiTheme="majorHAnsi" w:hAnsiTheme="majorHAnsi" w:cstheme="majorHAnsi"/>
          <w:sz w:val="24"/>
          <w:szCs w:val="24"/>
          <w:lang w:val="ro-MD"/>
        </w:rPr>
        <w:t>la</w:t>
      </w:r>
      <w:r w:rsidR="003B041A">
        <w:rPr>
          <w:rFonts w:asciiTheme="majorHAnsi" w:hAnsiTheme="majorHAnsi" w:cstheme="majorHAnsi"/>
          <w:sz w:val="24"/>
          <w:szCs w:val="24"/>
          <w:lang w:val="ro-MD"/>
        </w:rPr>
        <w:t xml:space="preserve"> data de 27.12.2018, nu a fost executat/achitat contribuabilului din </w:t>
      </w:r>
      <w:r w:rsidR="00DF286E">
        <w:rPr>
          <w:rFonts w:asciiTheme="majorHAnsi" w:hAnsiTheme="majorHAnsi" w:cstheme="majorHAnsi"/>
          <w:sz w:val="24"/>
          <w:szCs w:val="24"/>
          <w:lang w:val="ro-MD"/>
        </w:rPr>
        <w:t xml:space="preserve">cauza </w:t>
      </w:r>
      <w:r w:rsidR="003B041A">
        <w:rPr>
          <w:rFonts w:asciiTheme="majorHAnsi" w:hAnsiTheme="majorHAnsi" w:cstheme="majorHAnsi"/>
          <w:sz w:val="24"/>
          <w:szCs w:val="24"/>
          <w:lang w:val="ro-MD"/>
        </w:rPr>
        <w:t xml:space="preserve">lipsei de </w:t>
      </w:r>
      <w:r w:rsidR="008B4A21">
        <w:rPr>
          <w:rFonts w:asciiTheme="majorHAnsi" w:hAnsiTheme="majorHAnsi" w:cstheme="majorHAnsi"/>
          <w:sz w:val="24"/>
          <w:szCs w:val="24"/>
          <w:lang w:val="ro-MD"/>
        </w:rPr>
        <w:t>alocații planificate</w:t>
      </w:r>
      <w:r w:rsidR="003B041A">
        <w:rPr>
          <w:rFonts w:asciiTheme="majorHAnsi" w:hAnsiTheme="majorHAnsi" w:cstheme="majorHAnsi"/>
          <w:sz w:val="24"/>
          <w:szCs w:val="24"/>
          <w:lang w:val="ro-MD"/>
        </w:rPr>
        <w:t xml:space="preserve"> necesare executării.</w:t>
      </w:r>
    </w:p>
    <w:p w:rsidR="00D77C3A" w:rsidRPr="009E3334" w:rsidRDefault="000A36E6" w:rsidP="009E3334">
      <w:pPr>
        <w:spacing w:after="0" w:line="276" w:lineRule="auto"/>
        <w:ind w:firstLine="709"/>
        <w:jc w:val="both"/>
        <w:rPr>
          <w:rFonts w:asciiTheme="majorHAnsi" w:eastAsia="Times New Roman" w:hAnsiTheme="majorHAnsi" w:cstheme="majorHAnsi"/>
          <w:color w:val="000000"/>
          <w:sz w:val="24"/>
          <w:szCs w:val="24"/>
          <w:lang w:eastAsia="ru-RU"/>
        </w:rPr>
      </w:pPr>
      <w:r>
        <w:rPr>
          <w:rFonts w:asciiTheme="majorHAnsi" w:hAnsiTheme="majorHAnsi" w:cstheme="majorHAnsi"/>
          <w:sz w:val="24"/>
          <w:szCs w:val="24"/>
        </w:rPr>
        <w:t>Conform datelor raportate de MF, în anul 2018 din BS au fost efectuate restituiri ale impozitului pe venitul persoanelor fizice</w:t>
      </w:r>
      <w:r w:rsidR="00DF286E">
        <w:rPr>
          <w:rFonts w:asciiTheme="majorHAnsi" w:hAnsiTheme="majorHAnsi" w:cstheme="majorHAnsi"/>
          <w:sz w:val="24"/>
          <w:szCs w:val="24"/>
        </w:rPr>
        <w:t>,</w:t>
      </w:r>
      <w:r>
        <w:rPr>
          <w:rFonts w:asciiTheme="majorHAnsi" w:hAnsiTheme="majorHAnsi" w:cstheme="majorHAnsi"/>
          <w:sz w:val="24"/>
          <w:szCs w:val="24"/>
        </w:rPr>
        <w:t xml:space="preserve"> potrivit declarațiilor prezentate</w:t>
      </w:r>
      <w:r w:rsidR="00DF286E">
        <w:rPr>
          <w:rFonts w:asciiTheme="majorHAnsi" w:hAnsiTheme="majorHAnsi" w:cstheme="majorHAnsi"/>
          <w:sz w:val="24"/>
          <w:szCs w:val="24"/>
        </w:rPr>
        <w:t>,</w:t>
      </w:r>
      <w:r>
        <w:rPr>
          <w:rFonts w:asciiTheme="majorHAnsi" w:hAnsiTheme="majorHAnsi" w:cstheme="majorHAnsi"/>
          <w:sz w:val="24"/>
          <w:szCs w:val="24"/>
        </w:rPr>
        <w:t xml:space="preserve"> în sumă totală de 54,9 mil. </w:t>
      </w:r>
      <w:r w:rsidR="007160B9">
        <w:rPr>
          <w:rFonts w:asciiTheme="majorHAnsi" w:hAnsiTheme="majorHAnsi" w:cstheme="majorHAnsi"/>
          <w:sz w:val="24"/>
          <w:szCs w:val="24"/>
        </w:rPr>
        <w:t>MDL</w:t>
      </w:r>
      <w:r w:rsidR="00C76E7B">
        <w:rPr>
          <w:rFonts w:asciiTheme="majorHAnsi" w:hAnsiTheme="majorHAnsi" w:cstheme="majorHAnsi"/>
          <w:sz w:val="24"/>
          <w:szCs w:val="24"/>
        </w:rPr>
        <w:t>,</w:t>
      </w:r>
      <w:r>
        <w:rPr>
          <w:rFonts w:asciiTheme="majorHAnsi" w:hAnsiTheme="majorHAnsi" w:cstheme="majorHAnsi"/>
          <w:sz w:val="24"/>
          <w:szCs w:val="24"/>
        </w:rPr>
        <w:t xml:space="preserve"> sau cu 5,9 mil. </w:t>
      </w:r>
      <w:r w:rsidR="007160B9">
        <w:rPr>
          <w:rFonts w:asciiTheme="majorHAnsi" w:hAnsiTheme="majorHAnsi" w:cstheme="majorHAnsi"/>
          <w:sz w:val="24"/>
          <w:szCs w:val="24"/>
        </w:rPr>
        <w:t>MDL</w:t>
      </w:r>
      <w:r>
        <w:rPr>
          <w:rFonts w:asciiTheme="majorHAnsi" w:hAnsiTheme="majorHAnsi" w:cstheme="majorHAnsi"/>
          <w:sz w:val="24"/>
          <w:szCs w:val="24"/>
        </w:rPr>
        <w:t xml:space="preserve"> (12,0%) mai mult decât limita aprobată în buget</w:t>
      </w:r>
      <w:r w:rsidR="00FE4AF1">
        <w:rPr>
          <w:rFonts w:asciiTheme="majorHAnsi" w:hAnsiTheme="majorHAnsi" w:cstheme="majorHAnsi"/>
          <w:sz w:val="24"/>
          <w:szCs w:val="24"/>
        </w:rPr>
        <w:t>, dar în limita precizată</w:t>
      </w:r>
      <w:r>
        <w:rPr>
          <w:rFonts w:asciiTheme="majorHAnsi" w:hAnsiTheme="majorHAnsi" w:cstheme="majorHAnsi"/>
          <w:sz w:val="24"/>
          <w:szCs w:val="24"/>
        </w:rPr>
        <w:t xml:space="preserve">. Totodată, </w:t>
      </w:r>
      <w:r w:rsidRPr="0023628B">
        <w:rPr>
          <w:rFonts w:asciiTheme="majorHAnsi" w:eastAsia="Times New Roman" w:hAnsiTheme="majorHAnsi" w:cstheme="majorHAnsi"/>
          <w:color w:val="000000"/>
          <w:sz w:val="24"/>
          <w:szCs w:val="24"/>
          <w:lang w:eastAsia="ru-RU"/>
        </w:rPr>
        <w:t xml:space="preserve">sumele </w:t>
      </w:r>
      <w:r w:rsidR="00C76E7B" w:rsidRPr="0023628B">
        <w:rPr>
          <w:rFonts w:asciiTheme="majorHAnsi" w:eastAsia="Times New Roman" w:hAnsiTheme="majorHAnsi" w:cstheme="majorHAnsi"/>
          <w:color w:val="000000"/>
          <w:sz w:val="24"/>
          <w:szCs w:val="24"/>
          <w:lang w:eastAsia="ru-RU"/>
        </w:rPr>
        <w:t>calculate</w:t>
      </w:r>
      <w:r w:rsidRPr="0023628B">
        <w:rPr>
          <w:rFonts w:asciiTheme="majorHAnsi" w:eastAsia="Times New Roman" w:hAnsiTheme="majorHAnsi" w:cstheme="majorHAnsi"/>
          <w:color w:val="000000"/>
          <w:sz w:val="24"/>
          <w:szCs w:val="24"/>
          <w:lang w:eastAsia="ru-RU"/>
        </w:rPr>
        <w:t xml:space="preserve"> procentual</w:t>
      </w:r>
      <w:r w:rsidRPr="00F77CCC">
        <w:rPr>
          <w:rFonts w:asciiTheme="majorHAnsi" w:eastAsia="Times New Roman" w:hAnsiTheme="majorHAnsi" w:cstheme="majorHAnsi"/>
          <w:color w:val="000000"/>
          <w:sz w:val="24"/>
          <w:szCs w:val="24"/>
          <w:lang w:eastAsia="ru-RU"/>
        </w:rPr>
        <w:t xml:space="preserve"> din impozit</w:t>
      </w:r>
      <w:r w:rsidR="00803EF4">
        <w:rPr>
          <w:rFonts w:asciiTheme="majorHAnsi" w:eastAsia="Times New Roman" w:hAnsiTheme="majorHAnsi" w:cstheme="majorHAnsi"/>
          <w:color w:val="000000"/>
          <w:sz w:val="24"/>
          <w:szCs w:val="24"/>
          <w:lang w:eastAsia="ru-RU"/>
        </w:rPr>
        <w:t>ul</w:t>
      </w:r>
      <w:r w:rsidRPr="00F77CCC">
        <w:rPr>
          <w:rFonts w:asciiTheme="majorHAnsi" w:eastAsia="Times New Roman" w:hAnsiTheme="majorHAnsi" w:cstheme="majorHAnsi"/>
          <w:color w:val="000000"/>
          <w:sz w:val="24"/>
          <w:szCs w:val="24"/>
          <w:lang w:eastAsia="ru-RU"/>
        </w:rPr>
        <w:t xml:space="preserve"> pe venitul persoanelor fizice</w:t>
      </w:r>
      <w:r w:rsidR="00DF286E">
        <w:rPr>
          <w:rFonts w:asciiTheme="majorHAnsi" w:eastAsia="Times New Roman" w:hAnsiTheme="majorHAnsi" w:cstheme="majorHAnsi"/>
          <w:color w:val="000000"/>
          <w:sz w:val="24"/>
          <w:szCs w:val="24"/>
          <w:lang w:eastAsia="ru-RU"/>
        </w:rPr>
        <w:t>,</w:t>
      </w:r>
      <w:r w:rsidRPr="00F77CCC">
        <w:rPr>
          <w:rFonts w:asciiTheme="majorHAnsi" w:eastAsia="Times New Roman" w:hAnsiTheme="majorHAnsi" w:cstheme="majorHAnsi"/>
          <w:color w:val="000000"/>
          <w:sz w:val="24"/>
          <w:szCs w:val="24"/>
          <w:lang w:eastAsia="ru-RU"/>
        </w:rPr>
        <w:t xml:space="preserve"> conform art.15</w:t>
      </w:r>
      <w:r w:rsidRPr="00F77CCC">
        <w:rPr>
          <w:rFonts w:asciiTheme="majorHAnsi" w:eastAsia="Times New Roman" w:hAnsiTheme="majorHAnsi" w:cstheme="majorHAnsi"/>
          <w:color w:val="000000"/>
          <w:sz w:val="24"/>
          <w:szCs w:val="24"/>
          <w:vertAlign w:val="superscript"/>
          <w:lang w:eastAsia="ru-RU"/>
        </w:rPr>
        <w:t xml:space="preserve">2 </w:t>
      </w:r>
      <w:r w:rsidRPr="00F77CCC">
        <w:rPr>
          <w:rFonts w:asciiTheme="majorHAnsi" w:eastAsia="Times New Roman" w:hAnsiTheme="majorHAnsi" w:cstheme="majorHAnsi"/>
          <w:color w:val="000000"/>
          <w:sz w:val="24"/>
          <w:szCs w:val="24"/>
          <w:lang w:eastAsia="ru-RU"/>
        </w:rPr>
        <w:t xml:space="preserve">din Codul </w:t>
      </w:r>
      <w:r w:rsidR="00C76E7B">
        <w:rPr>
          <w:rFonts w:asciiTheme="majorHAnsi" w:eastAsia="Times New Roman" w:hAnsiTheme="majorHAnsi" w:cstheme="majorHAnsi"/>
          <w:color w:val="000000"/>
          <w:sz w:val="24"/>
          <w:szCs w:val="24"/>
          <w:lang w:eastAsia="ru-RU"/>
        </w:rPr>
        <w:t>f</w:t>
      </w:r>
      <w:r w:rsidRPr="00F77CCC">
        <w:rPr>
          <w:rFonts w:asciiTheme="majorHAnsi" w:eastAsia="Times New Roman" w:hAnsiTheme="majorHAnsi" w:cstheme="majorHAnsi"/>
          <w:color w:val="000000"/>
          <w:sz w:val="24"/>
          <w:szCs w:val="24"/>
          <w:lang w:eastAsia="ru-RU"/>
        </w:rPr>
        <w:t>iscal (2% d</w:t>
      </w:r>
      <w:r>
        <w:rPr>
          <w:rFonts w:asciiTheme="majorHAnsi" w:eastAsia="Times New Roman" w:hAnsiTheme="majorHAnsi" w:cstheme="majorHAnsi"/>
          <w:color w:val="000000"/>
          <w:sz w:val="24"/>
          <w:szCs w:val="24"/>
          <w:lang w:eastAsia="ru-RU"/>
        </w:rPr>
        <w:t>in impozitul pe venit achitat)</w:t>
      </w:r>
      <w:r w:rsidR="00DF286E">
        <w:rPr>
          <w:rFonts w:asciiTheme="majorHAnsi" w:eastAsia="Times New Roman" w:hAnsiTheme="majorHAnsi" w:cstheme="majorHAnsi"/>
          <w:color w:val="000000"/>
          <w:sz w:val="24"/>
          <w:szCs w:val="24"/>
          <w:lang w:eastAsia="ru-RU"/>
        </w:rPr>
        <w:t>,</w:t>
      </w:r>
      <w:r>
        <w:rPr>
          <w:rFonts w:asciiTheme="majorHAnsi" w:eastAsia="Times New Roman" w:hAnsiTheme="majorHAnsi" w:cstheme="majorHAnsi"/>
          <w:color w:val="000000"/>
          <w:sz w:val="24"/>
          <w:szCs w:val="24"/>
          <w:lang w:eastAsia="ru-RU"/>
        </w:rPr>
        <w:t xml:space="preserve"> au constituit</w:t>
      </w:r>
      <w:r w:rsidRPr="00F77CCC">
        <w:rPr>
          <w:rFonts w:asciiTheme="majorHAnsi" w:eastAsia="Times New Roman" w:hAnsiTheme="majorHAnsi" w:cstheme="majorHAnsi"/>
          <w:color w:val="000000"/>
          <w:sz w:val="24"/>
          <w:szCs w:val="24"/>
          <w:lang w:eastAsia="ru-RU"/>
        </w:rPr>
        <w:t xml:space="preserve"> 5,6 mil.</w:t>
      </w:r>
      <w:r>
        <w:rPr>
          <w:rFonts w:asciiTheme="majorHAnsi" w:eastAsia="Times New Roman" w:hAnsiTheme="majorHAnsi" w:cstheme="majorHAnsi"/>
          <w:color w:val="000000"/>
          <w:sz w:val="24"/>
          <w:szCs w:val="24"/>
          <w:lang w:eastAsia="ru-RU"/>
        </w:rPr>
        <w:t xml:space="preserve"> </w:t>
      </w:r>
      <w:r w:rsidR="007160B9">
        <w:rPr>
          <w:rFonts w:asciiTheme="majorHAnsi" w:eastAsia="Times New Roman" w:hAnsiTheme="majorHAnsi" w:cstheme="majorHAnsi"/>
          <w:color w:val="000000"/>
          <w:sz w:val="24"/>
          <w:szCs w:val="24"/>
          <w:lang w:eastAsia="ru-RU"/>
        </w:rPr>
        <w:t>MDL</w:t>
      </w:r>
      <w:r w:rsidRPr="00F77CCC">
        <w:rPr>
          <w:rFonts w:asciiTheme="majorHAnsi" w:eastAsia="Times New Roman" w:hAnsiTheme="majorHAnsi" w:cstheme="majorHAnsi"/>
          <w:color w:val="000000"/>
          <w:sz w:val="24"/>
          <w:szCs w:val="24"/>
          <w:lang w:eastAsia="ru-RU"/>
        </w:rPr>
        <w:t xml:space="preserve">, </w:t>
      </w:r>
      <w:r>
        <w:rPr>
          <w:rFonts w:asciiTheme="majorHAnsi" w:eastAsia="Times New Roman" w:hAnsiTheme="majorHAnsi" w:cstheme="majorHAnsi"/>
          <w:color w:val="000000"/>
          <w:sz w:val="24"/>
          <w:szCs w:val="24"/>
          <w:lang w:eastAsia="ru-RU"/>
        </w:rPr>
        <w:t xml:space="preserve">sau cu 2,8 mil. </w:t>
      </w:r>
      <w:r w:rsidR="007160B9">
        <w:rPr>
          <w:rFonts w:asciiTheme="majorHAnsi" w:eastAsia="Times New Roman" w:hAnsiTheme="majorHAnsi" w:cstheme="majorHAnsi"/>
          <w:color w:val="000000"/>
          <w:sz w:val="24"/>
          <w:szCs w:val="24"/>
          <w:lang w:eastAsia="ru-RU"/>
        </w:rPr>
        <w:t>MDL</w:t>
      </w:r>
      <w:r>
        <w:rPr>
          <w:rFonts w:asciiTheme="majorHAnsi" w:eastAsia="Times New Roman" w:hAnsiTheme="majorHAnsi" w:cstheme="majorHAnsi"/>
          <w:color w:val="000000"/>
          <w:sz w:val="24"/>
          <w:szCs w:val="24"/>
          <w:lang w:eastAsia="ru-RU"/>
        </w:rPr>
        <w:t xml:space="preserve"> (50,0%) mai mult</w:t>
      </w:r>
      <w:r w:rsidRPr="00F77CCC">
        <w:rPr>
          <w:rFonts w:asciiTheme="majorHAnsi" w:eastAsia="Times New Roman" w:hAnsiTheme="majorHAnsi" w:cstheme="majorHAnsi"/>
          <w:color w:val="000000"/>
          <w:sz w:val="24"/>
          <w:szCs w:val="24"/>
          <w:lang w:eastAsia="ru-RU"/>
        </w:rPr>
        <w:t xml:space="preserve"> </w:t>
      </w:r>
      <w:r>
        <w:rPr>
          <w:rFonts w:asciiTheme="majorHAnsi" w:eastAsia="Times New Roman" w:hAnsiTheme="majorHAnsi" w:cstheme="majorHAnsi"/>
          <w:color w:val="000000"/>
          <w:sz w:val="24"/>
          <w:szCs w:val="24"/>
          <w:lang w:eastAsia="ru-RU"/>
        </w:rPr>
        <w:t>față de anul 2017.</w:t>
      </w:r>
    </w:p>
    <w:p w:rsidR="00D77C3A" w:rsidRPr="00F834CB" w:rsidRDefault="009E3334" w:rsidP="00F834CB">
      <w:pPr>
        <w:pStyle w:val="ListParagraph"/>
        <w:numPr>
          <w:ilvl w:val="0"/>
          <w:numId w:val="19"/>
        </w:numPr>
        <w:tabs>
          <w:tab w:val="left" w:pos="360"/>
        </w:tabs>
        <w:spacing w:after="0" w:line="276" w:lineRule="auto"/>
        <w:ind w:left="0" w:firstLine="0"/>
        <w:jc w:val="both"/>
        <w:rPr>
          <w:rFonts w:asciiTheme="majorHAnsi" w:eastAsia="Times New Roman" w:hAnsiTheme="majorHAnsi" w:cstheme="majorHAnsi"/>
          <w:b/>
          <w:i/>
          <w:color w:val="000000"/>
          <w:sz w:val="24"/>
          <w:szCs w:val="24"/>
          <w:lang w:eastAsia="ru-RU"/>
        </w:rPr>
      </w:pPr>
      <w:r w:rsidRPr="00F834CB">
        <w:rPr>
          <w:rFonts w:asciiTheme="majorHAnsi" w:eastAsia="Times New Roman" w:hAnsiTheme="majorHAnsi" w:cstheme="majorHAnsi"/>
          <w:b/>
          <w:i/>
          <w:color w:val="000000"/>
          <w:sz w:val="24"/>
          <w:szCs w:val="24"/>
          <w:lang w:eastAsia="ru-RU"/>
        </w:rPr>
        <w:t>N</w:t>
      </w:r>
      <w:r w:rsidRPr="00F834CB">
        <w:rPr>
          <w:rFonts w:asciiTheme="majorHAnsi" w:hAnsiTheme="majorHAnsi" w:cstheme="majorHAnsi"/>
          <w:b/>
          <w:i/>
          <w:sz w:val="24"/>
          <w:szCs w:val="24"/>
        </w:rPr>
        <w:t xml:space="preserve">econfirmarea </w:t>
      </w:r>
      <w:r w:rsidRPr="00061E10">
        <w:rPr>
          <w:rFonts w:asciiTheme="majorHAnsi" w:hAnsiTheme="majorHAnsi" w:cstheme="majorHAnsi"/>
          <w:b/>
          <w:i/>
          <w:sz w:val="24"/>
          <w:szCs w:val="24"/>
        </w:rPr>
        <w:t xml:space="preserve">unor </w:t>
      </w:r>
      <w:r w:rsidR="00061E10">
        <w:rPr>
          <w:rFonts w:asciiTheme="majorHAnsi" w:hAnsiTheme="majorHAnsi" w:cstheme="majorHAnsi"/>
          <w:b/>
          <w:i/>
          <w:sz w:val="24"/>
          <w:szCs w:val="24"/>
        </w:rPr>
        <w:t>venituri (1,0</w:t>
      </w:r>
      <w:r w:rsidRPr="00061E10">
        <w:rPr>
          <w:rFonts w:asciiTheme="majorHAnsi" w:hAnsiTheme="majorHAnsi" w:cstheme="majorHAnsi"/>
          <w:b/>
          <w:i/>
          <w:sz w:val="24"/>
          <w:szCs w:val="24"/>
        </w:rPr>
        <w:t xml:space="preserve">%) </w:t>
      </w:r>
      <w:r w:rsidR="007A4165" w:rsidRPr="00061E10">
        <w:rPr>
          <w:rFonts w:asciiTheme="majorHAnsi" w:hAnsiTheme="majorHAnsi" w:cstheme="majorHAnsi"/>
          <w:b/>
          <w:i/>
          <w:sz w:val="24"/>
          <w:szCs w:val="24"/>
        </w:rPr>
        <w:t xml:space="preserve">raportate </w:t>
      </w:r>
      <w:r w:rsidRPr="00061E10">
        <w:rPr>
          <w:rFonts w:asciiTheme="majorHAnsi" w:hAnsiTheme="majorHAnsi" w:cstheme="majorHAnsi"/>
          <w:b/>
          <w:i/>
          <w:sz w:val="24"/>
          <w:szCs w:val="24"/>
        </w:rPr>
        <w:t>de</w:t>
      </w:r>
      <w:r w:rsidRPr="00F834CB">
        <w:rPr>
          <w:rFonts w:asciiTheme="majorHAnsi" w:hAnsiTheme="majorHAnsi" w:cstheme="majorHAnsi"/>
          <w:b/>
          <w:i/>
          <w:sz w:val="24"/>
          <w:szCs w:val="24"/>
        </w:rPr>
        <w:t xml:space="preserve"> către ad</w:t>
      </w:r>
      <w:r w:rsidR="00502D3C" w:rsidRPr="00F834CB">
        <w:rPr>
          <w:rFonts w:asciiTheme="majorHAnsi" w:hAnsiTheme="majorHAnsi" w:cstheme="majorHAnsi"/>
          <w:b/>
          <w:i/>
          <w:sz w:val="24"/>
          <w:szCs w:val="24"/>
        </w:rPr>
        <w:t xml:space="preserve">ministratorii </w:t>
      </w:r>
      <w:r w:rsidR="004707DF" w:rsidRPr="00F834CB">
        <w:rPr>
          <w:rFonts w:asciiTheme="majorHAnsi" w:hAnsiTheme="majorHAnsi" w:cstheme="majorHAnsi"/>
          <w:b/>
          <w:i/>
          <w:sz w:val="24"/>
          <w:szCs w:val="24"/>
        </w:rPr>
        <w:t>veniturilor</w:t>
      </w:r>
      <w:r w:rsidRPr="00F834CB">
        <w:rPr>
          <w:rFonts w:asciiTheme="majorHAnsi" w:hAnsiTheme="majorHAnsi" w:cstheme="majorHAnsi"/>
          <w:b/>
          <w:i/>
          <w:sz w:val="24"/>
          <w:szCs w:val="24"/>
        </w:rPr>
        <w:t xml:space="preserve"> publice.</w:t>
      </w:r>
    </w:p>
    <w:p w:rsidR="00171648" w:rsidRDefault="00322644" w:rsidP="00171648">
      <w:pPr>
        <w:spacing w:after="0" w:line="276" w:lineRule="auto"/>
        <w:ind w:firstLine="709"/>
        <w:jc w:val="both"/>
        <w:rPr>
          <w:rFonts w:asciiTheme="majorHAnsi" w:eastAsia="Times New Roman" w:hAnsiTheme="majorHAnsi" w:cstheme="majorHAnsi"/>
          <w:sz w:val="24"/>
          <w:szCs w:val="24"/>
          <w:lang w:val="ro-MD"/>
        </w:rPr>
      </w:pPr>
      <w:r>
        <w:rPr>
          <w:rFonts w:asciiTheme="majorHAnsi" w:hAnsiTheme="majorHAnsi" w:cstheme="majorHAnsi"/>
          <w:sz w:val="24"/>
          <w:szCs w:val="24"/>
        </w:rPr>
        <w:t>P</w:t>
      </w:r>
      <w:r w:rsidR="00171648" w:rsidRPr="00D137BA">
        <w:rPr>
          <w:rFonts w:asciiTheme="majorHAnsi" w:hAnsiTheme="majorHAnsi" w:cstheme="majorHAnsi"/>
          <w:sz w:val="24"/>
          <w:szCs w:val="24"/>
        </w:rPr>
        <w:t>otrivit cadrului legal</w:t>
      </w:r>
      <w:r w:rsidR="00171648" w:rsidRPr="00D137BA">
        <w:rPr>
          <w:rFonts w:asciiTheme="majorHAnsi" w:eastAsia="Times New Roman" w:hAnsiTheme="majorHAnsi" w:cstheme="majorHAnsi"/>
          <w:sz w:val="24"/>
          <w:szCs w:val="24"/>
          <w:vertAlign w:val="superscript"/>
          <w:lang w:val="ro-MD"/>
        </w:rPr>
        <w:footnoteReference w:id="20"/>
      </w:r>
      <w:r w:rsidR="00171648" w:rsidRPr="00D137BA">
        <w:rPr>
          <w:rFonts w:asciiTheme="majorHAnsi" w:hAnsiTheme="majorHAnsi" w:cstheme="majorHAnsi"/>
          <w:sz w:val="24"/>
          <w:szCs w:val="24"/>
        </w:rPr>
        <w:t xml:space="preserve">, </w:t>
      </w:r>
      <w:r w:rsidR="00171648" w:rsidRPr="00D137BA">
        <w:rPr>
          <w:rFonts w:asciiTheme="majorHAnsi" w:eastAsia="Times New Roman" w:hAnsiTheme="majorHAnsi" w:cstheme="majorHAnsi"/>
          <w:i/>
          <w:iCs/>
          <w:sz w:val="24"/>
          <w:szCs w:val="24"/>
          <w:lang w:val="ro-MD"/>
        </w:rPr>
        <w:t xml:space="preserve">administratorul de venituri este </w:t>
      </w:r>
      <w:r w:rsidR="00171648" w:rsidRPr="00D137BA">
        <w:rPr>
          <w:rFonts w:asciiTheme="majorHAnsi" w:eastAsia="Times New Roman" w:hAnsiTheme="majorHAnsi" w:cstheme="majorHAnsi"/>
          <w:sz w:val="24"/>
          <w:szCs w:val="24"/>
          <w:lang w:val="ro-MD"/>
        </w:rPr>
        <w:t>autoritatea/instituția bugetară împute</w:t>
      </w:r>
      <w:r w:rsidR="00171648">
        <w:rPr>
          <w:rFonts w:asciiTheme="majorHAnsi" w:eastAsia="Times New Roman" w:hAnsiTheme="majorHAnsi" w:cstheme="majorHAnsi"/>
          <w:sz w:val="24"/>
          <w:szCs w:val="24"/>
          <w:lang w:val="ro-MD"/>
        </w:rPr>
        <w:t xml:space="preserve">rnicită cu dreptul de colectare, restituire, </w:t>
      </w:r>
      <w:r w:rsidR="00171648" w:rsidRPr="00D137BA">
        <w:rPr>
          <w:rFonts w:asciiTheme="majorHAnsi" w:eastAsia="Times New Roman" w:hAnsiTheme="majorHAnsi" w:cstheme="majorHAnsi"/>
          <w:sz w:val="24"/>
          <w:szCs w:val="24"/>
          <w:lang w:val="ro-MD"/>
        </w:rPr>
        <w:t xml:space="preserve">evidență și control al încasărilor la bugetele componente ale BPN și care poartă responsabilitate pentru corectitudinea calculării și încasării acestora și doar în cazul în care legislația nu prevede autoritatea responsabilă de administrarea anumitor venituri bugetare, MF desemnează administratorii veniturilor bugetare respective. </w:t>
      </w:r>
    </w:p>
    <w:p w:rsidR="009E539E" w:rsidRPr="00177D9F" w:rsidRDefault="00171648" w:rsidP="00177D9F">
      <w:pPr>
        <w:spacing w:after="0" w:line="276" w:lineRule="auto"/>
        <w:ind w:firstLine="709"/>
        <w:jc w:val="both"/>
        <w:rPr>
          <w:rFonts w:asciiTheme="majorHAnsi" w:hAnsiTheme="majorHAnsi" w:cstheme="majorHAnsi"/>
          <w:i/>
          <w:sz w:val="24"/>
          <w:szCs w:val="24"/>
        </w:rPr>
      </w:pPr>
      <w:r w:rsidRPr="006D37E1">
        <w:rPr>
          <w:rFonts w:asciiTheme="majorHAnsi" w:hAnsiTheme="majorHAnsi" w:cstheme="majorHAnsi"/>
          <w:sz w:val="24"/>
          <w:szCs w:val="24"/>
        </w:rPr>
        <w:t xml:space="preserve">Examinările auditului </w:t>
      </w:r>
      <w:r w:rsidR="003E62CA" w:rsidRPr="006D37E1">
        <w:rPr>
          <w:rFonts w:asciiTheme="majorHAnsi" w:hAnsiTheme="majorHAnsi" w:cstheme="majorHAnsi"/>
          <w:sz w:val="24"/>
          <w:szCs w:val="24"/>
        </w:rPr>
        <w:t>relevă</w:t>
      </w:r>
      <w:r w:rsidRPr="006D37E1">
        <w:rPr>
          <w:rFonts w:asciiTheme="majorHAnsi" w:hAnsiTheme="majorHAnsi" w:cstheme="majorHAnsi"/>
          <w:sz w:val="24"/>
          <w:szCs w:val="24"/>
        </w:rPr>
        <w:t xml:space="preserve"> că </w:t>
      </w:r>
      <w:r w:rsidRPr="006D37E1">
        <w:rPr>
          <w:rFonts w:asciiTheme="majorHAnsi" w:eastAsia="Times New Roman" w:hAnsiTheme="majorHAnsi" w:cstheme="majorHAnsi"/>
          <w:sz w:val="24"/>
          <w:szCs w:val="24"/>
          <w:lang w:val="ro-MD"/>
        </w:rPr>
        <w:t>MF s-a desemnat ca administrator de venituri</w:t>
      </w:r>
      <w:r w:rsidRPr="006D37E1">
        <w:rPr>
          <w:rStyle w:val="FootnoteReference"/>
          <w:rFonts w:asciiTheme="majorHAnsi" w:hAnsiTheme="majorHAnsi" w:cstheme="majorHAnsi"/>
          <w:sz w:val="24"/>
          <w:szCs w:val="24"/>
        </w:rPr>
        <w:footnoteReference w:id="21"/>
      </w:r>
      <w:r w:rsidR="006D37E1">
        <w:rPr>
          <w:rFonts w:asciiTheme="majorHAnsi" w:hAnsiTheme="majorHAnsi" w:cstheme="majorHAnsi"/>
          <w:sz w:val="24"/>
          <w:szCs w:val="24"/>
        </w:rPr>
        <w:t xml:space="preserve"> la 9</w:t>
      </w:r>
      <w:r w:rsidRPr="006D37E1">
        <w:rPr>
          <w:rFonts w:asciiTheme="majorHAnsi" w:hAnsiTheme="majorHAnsi" w:cstheme="majorHAnsi"/>
          <w:sz w:val="24"/>
          <w:szCs w:val="24"/>
        </w:rPr>
        <w:t xml:space="preserve"> coduri economice, pe când la </w:t>
      </w:r>
      <w:r w:rsidR="003E62CA" w:rsidRPr="006D37E1">
        <w:rPr>
          <w:rFonts w:asciiTheme="majorHAnsi" w:hAnsiTheme="majorHAnsi" w:cstheme="majorHAnsi"/>
          <w:sz w:val="24"/>
          <w:szCs w:val="24"/>
        </w:rPr>
        <w:t xml:space="preserve">altele </w:t>
      </w:r>
      <w:r w:rsidR="00D43002" w:rsidRPr="006D37E1">
        <w:rPr>
          <w:rFonts w:asciiTheme="majorHAnsi" w:hAnsiTheme="majorHAnsi" w:cstheme="majorHAnsi"/>
          <w:sz w:val="24"/>
          <w:szCs w:val="24"/>
        </w:rPr>
        <w:t>este</w:t>
      </w:r>
      <w:r w:rsidRPr="006D37E1">
        <w:rPr>
          <w:rFonts w:asciiTheme="majorHAnsi" w:hAnsiTheme="majorHAnsi" w:cstheme="majorHAnsi"/>
          <w:sz w:val="24"/>
          <w:szCs w:val="24"/>
        </w:rPr>
        <w:t xml:space="preserve"> desemnat prin lege administratorul </w:t>
      </w:r>
      <w:r w:rsidR="003E62CA" w:rsidRPr="006D37E1">
        <w:rPr>
          <w:rFonts w:asciiTheme="majorHAnsi" w:hAnsiTheme="majorHAnsi" w:cstheme="majorHAnsi"/>
          <w:sz w:val="24"/>
          <w:szCs w:val="24"/>
        </w:rPr>
        <w:t xml:space="preserve">de </w:t>
      </w:r>
      <w:r w:rsidRPr="006D37E1">
        <w:rPr>
          <w:rFonts w:asciiTheme="majorHAnsi" w:hAnsiTheme="majorHAnsi" w:cstheme="majorHAnsi"/>
          <w:sz w:val="24"/>
          <w:szCs w:val="24"/>
        </w:rPr>
        <w:t>la care au fost încasate venituri</w:t>
      </w:r>
      <w:r w:rsidR="00793C62" w:rsidRPr="006D37E1">
        <w:rPr>
          <w:rFonts w:asciiTheme="majorHAnsi" w:hAnsiTheme="majorHAnsi" w:cstheme="majorHAnsi"/>
          <w:sz w:val="24"/>
          <w:szCs w:val="24"/>
        </w:rPr>
        <w:t xml:space="preserve"> </w:t>
      </w:r>
      <w:r w:rsidRPr="006D37E1">
        <w:rPr>
          <w:rFonts w:asciiTheme="majorHAnsi" w:hAnsiTheme="majorHAnsi" w:cstheme="majorHAnsi"/>
          <w:sz w:val="24"/>
          <w:szCs w:val="24"/>
        </w:rPr>
        <w:t xml:space="preserve">în sumă totală de </w:t>
      </w:r>
      <w:r w:rsidR="006D37E1">
        <w:rPr>
          <w:rFonts w:asciiTheme="majorHAnsi" w:hAnsiTheme="majorHAnsi" w:cstheme="majorHAnsi"/>
          <w:sz w:val="24"/>
          <w:szCs w:val="24"/>
        </w:rPr>
        <w:t>47,4</w:t>
      </w:r>
      <w:r w:rsidRPr="006D37E1">
        <w:rPr>
          <w:rFonts w:asciiTheme="majorHAnsi" w:hAnsiTheme="majorHAnsi" w:cstheme="majorHAnsi"/>
          <w:sz w:val="24"/>
          <w:szCs w:val="24"/>
        </w:rPr>
        <w:t xml:space="preserve"> mil. </w:t>
      </w:r>
      <w:r w:rsidR="007160B9" w:rsidRPr="006D37E1">
        <w:rPr>
          <w:rFonts w:asciiTheme="majorHAnsi" w:hAnsiTheme="majorHAnsi" w:cstheme="majorHAnsi"/>
          <w:sz w:val="24"/>
          <w:szCs w:val="24"/>
        </w:rPr>
        <w:t>MDL</w:t>
      </w:r>
      <w:r w:rsidRPr="006D37E1">
        <w:rPr>
          <w:rFonts w:asciiTheme="majorHAnsi" w:hAnsiTheme="majorHAnsi" w:cstheme="majorHAnsi"/>
          <w:sz w:val="24"/>
          <w:szCs w:val="24"/>
        </w:rPr>
        <w:t xml:space="preserve">. </w:t>
      </w:r>
      <w:r w:rsidR="00177D9F" w:rsidRPr="006D37E1">
        <w:rPr>
          <w:rFonts w:asciiTheme="majorHAnsi" w:hAnsiTheme="majorHAnsi" w:cstheme="majorHAnsi"/>
          <w:i/>
          <w:sz w:val="24"/>
          <w:szCs w:val="24"/>
        </w:rPr>
        <w:t>Sinteza veniturilor BS executate și raportate de către MF pentru anul 2018 se prezintă în Anexa nr.4 la prezentul Raport de audit</w:t>
      </w:r>
      <w:r w:rsidR="001F78BC" w:rsidRPr="006D37E1">
        <w:rPr>
          <w:rFonts w:asciiTheme="majorHAnsi" w:hAnsiTheme="majorHAnsi" w:cstheme="majorHAnsi"/>
          <w:i/>
          <w:sz w:val="24"/>
          <w:szCs w:val="24"/>
        </w:rPr>
        <w:t>.</w:t>
      </w:r>
    </w:p>
    <w:p w:rsidR="000D7427" w:rsidRDefault="004F7B80" w:rsidP="006E5EC9">
      <w:pPr>
        <w:spacing w:after="0" w:line="276" w:lineRule="auto"/>
        <w:ind w:firstLine="720"/>
        <w:jc w:val="both"/>
        <w:rPr>
          <w:rFonts w:asciiTheme="majorHAnsi" w:hAnsiTheme="majorHAnsi" w:cstheme="majorHAnsi"/>
          <w:sz w:val="24"/>
          <w:szCs w:val="24"/>
        </w:rPr>
      </w:pPr>
      <w:r>
        <w:rPr>
          <w:rFonts w:asciiTheme="majorHAnsi" w:hAnsiTheme="majorHAnsi" w:cstheme="majorHAnsi"/>
          <w:sz w:val="24"/>
          <w:szCs w:val="24"/>
        </w:rPr>
        <w:t>U</w:t>
      </w:r>
      <w:r w:rsidR="00B30444">
        <w:rPr>
          <w:rFonts w:asciiTheme="majorHAnsi" w:hAnsiTheme="majorHAnsi" w:cstheme="majorHAnsi"/>
          <w:sz w:val="24"/>
          <w:szCs w:val="24"/>
        </w:rPr>
        <w:t xml:space="preserve">rmare </w:t>
      </w:r>
      <w:r w:rsidR="003E62CA">
        <w:rPr>
          <w:rFonts w:asciiTheme="majorHAnsi" w:hAnsiTheme="majorHAnsi" w:cstheme="majorHAnsi"/>
          <w:sz w:val="24"/>
          <w:szCs w:val="24"/>
        </w:rPr>
        <w:t xml:space="preserve">a procedurilor de </w:t>
      </w:r>
      <w:r w:rsidR="00B30444">
        <w:rPr>
          <w:rFonts w:asciiTheme="majorHAnsi" w:hAnsiTheme="majorHAnsi" w:cstheme="majorHAnsi"/>
          <w:sz w:val="24"/>
          <w:szCs w:val="24"/>
        </w:rPr>
        <w:t xml:space="preserve">audit, </w:t>
      </w:r>
      <w:r w:rsidR="00B30444" w:rsidRPr="00B30444">
        <w:rPr>
          <w:rFonts w:asciiTheme="majorHAnsi" w:hAnsiTheme="majorHAnsi" w:cstheme="majorHAnsi"/>
          <w:sz w:val="24"/>
          <w:szCs w:val="24"/>
        </w:rPr>
        <w:t xml:space="preserve">MF a efectuat </w:t>
      </w:r>
      <w:r w:rsidR="00040F9E">
        <w:rPr>
          <w:rFonts w:asciiTheme="majorHAnsi" w:hAnsiTheme="majorHAnsi" w:cstheme="majorHAnsi"/>
          <w:sz w:val="24"/>
          <w:szCs w:val="24"/>
        </w:rPr>
        <w:t xml:space="preserve">și </w:t>
      </w:r>
      <w:r w:rsidR="00B30444" w:rsidRPr="00B30444">
        <w:rPr>
          <w:rFonts w:asciiTheme="majorHAnsi" w:hAnsiTheme="majorHAnsi" w:cstheme="majorHAnsi"/>
          <w:sz w:val="24"/>
          <w:szCs w:val="24"/>
        </w:rPr>
        <w:t xml:space="preserve">în anul 2018 verificarea lunară a veniturilor BPN </w:t>
      </w:r>
      <w:r w:rsidR="00B30444" w:rsidRPr="00040F9E">
        <w:rPr>
          <w:rFonts w:asciiTheme="majorHAnsi" w:hAnsiTheme="majorHAnsi" w:cstheme="majorHAnsi"/>
          <w:b/>
          <w:i/>
          <w:sz w:val="24"/>
          <w:szCs w:val="24"/>
        </w:rPr>
        <w:t>doar cu</w:t>
      </w:r>
      <w:r w:rsidR="00B30444" w:rsidRPr="00B30444">
        <w:rPr>
          <w:rFonts w:asciiTheme="majorHAnsi" w:hAnsiTheme="majorHAnsi" w:cstheme="majorHAnsi"/>
          <w:sz w:val="24"/>
          <w:szCs w:val="24"/>
        </w:rPr>
        <w:t xml:space="preserve"> </w:t>
      </w:r>
      <w:r w:rsidR="00B30444" w:rsidRPr="00B30444">
        <w:rPr>
          <w:rFonts w:asciiTheme="majorHAnsi" w:hAnsiTheme="majorHAnsi" w:cstheme="majorHAnsi"/>
          <w:b/>
          <w:i/>
          <w:sz w:val="24"/>
          <w:szCs w:val="24"/>
        </w:rPr>
        <w:t>4 administratori</w:t>
      </w:r>
      <w:r w:rsidR="00B30444" w:rsidRPr="00B30444">
        <w:rPr>
          <w:rFonts w:asciiTheme="majorHAnsi" w:hAnsiTheme="majorHAnsi" w:cstheme="majorHAnsi"/>
          <w:sz w:val="24"/>
          <w:szCs w:val="24"/>
        </w:rPr>
        <w:t xml:space="preserve"> principali a</w:t>
      </w:r>
      <w:r>
        <w:rPr>
          <w:rFonts w:asciiTheme="majorHAnsi" w:hAnsiTheme="majorHAnsi" w:cstheme="majorHAnsi"/>
          <w:sz w:val="24"/>
          <w:szCs w:val="24"/>
        </w:rPr>
        <w:t>i veniturilor publice:</w:t>
      </w:r>
      <w:r w:rsidR="00E26FC0">
        <w:rPr>
          <w:rFonts w:asciiTheme="majorHAnsi" w:hAnsiTheme="majorHAnsi" w:cstheme="majorHAnsi"/>
          <w:sz w:val="24"/>
          <w:szCs w:val="24"/>
        </w:rPr>
        <w:t xml:space="preserve"> SFS, SV, CNAS și CNAM, nefiind </w:t>
      </w:r>
      <w:r w:rsidR="000E7F53">
        <w:rPr>
          <w:rFonts w:asciiTheme="majorHAnsi" w:hAnsiTheme="majorHAnsi" w:cstheme="majorHAnsi"/>
          <w:sz w:val="24"/>
          <w:szCs w:val="24"/>
        </w:rPr>
        <w:t xml:space="preserve">implementată </w:t>
      </w:r>
      <w:r w:rsidR="00E26FC0">
        <w:rPr>
          <w:rFonts w:asciiTheme="majorHAnsi" w:hAnsiTheme="majorHAnsi" w:cstheme="majorHAnsi"/>
          <w:sz w:val="24"/>
          <w:szCs w:val="24"/>
        </w:rPr>
        <w:t>recomandarea Curții de Conturi.</w:t>
      </w:r>
    </w:p>
    <w:p w:rsidR="00AC0F09" w:rsidRDefault="006E5EC9" w:rsidP="006C6057">
      <w:pPr>
        <w:spacing w:after="0" w:line="276" w:lineRule="auto"/>
        <w:ind w:firstLine="720"/>
        <w:jc w:val="both"/>
        <w:rPr>
          <w:rFonts w:asciiTheme="majorHAnsi" w:hAnsiTheme="majorHAnsi" w:cstheme="majorHAnsi"/>
          <w:sz w:val="24"/>
          <w:szCs w:val="24"/>
        </w:rPr>
      </w:pPr>
      <w:r w:rsidRPr="00061E10">
        <w:rPr>
          <w:rFonts w:asciiTheme="majorHAnsi" w:hAnsiTheme="majorHAnsi" w:cstheme="majorHAnsi"/>
          <w:sz w:val="24"/>
          <w:szCs w:val="24"/>
        </w:rPr>
        <w:t>Astfel, p</w:t>
      </w:r>
      <w:r w:rsidR="00B30444" w:rsidRPr="00061E10">
        <w:rPr>
          <w:rFonts w:asciiTheme="majorHAnsi" w:hAnsiTheme="majorHAnsi" w:cstheme="majorHAnsi"/>
          <w:sz w:val="24"/>
          <w:szCs w:val="24"/>
        </w:rPr>
        <w:t>rin verificarea reciprocă cu SFS și SV a veniturilor încasate, MF a asigurat conformitatea și veridicitatea veniturilo</w:t>
      </w:r>
      <w:r w:rsidR="00772344" w:rsidRPr="00061E10">
        <w:rPr>
          <w:rFonts w:asciiTheme="majorHAnsi" w:hAnsiTheme="majorHAnsi" w:cstheme="majorHAnsi"/>
          <w:sz w:val="24"/>
          <w:szCs w:val="24"/>
        </w:rPr>
        <w:t xml:space="preserve">r raportate în volum de </w:t>
      </w:r>
      <w:r w:rsidR="00061E10">
        <w:rPr>
          <w:rFonts w:asciiTheme="majorHAnsi" w:hAnsiTheme="majorHAnsi" w:cstheme="majorHAnsi"/>
          <w:sz w:val="24"/>
          <w:szCs w:val="24"/>
        </w:rPr>
        <w:t>36 076,6</w:t>
      </w:r>
      <w:r w:rsidR="00B30444" w:rsidRPr="00061E10">
        <w:rPr>
          <w:rFonts w:asciiTheme="majorHAnsi" w:hAnsiTheme="majorHAnsi" w:cstheme="majorHAnsi"/>
          <w:sz w:val="24"/>
          <w:szCs w:val="24"/>
        </w:rPr>
        <w:t xml:space="preserve"> mil.</w:t>
      </w:r>
      <w:r w:rsidRPr="00061E10">
        <w:rPr>
          <w:rFonts w:asciiTheme="majorHAnsi" w:hAnsiTheme="majorHAnsi" w:cstheme="majorHAnsi"/>
          <w:sz w:val="24"/>
          <w:szCs w:val="24"/>
        </w:rPr>
        <w:t xml:space="preserve"> </w:t>
      </w:r>
      <w:r w:rsidR="007160B9" w:rsidRPr="00061E10">
        <w:rPr>
          <w:rFonts w:asciiTheme="majorHAnsi" w:hAnsiTheme="majorHAnsi" w:cstheme="majorHAnsi"/>
          <w:sz w:val="24"/>
          <w:szCs w:val="24"/>
        </w:rPr>
        <w:t>MDL</w:t>
      </w:r>
      <w:r w:rsidR="00B30444" w:rsidRPr="00061E10">
        <w:rPr>
          <w:rFonts w:asciiTheme="majorHAnsi" w:hAnsiTheme="majorHAnsi" w:cstheme="majorHAnsi"/>
          <w:sz w:val="24"/>
          <w:szCs w:val="24"/>
        </w:rPr>
        <w:t xml:space="preserve"> </w:t>
      </w:r>
      <w:r w:rsidR="00B30444" w:rsidRPr="00061E10">
        <w:rPr>
          <w:rFonts w:asciiTheme="majorHAnsi" w:hAnsiTheme="majorHAnsi" w:cstheme="majorHAnsi"/>
          <w:i/>
          <w:sz w:val="24"/>
          <w:szCs w:val="24"/>
        </w:rPr>
        <w:t xml:space="preserve">(inclusiv Granturi în sumă de </w:t>
      </w:r>
      <w:r w:rsidR="00772344" w:rsidRPr="00061E10">
        <w:rPr>
          <w:rFonts w:asciiTheme="majorHAnsi" w:hAnsiTheme="majorHAnsi" w:cstheme="majorHAnsi"/>
          <w:i/>
          <w:sz w:val="24"/>
          <w:szCs w:val="24"/>
        </w:rPr>
        <w:t>335,4</w:t>
      </w:r>
      <w:r w:rsidR="00B30444" w:rsidRPr="00061E10">
        <w:rPr>
          <w:rFonts w:asciiTheme="majorHAnsi" w:hAnsiTheme="majorHAnsi" w:cstheme="majorHAnsi"/>
          <w:i/>
          <w:sz w:val="24"/>
          <w:szCs w:val="24"/>
        </w:rPr>
        <w:t xml:space="preserve"> mil. </w:t>
      </w:r>
      <w:r w:rsidR="007160B9" w:rsidRPr="00061E10">
        <w:rPr>
          <w:rFonts w:asciiTheme="majorHAnsi" w:hAnsiTheme="majorHAnsi" w:cstheme="majorHAnsi"/>
          <w:i/>
          <w:sz w:val="24"/>
          <w:szCs w:val="24"/>
        </w:rPr>
        <w:t>MDL</w:t>
      </w:r>
      <w:r w:rsidR="00B30444" w:rsidRPr="00061E10">
        <w:rPr>
          <w:rFonts w:asciiTheme="majorHAnsi" w:hAnsiTheme="majorHAnsi" w:cstheme="majorHAnsi"/>
          <w:i/>
          <w:sz w:val="24"/>
          <w:szCs w:val="24"/>
        </w:rPr>
        <w:t>)</w:t>
      </w:r>
      <w:r w:rsidR="00B30444" w:rsidRPr="00061E10">
        <w:rPr>
          <w:rFonts w:asciiTheme="majorHAnsi" w:hAnsiTheme="majorHAnsi" w:cstheme="majorHAnsi"/>
          <w:sz w:val="24"/>
          <w:szCs w:val="24"/>
        </w:rPr>
        <w:t xml:space="preserve">, sau </w:t>
      </w:r>
      <w:r w:rsidR="00061E10">
        <w:rPr>
          <w:rFonts w:asciiTheme="majorHAnsi" w:hAnsiTheme="majorHAnsi" w:cstheme="majorHAnsi"/>
          <w:b/>
          <w:sz w:val="24"/>
          <w:szCs w:val="24"/>
        </w:rPr>
        <w:t>99,0</w:t>
      </w:r>
      <w:r w:rsidR="00B30444" w:rsidRPr="00061E10">
        <w:rPr>
          <w:rFonts w:asciiTheme="majorHAnsi" w:hAnsiTheme="majorHAnsi" w:cstheme="majorHAnsi"/>
          <w:b/>
          <w:sz w:val="24"/>
          <w:szCs w:val="24"/>
        </w:rPr>
        <w:t>% din totalul veniturilor încasate în bugetul de stat</w:t>
      </w:r>
      <w:r w:rsidR="00B30444" w:rsidRPr="00061E10">
        <w:rPr>
          <w:rFonts w:asciiTheme="majorHAnsi" w:hAnsiTheme="majorHAnsi" w:cstheme="majorHAnsi"/>
          <w:sz w:val="24"/>
          <w:szCs w:val="24"/>
        </w:rPr>
        <w:t>, dintre care 16</w:t>
      </w:r>
      <w:r w:rsidR="00F27EE8" w:rsidRPr="00061E10">
        <w:rPr>
          <w:rFonts w:asciiTheme="majorHAnsi" w:hAnsiTheme="majorHAnsi" w:cstheme="majorHAnsi"/>
          <w:sz w:val="24"/>
          <w:szCs w:val="24"/>
        </w:rPr>
        <w:t xml:space="preserve"> </w:t>
      </w:r>
      <w:r w:rsidR="00B30444" w:rsidRPr="00061E10">
        <w:rPr>
          <w:rFonts w:asciiTheme="majorHAnsi" w:hAnsiTheme="majorHAnsi" w:cstheme="majorHAnsi"/>
          <w:sz w:val="24"/>
          <w:szCs w:val="24"/>
        </w:rPr>
        <w:t>475,6 mil.</w:t>
      </w:r>
      <w:r w:rsidR="00F27EE8" w:rsidRPr="00061E10">
        <w:rPr>
          <w:rFonts w:asciiTheme="majorHAnsi" w:hAnsiTheme="majorHAnsi" w:cstheme="majorHAnsi"/>
          <w:sz w:val="24"/>
          <w:szCs w:val="24"/>
        </w:rPr>
        <w:t xml:space="preserve"> </w:t>
      </w:r>
      <w:r w:rsidR="007160B9" w:rsidRPr="00061E10">
        <w:rPr>
          <w:rFonts w:asciiTheme="majorHAnsi" w:hAnsiTheme="majorHAnsi" w:cstheme="majorHAnsi"/>
          <w:sz w:val="24"/>
          <w:szCs w:val="24"/>
        </w:rPr>
        <w:t>MDL</w:t>
      </w:r>
      <w:r w:rsidR="00B30444" w:rsidRPr="00061E10">
        <w:rPr>
          <w:rFonts w:asciiTheme="majorHAnsi" w:hAnsiTheme="majorHAnsi" w:cstheme="majorHAnsi"/>
          <w:sz w:val="24"/>
          <w:szCs w:val="24"/>
        </w:rPr>
        <w:t xml:space="preserve"> administrate de </w:t>
      </w:r>
      <w:r w:rsidR="00A723E6" w:rsidRPr="00061E10">
        <w:rPr>
          <w:rFonts w:asciiTheme="majorHAnsi" w:hAnsiTheme="majorHAnsi" w:cstheme="majorHAnsi"/>
          <w:sz w:val="24"/>
          <w:szCs w:val="24"/>
        </w:rPr>
        <w:t>SFS</w:t>
      </w:r>
      <w:r w:rsidR="00B30444" w:rsidRPr="00061E10">
        <w:rPr>
          <w:rFonts w:asciiTheme="majorHAnsi" w:hAnsiTheme="majorHAnsi" w:cstheme="majorHAnsi"/>
          <w:sz w:val="24"/>
          <w:szCs w:val="24"/>
        </w:rPr>
        <w:t>, 21</w:t>
      </w:r>
      <w:r w:rsidR="00F27EE8" w:rsidRPr="00061E10">
        <w:rPr>
          <w:rFonts w:asciiTheme="majorHAnsi" w:hAnsiTheme="majorHAnsi" w:cstheme="majorHAnsi"/>
          <w:sz w:val="24"/>
          <w:szCs w:val="24"/>
        </w:rPr>
        <w:t xml:space="preserve"> </w:t>
      </w:r>
      <w:r w:rsidR="00B30444" w:rsidRPr="00061E10">
        <w:rPr>
          <w:rFonts w:asciiTheme="majorHAnsi" w:hAnsiTheme="majorHAnsi" w:cstheme="majorHAnsi"/>
          <w:sz w:val="24"/>
          <w:szCs w:val="24"/>
        </w:rPr>
        <w:t>410,3 mil.</w:t>
      </w:r>
      <w:r w:rsidR="00F27EE8" w:rsidRPr="00061E10">
        <w:rPr>
          <w:rFonts w:asciiTheme="majorHAnsi" w:hAnsiTheme="majorHAnsi" w:cstheme="majorHAnsi"/>
          <w:sz w:val="24"/>
          <w:szCs w:val="24"/>
        </w:rPr>
        <w:t xml:space="preserve"> </w:t>
      </w:r>
      <w:r w:rsidR="007160B9" w:rsidRPr="00061E10">
        <w:rPr>
          <w:rFonts w:asciiTheme="majorHAnsi" w:hAnsiTheme="majorHAnsi" w:cstheme="majorHAnsi"/>
          <w:sz w:val="24"/>
          <w:szCs w:val="24"/>
        </w:rPr>
        <w:t>MDL</w:t>
      </w:r>
      <w:r w:rsidR="00B30444" w:rsidRPr="00061E10">
        <w:rPr>
          <w:rFonts w:asciiTheme="majorHAnsi" w:hAnsiTheme="majorHAnsi" w:cstheme="majorHAnsi"/>
          <w:sz w:val="24"/>
          <w:szCs w:val="24"/>
        </w:rPr>
        <w:t xml:space="preserve"> administ</w:t>
      </w:r>
      <w:r w:rsidR="00F27EE8" w:rsidRPr="00061E10">
        <w:rPr>
          <w:rFonts w:asciiTheme="majorHAnsi" w:hAnsiTheme="majorHAnsi" w:cstheme="majorHAnsi"/>
          <w:sz w:val="24"/>
          <w:szCs w:val="24"/>
        </w:rPr>
        <w:t xml:space="preserve">rate de </w:t>
      </w:r>
      <w:r w:rsidR="00A723E6" w:rsidRPr="00061E10">
        <w:rPr>
          <w:rFonts w:asciiTheme="majorHAnsi" w:hAnsiTheme="majorHAnsi" w:cstheme="majorHAnsi"/>
          <w:sz w:val="24"/>
          <w:szCs w:val="24"/>
        </w:rPr>
        <w:t>SV</w:t>
      </w:r>
      <w:r w:rsidR="00F27EE8" w:rsidRPr="00061E10">
        <w:rPr>
          <w:rFonts w:asciiTheme="majorHAnsi" w:hAnsiTheme="majorHAnsi" w:cstheme="majorHAnsi"/>
          <w:sz w:val="24"/>
          <w:szCs w:val="24"/>
        </w:rPr>
        <w:t xml:space="preserve"> și 65,1</w:t>
      </w:r>
      <w:r w:rsidR="00B30444" w:rsidRPr="00061E10">
        <w:rPr>
          <w:rFonts w:asciiTheme="majorHAnsi" w:hAnsiTheme="majorHAnsi" w:cstheme="majorHAnsi"/>
          <w:sz w:val="24"/>
          <w:szCs w:val="24"/>
        </w:rPr>
        <w:t xml:space="preserve"> mil. </w:t>
      </w:r>
      <w:r w:rsidR="007160B9" w:rsidRPr="00061E10">
        <w:rPr>
          <w:rFonts w:asciiTheme="majorHAnsi" w:hAnsiTheme="majorHAnsi" w:cstheme="majorHAnsi"/>
          <w:sz w:val="24"/>
          <w:szCs w:val="24"/>
        </w:rPr>
        <w:t xml:space="preserve">MDL </w:t>
      </w:r>
      <w:r w:rsidR="003E62CA" w:rsidRPr="00061E10">
        <w:rPr>
          <w:rFonts w:asciiTheme="majorHAnsi" w:hAnsiTheme="majorHAnsi" w:cstheme="majorHAnsi"/>
          <w:sz w:val="24"/>
          <w:szCs w:val="24"/>
        </w:rPr>
        <w:t>–</w:t>
      </w:r>
      <w:r w:rsidR="00B30444" w:rsidRPr="00061E10">
        <w:rPr>
          <w:rFonts w:asciiTheme="majorHAnsi" w:hAnsiTheme="majorHAnsi" w:cstheme="majorHAnsi"/>
          <w:sz w:val="24"/>
          <w:szCs w:val="24"/>
        </w:rPr>
        <w:t xml:space="preserve"> de către </w:t>
      </w:r>
      <w:r w:rsidR="003E62CA" w:rsidRPr="00061E10">
        <w:rPr>
          <w:rFonts w:asciiTheme="majorHAnsi" w:hAnsiTheme="majorHAnsi" w:cstheme="majorHAnsi"/>
          <w:sz w:val="24"/>
          <w:szCs w:val="24"/>
        </w:rPr>
        <w:t>a</w:t>
      </w:r>
      <w:r w:rsidR="00B30444" w:rsidRPr="00061E10">
        <w:rPr>
          <w:rFonts w:asciiTheme="majorHAnsi" w:hAnsiTheme="majorHAnsi" w:cstheme="majorHAnsi"/>
          <w:sz w:val="24"/>
          <w:szCs w:val="24"/>
        </w:rPr>
        <w:t>mbasade</w:t>
      </w:r>
      <w:r w:rsidR="00C44697" w:rsidRPr="00061E10">
        <w:rPr>
          <w:rFonts w:asciiTheme="majorHAnsi" w:hAnsiTheme="majorHAnsi" w:cstheme="majorHAnsi"/>
          <w:sz w:val="24"/>
          <w:szCs w:val="24"/>
        </w:rPr>
        <w:t xml:space="preserve"> </w:t>
      </w:r>
      <w:r w:rsidR="00E66F5C" w:rsidRPr="00061E10">
        <w:rPr>
          <w:rFonts w:asciiTheme="majorHAnsi" w:hAnsiTheme="majorHAnsi" w:cstheme="majorHAnsi"/>
          <w:sz w:val="24"/>
          <w:szCs w:val="24"/>
        </w:rPr>
        <w:t xml:space="preserve">care se deservesc </w:t>
      </w:r>
      <w:r w:rsidR="00C44697" w:rsidRPr="00061E10">
        <w:rPr>
          <w:rFonts w:asciiTheme="majorHAnsi" w:hAnsiTheme="majorHAnsi" w:cstheme="majorHAnsi"/>
          <w:sz w:val="24"/>
          <w:szCs w:val="24"/>
        </w:rPr>
        <w:t xml:space="preserve">în afara sistemului </w:t>
      </w:r>
      <w:proofErr w:type="spellStart"/>
      <w:r w:rsidR="00C44697" w:rsidRPr="00061E10">
        <w:rPr>
          <w:rFonts w:asciiTheme="majorHAnsi" w:hAnsiTheme="majorHAnsi" w:cstheme="majorHAnsi"/>
          <w:sz w:val="24"/>
          <w:szCs w:val="24"/>
        </w:rPr>
        <w:t>trezorerial</w:t>
      </w:r>
      <w:proofErr w:type="spellEnd"/>
      <w:r w:rsidR="00B30444" w:rsidRPr="00061E10">
        <w:rPr>
          <w:rFonts w:asciiTheme="majorHAnsi" w:hAnsiTheme="majorHAnsi" w:cstheme="majorHAnsi"/>
          <w:sz w:val="24"/>
          <w:szCs w:val="24"/>
        </w:rPr>
        <w:t xml:space="preserve">. </w:t>
      </w:r>
      <w:r w:rsidR="00FB01E6" w:rsidRPr="00061E10">
        <w:rPr>
          <w:rFonts w:asciiTheme="majorHAnsi" w:hAnsiTheme="majorHAnsi" w:cstheme="majorHAnsi"/>
          <w:sz w:val="24"/>
          <w:szCs w:val="24"/>
        </w:rPr>
        <w:t>Totodată</w:t>
      </w:r>
      <w:r w:rsidR="00B83FFA" w:rsidRPr="00061E10">
        <w:rPr>
          <w:rFonts w:asciiTheme="majorHAnsi" w:hAnsiTheme="majorHAnsi" w:cstheme="majorHAnsi"/>
          <w:sz w:val="24"/>
          <w:szCs w:val="24"/>
        </w:rPr>
        <w:t>,</w:t>
      </w:r>
      <w:r w:rsidR="00772344" w:rsidRPr="00061E10">
        <w:rPr>
          <w:rFonts w:asciiTheme="majorHAnsi" w:hAnsiTheme="majorHAnsi" w:cstheme="majorHAnsi"/>
          <w:sz w:val="24"/>
          <w:szCs w:val="24"/>
        </w:rPr>
        <w:t xml:space="preserve"> </w:t>
      </w:r>
      <w:r w:rsidR="00061E10">
        <w:rPr>
          <w:rFonts w:asciiTheme="majorHAnsi" w:hAnsiTheme="majorHAnsi" w:cstheme="majorHAnsi"/>
          <w:sz w:val="24"/>
          <w:szCs w:val="24"/>
        </w:rPr>
        <w:t>1,0</w:t>
      </w:r>
      <w:r w:rsidR="00772344" w:rsidRPr="00061E10">
        <w:rPr>
          <w:rFonts w:asciiTheme="majorHAnsi" w:hAnsiTheme="majorHAnsi" w:cstheme="majorHAnsi"/>
          <w:sz w:val="24"/>
          <w:szCs w:val="24"/>
        </w:rPr>
        <w:t xml:space="preserve">%, sau </w:t>
      </w:r>
      <w:r w:rsidR="00061E10">
        <w:rPr>
          <w:rFonts w:asciiTheme="majorHAnsi" w:hAnsiTheme="majorHAnsi" w:cstheme="majorHAnsi"/>
          <w:sz w:val="24"/>
          <w:szCs w:val="24"/>
        </w:rPr>
        <w:t>356,1</w:t>
      </w:r>
      <w:r w:rsidR="00B30444" w:rsidRPr="00061E10">
        <w:rPr>
          <w:rFonts w:asciiTheme="majorHAnsi" w:hAnsiTheme="majorHAnsi" w:cstheme="majorHAnsi"/>
          <w:sz w:val="24"/>
          <w:szCs w:val="24"/>
        </w:rPr>
        <w:t xml:space="preserve"> mil.</w:t>
      </w:r>
      <w:r w:rsidR="00793C62" w:rsidRPr="00061E10">
        <w:rPr>
          <w:rFonts w:asciiTheme="majorHAnsi" w:hAnsiTheme="majorHAnsi" w:cstheme="majorHAnsi"/>
          <w:sz w:val="24"/>
          <w:szCs w:val="24"/>
        </w:rPr>
        <w:t xml:space="preserve"> </w:t>
      </w:r>
      <w:r w:rsidR="007160B9" w:rsidRPr="00061E10">
        <w:rPr>
          <w:rFonts w:asciiTheme="majorHAnsi" w:hAnsiTheme="majorHAnsi" w:cstheme="majorHAnsi"/>
          <w:sz w:val="24"/>
          <w:szCs w:val="24"/>
        </w:rPr>
        <w:t>MDL</w:t>
      </w:r>
      <w:r w:rsidR="00B30444" w:rsidRPr="00061E10">
        <w:rPr>
          <w:rFonts w:asciiTheme="majorHAnsi" w:hAnsiTheme="majorHAnsi" w:cstheme="majorHAnsi"/>
          <w:sz w:val="24"/>
          <w:szCs w:val="24"/>
        </w:rPr>
        <w:t xml:space="preserve">, </w:t>
      </w:r>
      <w:r w:rsidR="009A3337" w:rsidRPr="00061E10">
        <w:rPr>
          <w:rFonts w:asciiTheme="majorHAnsi" w:hAnsiTheme="majorHAnsi" w:cstheme="majorHAnsi"/>
          <w:sz w:val="24"/>
          <w:szCs w:val="24"/>
        </w:rPr>
        <w:t>reprezintă</w:t>
      </w:r>
      <w:r w:rsidR="00B83FFA" w:rsidRPr="00061E10">
        <w:rPr>
          <w:rFonts w:asciiTheme="majorHAnsi" w:hAnsiTheme="majorHAnsi" w:cstheme="majorHAnsi"/>
          <w:sz w:val="24"/>
          <w:szCs w:val="24"/>
        </w:rPr>
        <w:t xml:space="preserve"> venituri</w:t>
      </w:r>
      <w:r w:rsidR="00B30444" w:rsidRPr="00061E10">
        <w:rPr>
          <w:rFonts w:asciiTheme="majorHAnsi" w:hAnsiTheme="majorHAnsi" w:cstheme="majorHAnsi"/>
          <w:sz w:val="24"/>
          <w:szCs w:val="24"/>
        </w:rPr>
        <w:t xml:space="preserve"> în </w:t>
      </w:r>
      <w:r w:rsidR="00B83FFA" w:rsidRPr="00061E10">
        <w:rPr>
          <w:rFonts w:asciiTheme="majorHAnsi" w:hAnsiTheme="majorHAnsi" w:cstheme="majorHAnsi"/>
          <w:sz w:val="24"/>
          <w:szCs w:val="24"/>
        </w:rPr>
        <w:t>BS</w:t>
      </w:r>
      <w:r w:rsidR="00B30444" w:rsidRPr="00061E10">
        <w:rPr>
          <w:rFonts w:asciiTheme="majorHAnsi" w:hAnsiTheme="majorHAnsi" w:cstheme="majorHAnsi"/>
          <w:sz w:val="24"/>
          <w:szCs w:val="24"/>
        </w:rPr>
        <w:t xml:space="preserve"> </w:t>
      </w:r>
      <w:r w:rsidR="00DF286E">
        <w:rPr>
          <w:rFonts w:asciiTheme="majorHAnsi" w:hAnsiTheme="majorHAnsi" w:cstheme="majorHAnsi"/>
          <w:sz w:val="24"/>
          <w:szCs w:val="24"/>
        </w:rPr>
        <w:t xml:space="preserve">încasate </w:t>
      </w:r>
      <w:r w:rsidR="00B30444" w:rsidRPr="00061E10">
        <w:rPr>
          <w:rFonts w:asciiTheme="majorHAnsi" w:hAnsiTheme="majorHAnsi" w:cstheme="majorHAnsi"/>
          <w:sz w:val="24"/>
          <w:szCs w:val="24"/>
        </w:rPr>
        <w:t xml:space="preserve">în anul 2018 prin sistemul </w:t>
      </w:r>
      <w:proofErr w:type="spellStart"/>
      <w:r w:rsidR="00B30444" w:rsidRPr="00061E10">
        <w:rPr>
          <w:rFonts w:asciiTheme="majorHAnsi" w:hAnsiTheme="majorHAnsi" w:cstheme="majorHAnsi"/>
          <w:sz w:val="24"/>
          <w:szCs w:val="24"/>
        </w:rPr>
        <w:t>trezorerial</w:t>
      </w:r>
      <w:proofErr w:type="spellEnd"/>
      <w:r w:rsidR="003E62CA" w:rsidRPr="00061E10">
        <w:rPr>
          <w:rFonts w:asciiTheme="majorHAnsi" w:hAnsiTheme="majorHAnsi" w:cstheme="majorHAnsi"/>
          <w:sz w:val="24"/>
          <w:szCs w:val="24"/>
        </w:rPr>
        <w:t>,</w:t>
      </w:r>
      <w:r w:rsidR="00B30444" w:rsidRPr="00061E10">
        <w:rPr>
          <w:rFonts w:asciiTheme="majorHAnsi" w:hAnsiTheme="majorHAnsi" w:cstheme="majorHAnsi"/>
          <w:sz w:val="24"/>
          <w:szCs w:val="24"/>
        </w:rPr>
        <w:t xml:space="preserve"> </w:t>
      </w:r>
      <w:r w:rsidR="009A3337" w:rsidRPr="00061E10">
        <w:rPr>
          <w:rFonts w:asciiTheme="majorHAnsi" w:hAnsiTheme="majorHAnsi" w:cstheme="majorHAnsi"/>
          <w:sz w:val="24"/>
          <w:szCs w:val="24"/>
        </w:rPr>
        <w:t>dar care</w:t>
      </w:r>
      <w:r w:rsidR="00B30444" w:rsidRPr="00061E10">
        <w:rPr>
          <w:rFonts w:asciiTheme="majorHAnsi" w:hAnsiTheme="majorHAnsi" w:cstheme="majorHAnsi"/>
          <w:sz w:val="24"/>
          <w:szCs w:val="24"/>
        </w:rPr>
        <w:t xml:space="preserve"> </w:t>
      </w:r>
      <w:r w:rsidR="00B83FFA" w:rsidRPr="00061E10">
        <w:rPr>
          <w:rFonts w:asciiTheme="majorHAnsi" w:hAnsiTheme="majorHAnsi" w:cstheme="majorHAnsi"/>
          <w:sz w:val="24"/>
          <w:szCs w:val="24"/>
        </w:rPr>
        <w:t xml:space="preserve">nu au fost </w:t>
      </w:r>
      <w:r w:rsidR="00B30444" w:rsidRPr="00061E10">
        <w:rPr>
          <w:rFonts w:asciiTheme="majorHAnsi" w:hAnsiTheme="majorHAnsi" w:cstheme="majorHAnsi"/>
          <w:sz w:val="24"/>
          <w:szCs w:val="24"/>
        </w:rPr>
        <w:t xml:space="preserve">confirmate de către alți administratori ai veniturilor publice. </w:t>
      </w:r>
      <w:r w:rsidR="00A80F82" w:rsidRPr="00061E10">
        <w:rPr>
          <w:rFonts w:asciiTheme="majorHAnsi" w:hAnsiTheme="majorHAnsi" w:cstheme="majorHAnsi"/>
          <w:sz w:val="24"/>
          <w:szCs w:val="24"/>
        </w:rPr>
        <w:t>Prin care fapt, MF nu a respectat propria normă</w:t>
      </w:r>
      <w:r w:rsidR="00A80F82" w:rsidRPr="00061E10">
        <w:rPr>
          <w:rStyle w:val="FootnoteReference"/>
          <w:rFonts w:asciiTheme="majorHAnsi" w:hAnsiTheme="majorHAnsi" w:cstheme="majorHAnsi"/>
          <w:sz w:val="24"/>
          <w:szCs w:val="24"/>
        </w:rPr>
        <w:footnoteReference w:id="22"/>
      </w:r>
      <w:r w:rsidR="00A80F82" w:rsidRPr="00061E10">
        <w:rPr>
          <w:rFonts w:asciiTheme="majorHAnsi" w:hAnsiTheme="majorHAnsi" w:cstheme="majorHAnsi"/>
          <w:sz w:val="24"/>
          <w:szCs w:val="24"/>
        </w:rPr>
        <w:t xml:space="preserve"> care stipulează că „</w:t>
      </w:r>
      <w:r w:rsidR="00A80F82" w:rsidRPr="00061E10">
        <w:rPr>
          <w:rFonts w:asciiTheme="majorHAnsi" w:hAnsiTheme="majorHAnsi" w:cstheme="majorHAnsi"/>
          <w:i/>
          <w:sz w:val="24"/>
          <w:szCs w:val="24"/>
        </w:rPr>
        <w:t>în</w:t>
      </w:r>
      <w:r w:rsidR="00793C62" w:rsidRPr="00061E10">
        <w:rPr>
          <w:rFonts w:asciiTheme="majorHAnsi" w:hAnsiTheme="majorHAnsi" w:cstheme="majorHAnsi"/>
          <w:i/>
          <w:sz w:val="24"/>
          <w:szCs w:val="24"/>
        </w:rPr>
        <w:t xml:space="preserve"> </w:t>
      </w:r>
      <w:r w:rsidR="00A80F82" w:rsidRPr="00061E10">
        <w:rPr>
          <w:rFonts w:asciiTheme="majorHAnsi" w:hAnsiTheme="majorHAnsi" w:cstheme="majorHAnsi"/>
          <w:i/>
          <w:sz w:val="24"/>
          <w:szCs w:val="24"/>
        </w:rPr>
        <w:t>scopul corectitudinii întocmirii rapoartelor lunare privind executarea BS, BASS, FAOAM și BL</w:t>
      </w:r>
      <w:r w:rsidR="003E62CA" w:rsidRPr="00061E10">
        <w:rPr>
          <w:rFonts w:asciiTheme="majorHAnsi" w:hAnsiTheme="majorHAnsi" w:cstheme="majorHAnsi"/>
          <w:i/>
          <w:sz w:val="24"/>
          <w:szCs w:val="24"/>
        </w:rPr>
        <w:t>,</w:t>
      </w:r>
      <w:r w:rsidR="00A80F82" w:rsidRPr="00061E10">
        <w:rPr>
          <w:rFonts w:asciiTheme="majorHAnsi" w:hAnsiTheme="majorHAnsi" w:cstheme="majorHAnsi"/>
          <w:i/>
          <w:sz w:val="24"/>
          <w:szCs w:val="24"/>
        </w:rPr>
        <w:t xml:space="preserve"> </w:t>
      </w:r>
      <w:r w:rsidR="0001540C" w:rsidRPr="00061E10">
        <w:rPr>
          <w:rFonts w:asciiTheme="majorHAnsi" w:hAnsiTheme="majorHAnsi" w:cstheme="majorHAnsi"/>
          <w:i/>
          <w:sz w:val="24"/>
          <w:szCs w:val="24"/>
        </w:rPr>
        <w:lastRenderedPageBreak/>
        <w:t>Direcția TS și Trezoreriile teritoriale ale MF prezintă administratorilor de venit în a 5 zi a lunii următoare perioadei</w:t>
      </w:r>
      <w:r w:rsidR="0001540C">
        <w:rPr>
          <w:rFonts w:asciiTheme="majorHAnsi" w:hAnsiTheme="majorHAnsi" w:cstheme="majorHAnsi"/>
          <w:i/>
          <w:sz w:val="24"/>
          <w:szCs w:val="24"/>
        </w:rPr>
        <w:t xml:space="preserve"> de gestiune Registrul veniturilor BS </w:t>
      </w:r>
      <w:r w:rsidR="00A80F82" w:rsidRPr="00AC0F09">
        <w:rPr>
          <w:rFonts w:asciiTheme="majorHAnsi" w:hAnsiTheme="majorHAnsi" w:cstheme="majorHAnsi"/>
          <w:i/>
          <w:sz w:val="24"/>
          <w:szCs w:val="24"/>
        </w:rPr>
        <w:t>(Forma FI-006) în 2 exemplare, semnate</w:t>
      </w:r>
      <w:r w:rsidR="00793C62">
        <w:rPr>
          <w:rFonts w:asciiTheme="majorHAnsi" w:hAnsiTheme="majorHAnsi" w:cstheme="majorHAnsi"/>
          <w:i/>
          <w:sz w:val="24"/>
          <w:szCs w:val="24"/>
        </w:rPr>
        <w:t xml:space="preserve"> </w:t>
      </w:r>
      <w:r w:rsidR="00A80F82" w:rsidRPr="00AC0F09">
        <w:rPr>
          <w:rFonts w:asciiTheme="majorHAnsi" w:hAnsiTheme="majorHAnsi" w:cstheme="majorHAnsi"/>
          <w:i/>
          <w:sz w:val="24"/>
          <w:szCs w:val="24"/>
        </w:rPr>
        <w:t xml:space="preserve">de persoanele implicate, </w:t>
      </w:r>
      <w:r w:rsidR="00AC0F09" w:rsidRPr="00AC0F09">
        <w:rPr>
          <w:rFonts w:asciiTheme="majorHAnsi" w:hAnsiTheme="majorHAnsi" w:cstheme="majorHAnsi"/>
          <w:i/>
          <w:sz w:val="24"/>
          <w:szCs w:val="24"/>
        </w:rPr>
        <w:t>cu aplicarea ștampilei. Registrele se perfectează cumulativ de la începutul anului, pe tipuri de impozite și taxe”</w:t>
      </w:r>
      <w:r w:rsidR="00AC0F09">
        <w:rPr>
          <w:rFonts w:asciiTheme="majorHAnsi" w:hAnsiTheme="majorHAnsi" w:cstheme="majorHAnsi"/>
          <w:i/>
          <w:sz w:val="24"/>
          <w:szCs w:val="24"/>
        </w:rPr>
        <w:t xml:space="preserve">. </w:t>
      </w:r>
    </w:p>
    <w:p w:rsidR="00B30444" w:rsidRDefault="000B278E" w:rsidP="006C6057">
      <w:pPr>
        <w:spacing w:after="0" w:line="276" w:lineRule="auto"/>
        <w:ind w:firstLine="720"/>
        <w:jc w:val="both"/>
        <w:rPr>
          <w:rFonts w:asciiTheme="majorHAnsi" w:hAnsiTheme="majorHAnsi" w:cstheme="majorHAnsi"/>
          <w:sz w:val="24"/>
          <w:szCs w:val="24"/>
        </w:rPr>
      </w:pPr>
      <w:r w:rsidRPr="009E3334">
        <w:rPr>
          <w:rFonts w:asciiTheme="majorHAnsi" w:hAnsiTheme="majorHAnsi" w:cstheme="majorHAnsi"/>
          <w:sz w:val="24"/>
          <w:szCs w:val="24"/>
        </w:rPr>
        <w:t xml:space="preserve">Deși MF </w:t>
      </w:r>
      <w:r w:rsidR="005A7C6F" w:rsidRPr="009E3334">
        <w:rPr>
          <w:rFonts w:asciiTheme="majorHAnsi" w:hAnsiTheme="majorHAnsi" w:cstheme="majorHAnsi"/>
          <w:sz w:val="24"/>
          <w:szCs w:val="24"/>
        </w:rPr>
        <w:t>în anul 2018 a dispus</w:t>
      </w:r>
      <w:r w:rsidRPr="009E3334">
        <w:rPr>
          <w:rFonts w:asciiTheme="majorHAnsi" w:hAnsiTheme="majorHAnsi" w:cstheme="majorHAnsi"/>
          <w:sz w:val="24"/>
          <w:szCs w:val="24"/>
        </w:rPr>
        <w:t xml:space="preserve"> de o listă a beneficiarilor informației </w:t>
      </w:r>
      <w:r w:rsidR="005A7C6F" w:rsidRPr="009E3334">
        <w:rPr>
          <w:rFonts w:asciiTheme="majorHAnsi" w:hAnsiTheme="majorHAnsi" w:cstheme="majorHAnsi"/>
          <w:sz w:val="24"/>
          <w:szCs w:val="24"/>
        </w:rPr>
        <w:t>ce se transmite</w:t>
      </w:r>
      <w:r w:rsidRPr="009E3334">
        <w:rPr>
          <w:rFonts w:asciiTheme="majorHAnsi" w:hAnsiTheme="majorHAnsi" w:cstheme="majorHAnsi"/>
          <w:sz w:val="24"/>
          <w:szCs w:val="24"/>
        </w:rPr>
        <w:t xml:space="preserve"> în mod electronic unor instituții, M</w:t>
      </w:r>
      <w:r w:rsidR="003E62CA">
        <w:rPr>
          <w:rFonts w:asciiTheme="majorHAnsi" w:hAnsiTheme="majorHAnsi" w:cstheme="majorHAnsi"/>
          <w:sz w:val="24"/>
          <w:szCs w:val="24"/>
        </w:rPr>
        <w:t>inisterul</w:t>
      </w:r>
      <w:r w:rsidRPr="009E3334">
        <w:rPr>
          <w:rFonts w:asciiTheme="majorHAnsi" w:hAnsiTheme="majorHAnsi" w:cstheme="majorHAnsi"/>
          <w:sz w:val="24"/>
          <w:szCs w:val="24"/>
        </w:rPr>
        <w:t xml:space="preserve"> nu </w:t>
      </w:r>
      <w:r w:rsidR="00EA2058" w:rsidRPr="009E3334">
        <w:rPr>
          <w:rFonts w:asciiTheme="majorHAnsi" w:hAnsiTheme="majorHAnsi" w:cstheme="majorHAnsi"/>
          <w:sz w:val="24"/>
          <w:szCs w:val="24"/>
        </w:rPr>
        <w:t>s-a</w:t>
      </w:r>
      <w:r w:rsidR="00B643F0" w:rsidRPr="009E3334">
        <w:rPr>
          <w:rFonts w:asciiTheme="majorHAnsi" w:hAnsiTheme="majorHAnsi" w:cstheme="majorHAnsi"/>
          <w:sz w:val="24"/>
          <w:szCs w:val="24"/>
        </w:rPr>
        <w:t xml:space="preserve"> asigurat</w:t>
      </w:r>
      <w:r w:rsidRPr="009E3334">
        <w:rPr>
          <w:rFonts w:asciiTheme="majorHAnsi" w:hAnsiTheme="majorHAnsi" w:cstheme="majorHAnsi"/>
          <w:sz w:val="24"/>
          <w:szCs w:val="24"/>
        </w:rPr>
        <w:t xml:space="preserve"> </w:t>
      </w:r>
      <w:r w:rsidR="00B643F0" w:rsidRPr="009E3334">
        <w:rPr>
          <w:rFonts w:asciiTheme="majorHAnsi" w:hAnsiTheme="majorHAnsi" w:cstheme="majorHAnsi"/>
          <w:sz w:val="24"/>
          <w:szCs w:val="24"/>
        </w:rPr>
        <w:t>prin actele de verificare cu aceștia</w:t>
      </w:r>
      <w:r w:rsidRPr="009E3334">
        <w:rPr>
          <w:rFonts w:asciiTheme="majorHAnsi" w:hAnsiTheme="majorHAnsi" w:cstheme="majorHAnsi"/>
          <w:sz w:val="24"/>
          <w:szCs w:val="24"/>
        </w:rPr>
        <w:t>.</w:t>
      </w:r>
      <w:r w:rsidR="006C6057">
        <w:rPr>
          <w:rFonts w:asciiTheme="majorHAnsi" w:hAnsiTheme="majorHAnsi" w:cstheme="majorHAnsi"/>
          <w:sz w:val="24"/>
          <w:szCs w:val="24"/>
        </w:rPr>
        <w:t xml:space="preserve"> </w:t>
      </w:r>
      <w:r w:rsidR="00B613EA">
        <w:rPr>
          <w:rFonts w:asciiTheme="majorHAnsi" w:hAnsiTheme="majorHAnsi" w:cstheme="majorHAnsi"/>
          <w:sz w:val="24"/>
          <w:szCs w:val="24"/>
        </w:rPr>
        <w:t>Se atestă că</w:t>
      </w:r>
      <w:r w:rsidR="00A6246F">
        <w:rPr>
          <w:rFonts w:asciiTheme="majorHAnsi" w:hAnsiTheme="majorHAnsi" w:cstheme="majorHAnsi"/>
          <w:sz w:val="24"/>
          <w:szCs w:val="24"/>
        </w:rPr>
        <w:t xml:space="preserve"> a</w:t>
      </w:r>
      <w:r w:rsidR="00B30444" w:rsidRPr="00B30444">
        <w:rPr>
          <w:rFonts w:asciiTheme="majorHAnsi" w:hAnsiTheme="majorHAnsi" w:cstheme="majorHAnsi"/>
          <w:sz w:val="24"/>
          <w:szCs w:val="24"/>
        </w:rPr>
        <w:t xml:space="preserve">ceste circumstanțe limitează auditul în posibilitatea de a se expune asupra veridicității și plenitudinii informației incluse </w:t>
      </w:r>
      <w:r w:rsidR="003757E4">
        <w:rPr>
          <w:rFonts w:asciiTheme="majorHAnsi" w:hAnsiTheme="majorHAnsi" w:cstheme="majorHAnsi"/>
          <w:sz w:val="24"/>
          <w:szCs w:val="24"/>
        </w:rPr>
        <w:t xml:space="preserve">la </w:t>
      </w:r>
      <w:r w:rsidR="00B30444" w:rsidRPr="00B30444">
        <w:rPr>
          <w:rFonts w:asciiTheme="majorHAnsi" w:hAnsiTheme="majorHAnsi" w:cstheme="majorHAnsi"/>
          <w:sz w:val="24"/>
          <w:szCs w:val="24"/>
        </w:rPr>
        <w:t>partea de venituri din Raportul Guvernului privind executarea bugetului de stat pentru anul 2018.</w:t>
      </w:r>
    </w:p>
    <w:p w:rsidR="00B21B06" w:rsidRPr="00D137BA" w:rsidRDefault="00AC0F09" w:rsidP="00D137BA">
      <w:pPr>
        <w:spacing w:after="0" w:line="276" w:lineRule="auto"/>
        <w:ind w:firstLine="720"/>
        <w:jc w:val="both"/>
        <w:rPr>
          <w:rFonts w:asciiTheme="majorHAnsi" w:hAnsiTheme="majorHAnsi" w:cstheme="majorHAnsi"/>
          <w:sz w:val="24"/>
          <w:szCs w:val="24"/>
        </w:rPr>
      </w:pPr>
      <w:r>
        <w:rPr>
          <w:rFonts w:asciiTheme="majorHAnsi" w:hAnsiTheme="majorHAnsi" w:cstheme="majorHAnsi"/>
          <w:sz w:val="24"/>
          <w:szCs w:val="24"/>
        </w:rPr>
        <w:t>De asemenea</w:t>
      </w:r>
      <w:r w:rsidR="00E27F8D">
        <w:rPr>
          <w:rFonts w:asciiTheme="majorHAnsi" w:hAnsiTheme="majorHAnsi" w:cstheme="majorHAnsi"/>
          <w:sz w:val="24"/>
          <w:szCs w:val="24"/>
        </w:rPr>
        <w:t>, a</w:t>
      </w:r>
      <w:r w:rsidR="00B21B06">
        <w:rPr>
          <w:rFonts w:asciiTheme="majorHAnsi" w:hAnsiTheme="majorHAnsi" w:cstheme="majorHAnsi"/>
          <w:sz w:val="24"/>
          <w:szCs w:val="24"/>
        </w:rPr>
        <w:t>uditul relevă că</w:t>
      </w:r>
      <w:r w:rsidR="00DF286E">
        <w:rPr>
          <w:rFonts w:asciiTheme="majorHAnsi" w:hAnsiTheme="majorHAnsi" w:cstheme="majorHAnsi"/>
          <w:sz w:val="24"/>
          <w:szCs w:val="24"/>
        </w:rPr>
        <w:t>,</w:t>
      </w:r>
      <w:r w:rsidR="00B21B06">
        <w:rPr>
          <w:rFonts w:asciiTheme="majorHAnsi" w:hAnsiTheme="majorHAnsi" w:cstheme="majorHAnsi"/>
          <w:sz w:val="24"/>
          <w:szCs w:val="24"/>
        </w:rPr>
        <w:t xml:space="preserve"> contribuțiile obligatorii ale producătorilor de produse vitivinicole, încasate pe parcursul an</w:t>
      </w:r>
      <w:r w:rsidR="00E45916">
        <w:rPr>
          <w:rFonts w:asciiTheme="majorHAnsi" w:hAnsiTheme="majorHAnsi" w:cstheme="majorHAnsi"/>
          <w:sz w:val="24"/>
          <w:szCs w:val="24"/>
        </w:rPr>
        <w:t>ilor</w:t>
      </w:r>
      <w:r w:rsidR="00B21B06">
        <w:rPr>
          <w:rFonts w:asciiTheme="majorHAnsi" w:hAnsiTheme="majorHAnsi" w:cstheme="majorHAnsi"/>
          <w:sz w:val="24"/>
          <w:szCs w:val="24"/>
        </w:rPr>
        <w:t xml:space="preserve"> 2017</w:t>
      </w:r>
      <w:r w:rsidR="00A90C74">
        <w:rPr>
          <w:rFonts w:asciiTheme="majorHAnsi" w:hAnsiTheme="majorHAnsi" w:cstheme="majorHAnsi"/>
          <w:sz w:val="24"/>
          <w:szCs w:val="24"/>
        </w:rPr>
        <w:t xml:space="preserve"> (20,3 mil. </w:t>
      </w:r>
      <w:r w:rsidR="007160B9">
        <w:rPr>
          <w:rFonts w:asciiTheme="majorHAnsi" w:hAnsiTheme="majorHAnsi" w:cstheme="majorHAnsi"/>
          <w:sz w:val="24"/>
          <w:szCs w:val="24"/>
        </w:rPr>
        <w:t xml:space="preserve">MDL </w:t>
      </w:r>
      <w:r w:rsidR="00A90C74">
        <w:rPr>
          <w:rFonts w:asciiTheme="majorHAnsi" w:hAnsiTheme="majorHAnsi" w:cstheme="majorHAnsi"/>
          <w:sz w:val="24"/>
          <w:szCs w:val="24"/>
        </w:rPr>
        <w:t>)</w:t>
      </w:r>
      <w:r w:rsidR="00B21B06">
        <w:rPr>
          <w:rFonts w:asciiTheme="majorHAnsi" w:hAnsiTheme="majorHAnsi" w:cstheme="majorHAnsi"/>
          <w:sz w:val="24"/>
          <w:szCs w:val="24"/>
        </w:rPr>
        <w:t xml:space="preserve"> și 2018 (21,4 mil. </w:t>
      </w:r>
      <w:r w:rsidR="007160B9">
        <w:rPr>
          <w:rFonts w:asciiTheme="majorHAnsi" w:hAnsiTheme="majorHAnsi" w:cstheme="majorHAnsi"/>
          <w:sz w:val="24"/>
          <w:szCs w:val="24"/>
        </w:rPr>
        <w:t xml:space="preserve">MDL </w:t>
      </w:r>
      <w:r w:rsidR="00B21B06">
        <w:rPr>
          <w:rFonts w:asciiTheme="majorHAnsi" w:hAnsiTheme="majorHAnsi" w:cstheme="majorHAnsi"/>
          <w:sz w:val="24"/>
          <w:szCs w:val="24"/>
        </w:rPr>
        <w:t>)</w:t>
      </w:r>
      <w:r w:rsidR="00E45916">
        <w:rPr>
          <w:rFonts w:asciiTheme="majorHAnsi" w:hAnsiTheme="majorHAnsi" w:cstheme="majorHAnsi"/>
          <w:sz w:val="24"/>
          <w:szCs w:val="24"/>
        </w:rPr>
        <w:t>,</w:t>
      </w:r>
      <w:r w:rsidR="00B21B06">
        <w:rPr>
          <w:rFonts w:asciiTheme="majorHAnsi" w:hAnsiTheme="majorHAnsi" w:cstheme="majorHAnsi"/>
          <w:sz w:val="24"/>
          <w:szCs w:val="24"/>
        </w:rPr>
        <w:t xml:space="preserve"> </w:t>
      </w:r>
      <w:r w:rsidR="00E45916">
        <w:rPr>
          <w:rFonts w:asciiTheme="majorHAnsi" w:hAnsiTheme="majorHAnsi" w:cstheme="majorHAnsi"/>
          <w:sz w:val="24"/>
          <w:szCs w:val="24"/>
        </w:rPr>
        <w:t>nu au fost</w:t>
      </w:r>
      <w:r w:rsidR="00B21B06">
        <w:rPr>
          <w:rFonts w:asciiTheme="majorHAnsi" w:hAnsiTheme="majorHAnsi" w:cstheme="majorHAnsi"/>
          <w:sz w:val="24"/>
          <w:szCs w:val="24"/>
        </w:rPr>
        <w:t xml:space="preserve"> supuse verificărilor reciproce între MF și SFS</w:t>
      </w:r>
      <w:r w:rsidR="00B21B06">
        <w:rPr>
          <w:rStyle w:val="FootnoteReference"/>
          <w:rFonts w:asciiTheme="majorHAnsi" w:hAnsiTheme="majorHAnsi" w:cstheme="majorHAnsi"/>
          <w:sz w:val="24"/>
          <w:szCs w:val="24"/>
        </w:rPr>
        <w:footnoteReference w:id="23"/>
      </w:r>
      <w:r w:rsidR="00475298">
        <w:rPr>
          <w:rFonts w:asciiTheme="majorHAnsi" w:hAnsiTheme="majorHAnsi" w:cstheme="majorHAnsi"/>
          <w:sz w:val="24"/>
          <w:szCs w:val="24"/>
        </w:rPr>
        <w:t>, fiind luate măsuri din anul 2019.</w:t>
      </w:r>
    </w:p>
    <w:p w:rsidR="00AE2E3C" w:rsidRPr="00F23747" w:rsidRDefault="0036672C" w:rsidP="00F23747">
      <w:pPr>
        <w:spacing w:after="0" w:line="276" w:lineRule="auto"/>
        <w:ind w:firstLine="709"/>
        <w:jc w:val="both"/>
        <w:rPr>
          <w:rFonts w:asciiTheme="majorHAnsi" w:eastAsia="Times New Roman" w:hAnsiTheme="majorHAnsi" w:cstheme="majorHAnsi"/>
          <w:sz w:val="24"/>
          <w:szCs w:val="24"/>
        </w:rPr>
      </w:pPr>
      <w:r>
        <w:rPr>
          <w:rFonts w:asciiTheme="majorHAnsi" w:hAnsiTheme="majorHAnsi" w:cstheme="majorHAnsi"/>
          <w:sz w:val="24"/>
          <w:szCs w:val="24"/>
        </w:rPr>
        <w:t>D</w:t>
      </w:r>
      <w:r w:rsidR="00AE2E3C" w:rsidRPr="00AE2E3C">
        <w:rPr>
          <w:rFonts w:asciiTheme="majorHAnsi" w:hAnsiTheme="majorHAnsi" w:cstheme="majorHAnsi"/>
          <w:sz w:val="24"/>
          <w:szCs w:val="24"/>
        </w:rPr>
        <w:t xml:space="preserve">eși au fost întocmite acte de verificare cu SFS și SV, </w:t>
      </w:r>
      <w:r>
        <w:rPr>
          <w:rFonts w:asciiTheme="majorHAnsi" w:hAnsiTheme="majorHAnsi" w:cstheme="majorHAnsi"/>
          <w:sz w:val="24"/>
          <w:szCs w:val="24"/>
        </w:rPr>
        <w:t>auditul relevă admiterea unor</w:t>
      </w:r>
      <w:r w:rsidR="00AE2E3C" w:rsidRPr="00AE2E3C">
        <w:rPr>
          <w:rFonts w:asciiTheme="majorHAnsi" w:hAnsiTheme="majorHAnsi" w:cstheme="majorHAnsi"/>
          <w:sz w:val="24"/>
          <w:szCs w:val="24"/>
        </w:rPr>
        <w:t xml:space="preserve"> erori nesemnificative la </w:t>
      </w:r>
      <w:r w:rsidR="002944F7">
        <w:rPr>
          <w:rFonts w:asciiTheme="majorHAnsi" w:hAnsiTheme="majorHAnsi" w:cstheme="majorHAnsi"/>
          <w:sz w:val="24"/>
          <w:szCs w:val="24"/>
        </w:rPr>
        <w:t>atribuirea</w:t>
      </w:r>
      <w:r w:rsidR="00AE2E3C" w:rsidRPr="00AE2E3C">
        <w:rPr>
          <w:rFonts w:asciiTheme="majorHAnsi" w:hAnsiTheme="majorHAnsi" w:cstheme="majorHAnsi"/>
          <w:sz w:val="24"/>
          <w:szCs w:val="24"/>
        </w:rPr>
        <w:t xml:space="preserve"> </w:t>
      </w:r>
      <w:r w:rsidR="00B9494E">
        <w:rPr>
          <w:rFonts w:asciiTheme="majorHAnsi" w:hAnsiTheme="majorHAnsi" w:cstheme="majorHAnsi"/>
          <w:sz w:val="24"/>
          <w:szCs w:val="24"/>
        </w:rPr>
        <w:t>unor</w:t>
      </w:r>
      <w:r w:rsidR="00AE2E3C" w:rsidRPr="00AE2E3C">
        <w:rPr>
          <w:rFonts w:asciiTheme="majorHAnsi" w:hAnsiTheme="majorHAnsi" w:cstheme="majorHAnsi"/>
          <w:sz w:val="24"/>
          <w:szCs w:val="24"/>
        </w:rPr>
        <w:t xml:space="preserve"> tipuri de venituri.</w:t>
      </w:r>
      <w:r w:rsidR="00AE2E3C" w:rsidRPr="00AE2E3C">
        <w:rPr>
          <w:rFonts w:asciiTheme="majorHAnsi" w:eastAsia="Times New Roman" w:hAnsiTheme="majorHAnsi" w:cstheme="majorHAnsi"/>
          <w:b/>
          <w:sz w:val="24"/>
          <w:szCs w:val="24"/>
          <w:lang w:val="ro-MD"/>
        </w:rPr>
        <w:t xml:space="preserve"> </w:t>
      </w:r>
      <w:r w:rsidR="00AE2E3C" w:rsidRPr="00AE2E3C">
        <w:rPr>
          <w:rFonts w:asciiTheme="majorHAnsi" w:eastAsia="Times New Roman" w:hAnsiTheme="majorHAnsi" w:cstheme="majorHAnsi"/>
          <w:sz w:val="24"/>
          <w:szCs w:val="24"/>
          <w:lang w:val="ro-MD"/>
        </w:rPr>
        <w:t>Astfel,</w:t>
      </w:r>
      <w:r w:rsidR="00D91006">
        <w:rPr>
          <w:rFonts w:asciiTheme="majorHAnsi" w:eastAsia="Times New Roman" w:hAnsiTheme="majorHAnsi" w:cstheme="majorHAnsi"/>
          <w:sz w:val="24"/>
          <w:szCs w:val="24"/>
          <w:lang w:val="ro-MD"/>
        </w:rPr>
        <w:t xml:space="preserve"> au fost repartizate eronat</w:t>
      </w:r>
      <w:r w:rsidR="00CB1FEF">
        <w:rPr>
          <w:rFonts w:asciiTheme="majorHAnsi" w:eastAsia="Times New Roman" w:hAnsiTheme="majorHAnsi" w:cstheme="majorHAnsi"/>
          <w:sz w:val="24"/>
          <w:szCs w:val="24"/>
          <w:lang w:val="ro-MD"/>
        </w:rPr>
        <w:t>,</w:t>
      </w:r>
      <w:r w:rsidR="00D91006">
        <w:rPr>
          <w:rFonts w:asciiTheme="majorHAnsi" w:eastAsia="Times New Roman" w:hAnsiTheme="majorHAnsi" w:cstheme="majorHAnsi"/>
          <w:sz w:val="24"/>
          <w:szCs w:val="24"/>
          <w:lang w:val="ro-MD"/>
        </w:rPr>
        <w:t xml:space="preserve"> la 3</w:t>
      </w:r>
      <w:r w:rsidR="00AE2E3C" w:rsidRPr="00AE2E3C">
        <w:rPr>
          <w:rFonts w:asciiTheme="majorHAnsi" w:eastAsia="Times New Roman" w:hAnsiTheme="majorHAnsi" w:cstheme="majorHAnsi"/>
          <w:sz w:val="24"/>
          <w:szCs w:val="24"/>
          <w:lang w:val="ro-MD"/>
        </w:rPr>
        <w:t xml:space="preserve"> coduri economice</w:t>
      </w:r>
      <w:r w:rsidR="00CB1FEF">
        <w:rPr>
          <w:rFonts w:asciiTheme="majorHAnsi" w:eastAsia="Times New Roman" w:hAnsiTheme="majorHAnsi" w:cstheme="majorHAnsi"/>
          <w:sz w:val="24"/>
          <w:szCs w:val="24"/>
          <w:lang w:val="ro-MD"/>
        </w:rPr>
        <w:t>,</w:t>
      </w:r>
      <w:r w:rsidR="00AE2E3C" w:rsidRPr="00AE2E3C">
        <w:rPr>
          <w:rFonts w:asciiTheme="majorHAnsi" w:eastAsia="Times New Roman" w:hAnsiTheme="majorHAnsi" w:cstheme="majorHAnsi"/>
          <w:sz w:val="24"/>
          <w:szCs w:val="24"/>
          <w:lang w:val="ro-MD"/>
        </w:rPr>
        <w:t xml:space="preserve"> venituri în sumă totală de 35,7 mii </w:t>
      </w:r>
      <w:r w:rsidR="007160B9">
        <w:rPr>
          <w:rFonts w:asciiTheme="majorHAnsi" w:eastAsia="Times New Roman" w:hAnsiTheme="majorHAnsi" w:cstheme="majorHAnsi"/>
          <w:sz w:val="24"/>
          <w:szCs w:val="24"/>
          <w:lang w:val="ro-MD"/>
        </w:rPr>
        <w:t>MDL</w:t>
      </w:r>
      <w:r w:rsidR="00AE2E3C" w:rsidRPr="00AE2E3C">
        <w:rPr>
          <w:rFonts w:asciiTheme="majorHAnsi" w:eastAsia="Times New Roman" w:hAnsiTheme="majorHAnsi" w:cstheme="majorHAnsi"/>
          <w:sz w:val="24"/>
          <w:szCs w:val="24"/>
          <w:lang w:val="ro-MD"/>
        </w:rPr>
        <w:t>, din</w:t>
      </w:r>
      <w:r w:rsidR="00CB1FEF">
        <w:rPr>
          <w:rFonts w:asciiTheme="majorHAnsi" w:eastAsia="Times New Roman" w:hAnsiTheme="majorHAnsi" w:cstheme="majorHAnsi"/>
          <w:sz w:val="24"/>
          <w:szCs w:val="24"/>
          <w:lang w:val="ro-MD"/>
        </w:rPr>
        <w:t>tre</w:t>
      </w:r>
      <w:r w:rsidR="00AE2E3C" w:rsidRPr="00AE2E3C">
        <w:rPr>
          <w:rFonts w:asciiTheme="majorHAnsi" w:eastAsia="Times New Roman" w:hAnsiTheme="majorHAnsi" w:cstheme="majorHAnsi"/>
          <w:sz w:val="24"/>
          <w:szCs w:val="24"/>
          <w:lang w:val="ro-MD"/>
        </w:rPr>
        <w:t xml:space="preserve"> care</w:t>
      </w:r>
      <w:r w:rsidR="00CB1FEF">
        <w:rPr>
          <w:rFonts w:asciiTheme="majorHAnsi" w:eastAsia="Times New Roman" w:hAnsiTheme="majorHAnsi" w:cstheme="majorHAnsi"/>
          <w:sz w:val="24"/>
          <w:szCs w:val="24"/>
          <w:lang w:val="ro-MD"/>
        </w:rPr>
        <w:t>:</w:t>
      </w:r>
      <w:r w:rsidR="00AE2E3C" w:rsidRPr="00AE2E3C">
        <w:rPr>
          <w:rFonts w:asciiTheme="majorHAnsi" w:eastAsia="Times New Roman" w:hAnsiTheme="majorHAnsi" w:cstheme="majorHAnsi"/>
          <w:sz w:val="24"/>
          <w:szCs w:val="24"/>
          <w:lang w:val="ro-MD"/>
        </w:rPr>
        <w:t xml:space="preserve"> la </w:t>
      </w:r>
      <w:r w:rsidR="00AE2E3C" w:rsidRPr="00AE2E3C">
        <w:rPr>
          <w:rFonts w:asciiTheme="majorHAnsi" w:eastAsia="Times New Roman" w:hAnsiTheme="majorHAnsi" w:cstheme="majorHAnsi"/>
          <w:i/>
          <w:sz w:val="24"/>
          <w:szCs w:val="24"/>
          <w:lang w:val="ro-MD"/>
        </w:rPr>
        <w:t xml:space="preserve">codul </w:t>
      </w:r>
      <w:r w:rsidR="00AE2E3C" w:rsidRPr="00EB7075">
        <w:rPr>
          <w:rFonts w:asciiTheme="majorHAnsi" w:eastAsia="Times New Roman" w:hAnsiTheme="majorHAnsi" w:cstheme="majorHAnsi"/>
          <w:i/>
          <w:sz w:val="24"/>
          <w:szCs w:val="24"/>
          <w:lang w:val="ro-MD"/>
        </w:rPr>
        <w:t xml:space="preserve">ECO 141541 </w:t>
      </w:r>
      <w:r w:rsidR="00E45916" w:rsidRPr="00EB7075">
        <w:rPr>
          <w:rFonts w:asciiTheme="majorHAnsi" w:eastAsia="Times New Roman" w:hAnsiTheme="majorHAnsi" w:cstheme="majorHAnsi"/>
          <w:i/>
          <w:sz w:val="24"/>
          <w:szCs w:val="24"/>
          <w:lang w:val="ro-MD"/>
        </w:rPr>
        <w:t>„</w:t>
      </w:r>
      <w:r w:rsidR="00AE2E3C" w:rsidRPr="00EB7075">
        <w:rPr>
          <w:rFonts w:asciiTheme="majorHAnsi" w:eastAsia="Times New Roman" w:hAnsiTheme="majorHAnsi" w:cstheme="majorHAnsi"/>
          <w:i/>
          <w:sz w:val="24"/>
          <w:szCs w:val="24"/>
          <w:lang w:val="ro-MD"/>
        </w:rPr>
        <w:t>redevența din</w:t>
      </w:r>
      <w:r w:rsidR="00AE2E3C" w:rsidRPr="00AE2E3C">
        <w:rPr>
          <w:rFonts w:asciiTheme="majorHAnsi" w:eastAsia="Times New Roman" w:hAnsiTheme="majorHAnsi" w:cstheme="majorHAnsi"/>
          <w:i/>
          <w:sz w:val="24"/>
          <w:szCs w:val="24"/>
          <w:lang w:val="ro-MD"/>
        </w:rPr>
        <w:t xml:space="preserve"> concesionarea activelor și terenurilor aferente”</w:t>
      </w:r>
      <w:r w:rsidR="005F5535">
        <w:rPr>
          <w:rFonts w:asciiTheme="majorHAnsi" w:eastAsia="Times New Roman" w:hAnsiTheme="majorHAnsi" w:cstheme="majorHAnsi"/>
          <w:sz w:val="24"/>
          <w:szCs w:val="24"/>
          <w:lang w:val="ro-MD"/>
        </w:rPr>
        <w:t xml:space="preserve"> </w:t>
      </w:r>
      <w:r w:rsidR="00E45916">
        <w:rPr>
          <w:rFonts w:asciiTheme="majorHAnsi" w:eastAsia="Times New Roman" w:hAnsiTheme="majorHAnsi" w:cstheme="majorHAnsi"/>
          <w:sz w:val="24"/>
          <w:szCs w:val="24"/>
          <w:lang w:val="ro-MD"/>
        </w:rPr>
        <w:t>–</w:t>
      </w:r>
      <w:r w:rsidR="005F5535">
        <w:rPr>
          <w:rFonts w:asciiTheme="majorHAnsi" w:eastAsia="Times New Roman" w:hAnsiTheme="majorHAnsi" w:cstheme="majorHAnsi"/>
          <w:sz w:val="24"/>
          <w:szCs w:val="24"/>
          <w:lang w:val="ro-MD"/>
        </w:rPr>
        <w:t xml:space="preserve"> 1,5</w:t>
      </w:r>
      <w:r w:rsidR="00AE2E3C" w:rsidRPr="00AE2E3C">
        <w:rPr>
          <w:rFonts w:asciiTheme="majorHAnsi" w:eastAsia="Times New Roman" w:hAnsiTheme="majorHAnsi" w:cstheme="majorHAnsi"/>
          <w:sz w:val="24"/>
          <w:szCs w:val="24"/>
          <w:lang w:val="ro-MD"/>
        </w:rPr>
        <w:t xml:space="preserve"> mii </w:t>
      </w:r>
      <w:r w:rsidR="007160B9">
        <w:rPr>
          <w:rFonts w:asciiTheme="majorHAnsi" w:eastAsia="Times New Roman" w:hAnsiTheme="majorHAnsi" w:cstheme="majorHAnsi"/>
          <w:sz w:val="24"/>
          <w:szCs w:val="24"/>
          <w:lang w:val="ro-MD"/>
        </w:rPr>
        <w:t>MDL</w:t>
      </w:r>
      <w:r w:rsidR="00AE2E3C" w:rsidRPr="00AE2E3C">
        <w:rPr>
          <w:rFonts w:asciiTheme="majorHAnsi" w:eastAsia="Times New Roman" w:hAnsiTheme="majorHAnsi" w:cstheme="majorHAnsi"/>
          <w:sz w:val="24"/>
          <w:szCs w:val="24"/>
          <w:lang w:val="ro-MD"/>
        </w:rPr>
        <w:t xml:space="preserve">, la </w:t>
      </w:r>
      <w:r w:rsidR="00AE2E3C" w:rsidRPr="00AE2E3C">
        <w:rPr>
          <w:rFonts w:asciiTheme="majorHAnsi" w:eastAsia="Times New Roman" w:hAnsiTheme="majorHAnsi" w:cstheme="majorHAnsi"/>
          <w:i/>
          <w:sz w:val="24"/>
          <w:szCs w:val="24"/>
          <w:lang w:val="ro-MD"/>
        </w:rPr>
        <w:t xml:space="preserve">codul ECO 141221 </w:t>
      </w:r>
      <w:r w:rsidR="00E45916">
        <w:rPr>
          <w:rFonts w:asciiTheme="majorHAnsi" w:eastAsia="Times New Roman" w:hAnsiTheme="majorHAnsi" w:cstheme="majorHAnsi"/>
          <w:i/>
          <w:sz w:val="24"/>
          <w:szCs w:val="24"/>
          <w:lang w:val="ro-MD"/>
        </w:rPr>
        <w:t>„</w:t>
      </w:r>
      <w:r w:rsidR="00AE2E3C" w:rsidRPr="00AE2E3C">
        <w:rPr>
          <w:rFonts w:asciiTheme="majorHAnsi" w:eastAsia="Times New Roman" w:hAnsiTheme="majorHAnsi" w:cstheme="majorHAnsi"/>
          <w:i/>
          <w:sz w:val="24"/>
          <w:szCs w:val="24"/>
          <w:lang w:val="ro-MD"/>
        </w:rPr>
        <w:t>dividende primite de la cota</w:t>
      </w:r>
      <w:r w:rsidR="00E45916">
        <w:rPr>
          <w:rFonts w:asciiTheme="majorHAnsi" w:eastAsia="Times New Roman" w:hAnsiTheme="majorHAnsi" w:cstheme="majorHAnsi"/>
          <w:i/>
          <w:sz w:val="24"/>
          <w:szCs w:val="24"/>
          <w:lang w:val="ro-MD"/>
        </w:rPr>
        <w:t>-</w:t>
      </w:r>
      <w:r w:rsidR="00AE2E3C" w:rsidRPr="00AE2E3C">
        <w:rPr>
          <w:rFonts w:asciiTheme="majorHAnsi" w:eastAsia="Times New Roman" w:hAnsiTheme="majorHAnsi" w:cstheme="majorHAnsi"/>
          <w:i/>
          <w:sz w:val="24"/>
          <w:szCs w:val="24"/>
          <w:lang w:val="ro-MD"/>
        </w:rPr>
        <w:t xml:space="preserve">parte a proprietății publice în SA în BS” </w:t>
      </w:r>
      <w:r w:rsidR="00E45916">
        <w:rPr>
          <w:rFonts w:asciiTheme="majorHAnsi" w:eastAsia="Times New Roman" w:hAnsiTheme="majorHAnsi" w:cstheme="majorHAnsi"/>
          <w:i/>
          <w:sz w:val="24"/>
          <w:szCs w:val="24"/>
          <w:lang w:val="ro-MD"/>
        </w:rPr>
        <w:t>–</w:t>
      </w:r>
      <w:r w:rsidR="00AE2E3C" w:rsidRPr="00AE2E3C">
        <w:rPr>
          <w:rFonts w:asciiTheme="majorHAnsi" w:eastAsia="Times New Roman" w:hAnsiTheme="majorHAnsi" w:cstheme="majorHAnsi"/>
          <w:i/>
          <w:sz w:val="24"/>
          <w:szCs w:val="24"/>
          <w:lang w:val="ro-MD"/>
        </w:rPr>
        <w:t xml:space="preserve"> 20,4 mii </w:t>
      </w:r>
      <w:r w:rsidR="007160B9">
        <w:rPr>
          <w:rFonts w:asciiTheme="majorHAnsi" w:eastAsia="Times New Roman" w:hAnsiTheme="majorHAnsi" w:cstheme="majorHAnsi"/>
          <w:i/>
          <w:sz w:val="24"/>
          <w:szCs w:val="24"/>
          <w:lang w:val="ro-MD"/>
        </w:rPr>
        <w:t>MDL</w:t>
      </w:r>
      <w:r w:rsidR="00E45916">
        <w:rPr>
          <w:rFonts w:asciiTheme="majorHAnsi" w:eastAsia="Times New Roman" w:hAnsiTheme="majorHAnsi" w:cstheme="majorHAnsi"/>
          <w:i/>
          <w:sz w:val="24"/>
          <w:szCs w:val="24"/>
          <w:lang w:val="ro-MD"/>
        </w:rPr>
        <w:t>,</w:t>
      </w:r>
      <w:r w:rsidR="00AE2E3C" w:rsidRPr="00AE2E3C">
        <w:rPr>
          <w:rFonts w:asciiTheme="majorHAnsi" w:eastAsia="Times New Roman" w:hAnsiTheme="majorHAnsi" w:cstheme="majorHAnsi"/>
          <w:i/>
          <w:sz w:val="24"/>
          <w:szCs w:val="24"/>
          <w:lang w:val="ro-MD"/>
        </w:rPr>
        <w:t xml:space="preserve"> și la codul ECO 113311 </w:t>
      </w:r>
      <w:r w:rsidR="00E45916">
        <w:rPr>
          <w:rFonts w:asciiTheme="majorHAnsi" w:eastAsia="Times New Roman" w:hAnsiTheme="majorHAnsi" w:cstheme="majorHAnsi"/>
          <w:i/>
          <w:sz w:val="24"/>
          <w:szCs w:val="24"/>
          <w:lang w:val="ro-MD"/>
        </w:rPr>
        <w:t>„</w:t>
      </w:r>
      <w:r w:rsidR="00AE2E3C" w:rsidRPr="00AE2E3C">
        <w:rPr>
          <w:rFonts w:asciiTheme="majorHAnsi" w:eastAsia="Times New Roman" w:hAnsiTheme="majorHAnsi" w:cstheme="majorHAnsi"/>
          <w:i/>
          <w:sz w:val="24"/>
          <w:szCs w:val="24"/>
          <w:lang w:val="ro-MD"/>
        </w:rPr>
        <w:t xml:space="preserve">impozit privat încasat în BS” – 13,8 mii </w:t>
      </w:r>
      <w:r w:rsidR="007160B9">
        <w:rPr>
          <w:rFonts w:asciiTheme="majorHAnsi" w:eastAsia="Times New Roman" w:hAnsiTheme="majorHAnsi" w:cstheme="majorHAnsi"/>
          <w:i/>
          <w:sz w:val="24"/>
          <w:szCs w:val="24"/>
          <w:lang w:val="ro-MD"/>
        </w:rPr>
        <w:t>MDL</w:t>
      </w:r>
      <w:r w:rsidR="00AE2E3C" w:rsidRPr="00AE2E3C">
        <w:rPr>
          <w:rFonts w:asciiTheme="majorHAnsi" w:eastAsia="Times New Roman" w:hAnsiTheme="majorHAnsi" w:cstheme="majorHAnsi"/>
          <w:i/>
          <w:sz w:val="24"/>
          <w:szCs w:val="24"/>
          <w:lang w:val="ro-MD"/>
        </w:rPr>
        <w:t>.</w:t>
      </w:r>
      <w:r w:rsidR="008E43F8" w:rsidRPr="008E43F8">
        <w:rPr>
          <w:rFonts w:ascii="Times New Roman" w:hAnsi="Times New Roman"/>
          <w:sz w:val="28"/>
          <w:szCs w:val="28"/>
        </w:rPr>
        <w:t xml:space="preserve"> </w:t>
      </w:r>
      <w:r w:rsidR="00C73EBF">
        <w:rPr>
          <w:rFonts w:asciiTheme="majorHAnsi" w:hAnsiTheme="majorHAnsi" w:cstheme="majorHAnsi"/>
          <w:sz w:val="24"/>
          <w:szCs w:val="24"/>
        </w:rPr>
        <w:t>P</w:t>
      </w:r>
      <w:r w:rsidR="0054246A">
        <w:rPr>
          <w:rFonts w:asciiTheme="majorHAnsi" w:hAnsiTheme="majorHAnsi" w:cstheme="majorHAnsi"/>
          <w:sz w:val="24"/>
          <w:szCs w:val="24"/>
        </w:rPr>
        <w:t>otrivit cadrului normativ</w:t>
      </w:r>
      <w:r w:rsidR="0054246A" w:rsidRPr="00DE4349">
        <w:rPr>
          <w:rStyle w:val="FootnoteReference"/>
          <w:rFonts w:asciiTheme="majorHAnsi" w:eastAsia="Times New Roman" w:hAnsiTheme="majorHAnsi" w:cstheme="majorHAnsi"/>
          <w:sz w:val="24"/>
          <w:szCs w:val="24"/>
        </w:rPr>
        <w:footnoteReference w:id="24"/>
      </w:r>
      <w:r w:rsidR="0054246A">
        <w:rPr>
          <w:rFonts w:asciiTheme="majorHAnsi" w:eastAsia="Times New Roman" w:hAnsiTheme="majorHAnsi" w:cstheme="majorHAnsi"/>
          <w:sz w:val="24"/>
          <w:szCs w:val="24"/>
        </w:rPr>
        <w:t>,</w:t>
      </w:r>
      <w:r w:rsidR="0054246A">
        <w:rPr>
          <w:rFonts w:asciiTheme="majorHAnsi" w:hAnsiTheme="majorHAnsi" w:cstheme="majorHAnsi"/>
          <w:sz w:val="24"/>
          <w:szCs w:val="24"/>
        </w:rPr>
        <w:t xml:space="preserve"> </w:t>
      </w:r>
      <w:r w:rsidR="008E43F8" w:rsidRPr="00DE4349">
        <w:rPr>
          <w:rFonts w:asciiTheme="majorHAnsi" w:eastAsia="Times New Roman" w:hAnsiTheme="majorHAnsi" w:cstheme="majorHAnsi"/>
          <w:sz w:val="24"/>
          <w:szCs w:val="24"/>
        </w:rPr>
        <w:t xml:space="preserve">în cazul depistării unor divergențe, administratorii de venit, de comun acord cu Direcția Trezoreria de Stat a </w:t>
      </w:r>
      <w:r w:rsidR="003757E4">
        <w:rPr>
          <w:rFonts w:asciiTheme="majorHAnsi" w:eastAsia="Times New Roman" w:hAnsiTheme="majorHAnsi" w:cstheme="majorHAnsi"/>
          <w:sz w:val="24"/>
          <w:szCs w:val="24"/>
        </w:rPr>
        <w:t>MF</w:t>
      </w:r>
      <w:r w:rsidR="008E43F8" w:rsidRPr="00DE4349">
        <w:rPr>
          <w:rFonts w:asciiTheme="majorHAnsi" w:eastAsia="Times New Roman" w:hAnsiTheme="majorHAnsi" w:cstheme="majorHAnsi"/>
          <w:sz w:val="24"/>
          <w:szCs w:val="24"/>
        </w:rPr>
        <w:t>, urmau să întocmească Actul de verificare a veniturilor încasate la bugetul de stat, pentru confirmarea divergențelor identificate</w:t>
      </w:r>
      <w:r w:rsidR="0054246A">
        <w:rPr>
          <w:rFonts w:asciiTheme="majorHAnsi" w:eastAsia="Times New Roman" w:hAnsiTheme="majorHAnsi" w:cstheme="majorHAnsi"/>
          <w:sz w:val="24"/>
          <w:szCs w:val="24"/>
        </w:rPr>
        <w:t>.</w:t>
      </w:r>
      <w:r w:rsidR="002944F7">
        <w:rPr>
          <w:rFonts w:asciiTheme="majorHAnsi" w:eastAsia="Times New Roman" w:hAnsiTheme="majorHAnsi" w:cstheme="majorHAnsi"/>
          <w:sz w:val="24"/>
          <w:szCs w:val="24"/>
        </w:rPr>
        <w:t xml:space="preserve"> </w:t>
      </w:r>
      <w:r w:rsidR="002944F7" w:rsidRPr="00CB1FEF">
        <w:rPr>
          <w:rFonts w:asciiTheme="majorHAnsi" w:eastAsia="Times New Roman" w:hAnsiTheme="majorHAnsi" w:cstheme="majorHAnsi"/>
          <w:sz w:val="24"/>
          <w:szCs w:val="24"/>
        </w:rPr>
        <w:t>Actele menționate</w:t>
      </w:r>
      <w:r w:rsidR="00C73EBF" w:rsidRPr="00CB1FEF">
        <w:rPr>
          <w:rFonts w:asciiTheme="majorHAnsi" w:eastAsia="Times New Roman" w:hAnsiTheme="majorHAnsi" w:cstheme="majorHAnsi"/>
          <w:sz w:val="24"/>
          <w:szCs w:val="24"/>
        </w:rPr>
        <w:t>,</w:t>
      </w:r>
      <w:r w:rsidR="002944F7" w:rsidRPr="00CB1FEF">
        <w:rPr>
          <w:rFonts w:asciiTheme="majorHAnsi" w:eastAsia="Times New Roman" w:hAnsiTheme="majorHAnsi" w:cstheme="majorHAnsi"/>
          <w:sz w:val="24"/>
          <w:szCs w:val="24"/>
        </w:rPr>
        <w:t xml:space="preserve"> </w:t>
      </w:r>
      <w:r w:rsidR="00F23747" w:rsidRPr="00CB1FEF">
        <w:rPr>
          <w:rFonts w:asciiTheme="majorHAnsi" w:eastAsia="Times New Roman" w:hAnsiTheme="majorHAnsi" w:cstheme="majorHAnsi"/>
          <w:sz w:val="24"/>
          <w:szCs w:val="24"/>
        </w:rPr>
        <w:t>c</w:t>
      </w:r>
      <w:r w:rsidR="0054246A" w:rsidRPr="00CB1FEF">
        <w:rPr>
          <w:rFonts w:asciiTheme="majorHAnsi" w:eastAsia="Times New Roman" w:hAnsiTheme="majorHAnsi" w:cstheme="majorHAnsi"/>
          <w:sz w:val="24"/>
          <w:szCs w:val="24"/>
        </w:rPr>
        <w:t xml:space="preserve">onform explicațiilor MF, </w:t>
      </w:r>
      <w:r w:rsidR="008E43F8" w:rsidRPr="00CB1FEF">
        <w:rPr>
          <w:rFonts w:asciiTheme="majorHAnsi" w:eastAsia="Times New Roman" w:hAnsiTheme="majorHAnsi" w:cstheme="majorHAnsi"/>
          <w:sz w:val="24"/>
          <w:szCs w:val="24"/>
        </w:rPr>
        <w:t>nu se întocmesc din cauza că</w:t>
      </w:r>
      <w:r w:rsidR="00CB1FEF" w:rsidRPr="00FB186A">
        <w:rPr>
          <w:rFonts w:asciiTheme="majorHAnsi" w:eastAsia="Times New Roman" w:hAnsiTheme="majorHAnsi" w:cstheme="majorHAnsi"/>
          <w:sz w:val="24"/>
          <w:szCs w:val="24"/>
        </w:rPr>
        <w:t>,</w:t>
      </w:r>
      <w:r w:rsidR="008E43F8" w:rsidRPr="00CB1FEF">
        <w:rPr>
          <w:rFonts w:asciiTheme="majorHAnsi" w:eastAsia="Times New Roman" w:hAnsiTheme="majorHAnsi" w:cstheme="majorHAnsi"/>
          <w:sz w:val="24"/>
          <w:szCs w:val="24"/>
        </w:rPr>
        <w:t xml:space="preserve"> după depistarea acestora, </w:t>
      </w:r>
      <w:r w:rsidR="00CB1FEF" w:rsidRPr="00FB186A">
        <w:rPr>
          <w:rFonts w:asciiTheme="majorHAnsi" w:eastAsia="Times New Roman" w:hAnsiTheme="majorHAnsi" w:cstheme="majorHAnsi"/>
          <w:sz w:val="24"/>
          <w:szCs w:val="24"/>
        </w:rPr>
        <w:t xml:space="preserve">sunt </w:t>
      </w:r>
      <w:r w:rsidR="008E43F8" w:rsidRPr="00CB1FEF">
        <w:rPr>
          <w:rFonts w:asciiTheme="majorHAnsi" w:eastAsia="Times New Roman" w:hAnsiTheme="majorHAnsi" w:cstheme="majorHAnsi"/>
          <w:sz w:val="24"/>
          <w:szCs w:val="24"/>
        </w:rPr>
        <w:t xml:space="preserve">comunicate în regim de lucru de către administratori, </w:t>
      </w:r>
      <w:r w:rsidR="002944F7" w:rsidRPr="00CB1FEF">
        <w:rPr>
          <w:rFonts w:asciiTheme="majorHAnsi" w:eastAsia="Times New Roman" w:hAnsiTheme="majorHAnsi" w:cstheme="majorHAnsi"/>
          <w:sz w:val="24"/>
          <w:szCs w:val="24"/>
        </w:rPr>
        <w:t xml:space="preserve">iar </w:t>
      </w:r>
      <w:r w:rsidR="008E43F8" w:rsidRPr="00CB1FEF">
        <w:rPr>
          <w:rFonts w:asciiTheme="majorHAnsi" w:eastAsia="Times New Roman" w:hAnsiTheme="majorHAnsi" w:cstheme="majorHAnsi"/>
          <w:sz w:val="24"/>
          <w:szCs w:val="24"/>
        </w:rPr>
        <w:t>corectările sunt efectuate imediat de către Direc</w:t>
      </w:r>
      <w:r w:rsidR="008E43F8" w:rsidRPr="0001736A">
        <w:rPr>
          <w:rFonts w:asciiTheme="majorHAnsi" w:eastAsia="Times New Roman" w:hAnsiTheme="majorHAnsi" w:cstheme="majorHAnsi"/>
          <w:sz w:val="24"/>
          <w:szCs w:val="24"/>
        </w:rPr>
        <w:t xml:space="preserve">ția Trezoreria de Stat a </w:t>
      </w:r>
      <w:r w:rsidR="002944F7" w:rsidRPr="0001736A">
        <w:rPr>
          <w:rFonts w:asciiTheme="majorHAnsi" w:eastAsia="Times New Roman" w:hAnsiTheme="majorHAnsi" w:cstheme="majorHAnsi"/>
          <w:sz w:val="24"/>
          <w:szCs w:val="24"/>
        </w:rPr>
        <w:t>MF</w:t>
      </w:r>
      <w:r w:rsidR="008E43F8" w:rsidRPr="00A1775E">
        <w:rPr>
          <w:rFonts w:asciiTheme="majorHAnsi" w:eastAsia="Times New Roman" w:hAnsiTheme="majorHAnsi" w:cstheme="majorHAnsi"/>
          <w:sz w:val="24"/>
          <w:szCs w:val="24"/>
        </w:rPr>
        <w:t>.</w:t>
      </w:r>
    </w:p>
    <w:p w:rsidR="00AE2E3C" w:rsidRDefault="00AE2E3C" w:rsidP="00AE2E3C">
      <w:pPr>
        <w:spacing w:after="0" w:line="276" w:lineRule="auto"/>
        <w:ind w:firstLine="709"/>
        <w:jc w:val="both"/>
        <w:rPr>
          <w:rFonts w:asciiTheme="majorHAnsi" w:hAnsiTheme="majorHAnsi" w:cstheme="majorHAnsi"/>
          <w:i/>
          <w:sz w:val="24"/>
          <w:szCs w:val="24"/>
        </w:rPr>
      </w:pPr>
      <w:r w:rsidRPr="00AE2E3C">
        <w:rPr>
          <w:rFonts w:asciiTheme="majorHAnsi" w:hAnsiTheme="majorHAnsi" w:cstheme="majorHAnsi"/>
          <w:b/>
          <w:i/>
          <w:sz w:val="24"/>
          <w:szCs w:val="24"/>
        </w:rPr>
        <w:t>Notă:</w:t>
      </w:r>
      <w:r w:rsidRPr="00AE2E3C">
        <w:rPr>
          <w:rFonts w:asciiTheme="majorHAnsi" w:hAnsiTheme="majorHAnsi" w:cstheme="majorHAnsi"/>
          <w:i/>
          <w:sz w:val="24"/>
          <w:szCs w:val="24"/>
        </w:rPr>
        <w:t xml:space="preserve"> Pe parcursul auditului, veniturile la 2 coduri economice </w:t>
      </w:r>
      <w:r w:rsidR="00EE292F">
        <w:rPr>
          <w:rFonts w:asciiTheme="majorHAnsi" w:hAnsiTheme="majorHAnsi" w:cstheme="majorHAnsi"/>
          <w:i/>
          <w:sz w:val="24"/>
          <w:szCs w:val="24"/>
        </w:rPr>
        <w:t xml:space="preserve">(21,9 mii </w:t>
      </w:r>
      <w:r w:rsidR="007160B9">
        <w:rPr>
          <w:rFonts w:asciiTheme="majorHAnsi" w:hAnsiTheme="majorHAnsi" w:cstheme="majorHAnsi"/>
          <w:i/>
          <w:sz w:val="24"/>
          <w:szCs w:val="24"/>
        </w:rPr>
        <w:t>MDL</w:t>
      </w:r>
      <w:r w:rsidR="00EE292F">
        <w:rPr>
          <w:rFonts w:asciiTheme="majorHAnsi" w:hAnsiTheme="majorHAnsi" w:cstheme="majorHAnsi"/>
          <w:i/>
          <w:sz w:val="24"/>
          <w:szCs w:val="24"/>
        </w:rPr>
        <w:t xml:space="preserve">) </w:t>
      </w:r>
      <w:r w:rsidRPr="00AE2E3C">
        <w:rPr>
          <w:rFonts w:asciiTheme="majorHAnsi" w:hAnsiTheme="majorHAnsi" w:cstheme="majorHAnsi"/>
          <w:i/>
          <w:sz w:val="24"/>
          <w:szCs w:val="24"/>
        </w:rPr>
        <w:t xml:space="preserve">au fost atribuite la codurile </w:t>
      </w:r>
      <w:r w:rsidR="00C35C18">
        <w:rPr>
          <w:rFonts w:asciiTheme="majorHAnsi" w:hAnsiTheme="majorHAnsi" w:cstheme="majorHAnsi"/>
          <w:i/>
          <w:sz w:val="24"/>
          <w:szCs w:val="24"/>
        </w:rPr>
        <w:t xml:space="preserve">economice </w:t>
      </w:r>
      <w:r w:rsidRPr="00AE2E3C">
        <w:rPr>
          <w:rFonts w:asciiTheme="majorHAnsi" w:hAnsiTheme="majorHAnsi" w:cstheme="majorHAnsi"/>
          <w:i/>
          <w:sz w:val="24"/>
          <w:szCs w:val="24"/>
        </w:rPr>
        <w:t xml:space="preserve">corespunzătoare. </w:t>
      </w:r>
    </w:p>
    <w:p w:rsidR="00B11A78" w:rsidRPr="00B11A78" w:rsidRDefault="00B11A78" w:rsidP="00B11A78">
      <w:pPr>
        <w:spacing w:after="0"/>
        <w:ind w:firstLine="709"/>
        <w:jc w:val="both"/>
        <w:rPr>
          <w:rFonts w:asciiTheme="majorHAnsi" w:hAnsiTheme="majorHAnsi" w:cstheme="majorHAnsi"/>
          <w:sz w:val="24"/>
          <w:szCs w:val="24"/>
        </w:rPr>
      </w:pPr>
      <w:r w:rsidRPr="00B11A78">
        <w:rPr>
          <w:rFonts w:asciiTheme="majorHAnsi" w:hAnsiTheme="majorHAnsi" w:cstheme="majorHAnsi"/>
          <w:sz w:val="24"/>
          <w:szCs w:val="24"/>
        </w:rPr>
        <w:t xml:space="preserve">Deoarece Curtea de Conturi nu a auditat administrarea veniturilor în anul 2018 de către principalii administratori de venituri </w:t>
      </w:r>
      <w:r w:rsidR="00CB1FEF">
        <w:rPr>
          <w:rFonts w:asciiTheme="majorHAnsi" w:hAnsiTheme="majorHAnsi" w:cstheme="majorHAnsi"/>
          <w:sz w:val="24"/>
          <w:szCs w:val="24"/>
        </w:rPr>
        <w:t>(</w:t>
      </w:r>
      <w:r w:rsidRPr="00B11A78">
        <w:rPr>
          <w:rFonts w:asciiTheme="majorHAnsi" w:hAnsiTheme="majorHAnsi" w:cstheme="majorHAnsi"/>
          <w:sz w:val="24"/>
          <w:szCs w:val="24"/>
        </w:rPr>
        <w:t>SFS și SV</w:t>
      </w:r>
      <w:r w:rsidR="00CB1FEF">
        <w:rPr>
          <w:rFonts w:asciiTheme="majorHAnsi" w:hAnsiTheme="majorHAnsi" w:cstheme="majorHAnsi"/>
          <w:sz w:val="24"/>
          <w:szCs w:val="24"/>
        </w:rPr>
        <w:t>)</w:t>
      </w:r>
      <w:r w:rsidRPr="00B11A78">
        <w:rPr>
          <w:rFonts w:asciiTheme="majorHAnsi" w:hAnsiTheme="majorHAnsi" w:cstheme="majorHAnsi"/>
          <w:sz w:val="24"/>
          <w:szCs w:val="24"/>
        </w:rPr>
        <w:t>, echipa de audit a solicitat rapoartele de activitate ale Direcțiilor audit intern din cadrul instituțiilor menționate</w:t>
      </w:r>
      <w:r w:rsidR="00CB1FEF">
        <w:rPr>
          <w:rFonts w:asciiTheme="majorHAnsi" w:hAnsiTheme="majorHAnsi" w:cstheme="majorHAnsi"/>
          <w:sz w:val="24"/>
          <w:szCs w:val="24"/>
        </w:rPr>
        <w:t>, precum</w:t>
      </w:r>
      <w:r w:rsidR="00C70B32">
        <w:rPr>
          <w:rFonts w:asciiTheme="majorHAnsi" w:hAnsiTheme="majorHAnsi" w:cstheme="majorHAnsi"/>
          <w:sz w:val="24"/>
          <w:szCs w:val="24"/>
        </w:rPr>
        <w:t xml:space="preserve"> și principalele constatări de audit</w:t>
      </w:r>
      <w:r w:rsidRPr="00B11A78">
        <w:rPr>
          <w:rFonts w:asciiTheme="majorHAnsi" w:hAnsiTheme="majorHAnsi" w:cstheme="majorHAnsi"/>
          <w:sz w:val="24"/>
          <w:szCs w:val="24"/>
        </w:rPr>
        <w:t>. Astfel, pe parcursul anului 2018, Direcția audit intern a SFS a realizat 9 misiuni de audit intern, dintre care 4 misiuni în domeniul administrării impozitelor și taxelor</w:t>
      </w:r>
      <w:r w:rsidR="008B367D">
        <w:rPr>
          <w:rFonts w:asciiTheme="majorHAnsi" w:hAnsiTheme="majorHAnsi" w:cstheme="majorHAnsi"/>
          <w:sz w:val="24"/>
          <w:szCs w:val="24"/>
        </w:rPr>
        <w:t>,</w:t>
      </w:r>
      <w:r w:rsidRPr="00B11A78">
        <w:rPr>
          <w:rFonts w:asciiTheme="majorHAnsi" w:hAnsiTheme="majorHAnsi" w:cstheme="majorHAnsi"/>
          <w:sz w:val="24"/>
          <w:szCs w:val="24"/>
        </w:rPr>
        <w:t xml:space="preserve"> iar Direcția audit intern a SV </w:t>
      </w:r>
      <w:r w:rsidR="00B503FB">
        <w:rPr>
          <w:rFonts w:asciiTheme="majorHAnsi" w:hAnsiTheme="majorHAnsi" w:cstheme="majorHAnsi"/>
          <w:sz w:val="24"/>
          <w:szCs w:val="24"/>
        </w:rPr>
        <w:t xml:space="preserve">a efectuat </w:t>
      </w:r>
      <w:r w:rsidR="00CB1FEF">
        <w:rPr>
          <w:rFonts w:asciiTheme="majorHAnsi" w:hAnsiTheme="majorHAnsi" w:cstheme="majorHAnsi"/>
          <w:sz w:val="24"/>
          <w:szCs w:val="24"/>
        </w:rPr>
        <w:t xml:space="preserve">la fel </w:t>
      </w:r>
      <w:r w:rsidRPr="00B11A78">
        <w:rPr>
          <w:rFonts w:asciiTheme="majorHAnsi" w:hAnsiTheme="majorHAnsi" w:cstheme="majorHAnsi"/>
          <w:sz w:val="24"/>
          <w:szCs w:val="24"/>
        </w:rPr>
        <w:t>9 misiuni de audit intern</w:t>
      </w:r>
      <w:r w:rsidR="00C73EBF">
        <w:rPr>
          <w:rFonts w:asciiTheme="majorHAnsi" w:hAnsiTheme="majorHAnsi" w:cstheme="majorHAnsi"/>
          <w:sz w:val="24"/>
          <w:szCs w:val="24"/>
        </w:rPr>
        <w:t>,</w:t>
      </w:r>
      <w:r w:rsidRPr="00B11A78">
        <w:rPr>
          <w:rFonts w:asciiTheme="majorHAnsi" w:hAnsiTheme="majorHAnsi" w:cstheme="majorHAnsi"/>
          <w:sz w:val="24"/>
          <w:szCs w:val="24"/>
        </w:rPr>
        <w:t xml:space="preserve"> din</w:t>
      </w:r>
      <w:r w:rsidR="00CB1FEF">
        <w:rPr>
          <w:rFonts w:asciiTheme="majorHAnsi" w:hAnsiTheme="majorHAnsi" w:cstheme="majorHAnsi"/>
          <w:sz w:val="24"/>
          <w:szCs w:val="24"/>
        </w:rPr>
        <w:t>tre</w:t>
      </w:r>
      <w:r w:rsidRPr="00B11A78">
        <w:rPr>
          <w:rFonts w:asciiTheme="majorHAnsi" w:hAnsiTheme="majorHAnsi" w:cstheme="majorHAnsi"/>
          <w:sz w:val="24"/>
          <w:szCs w:val="24"/>
        </w:rPr>
        <w:t xml:space="preserve"> care </w:t>
      </w:r>
      <w:r w:rsidR="00C21269">
        <w:rPr>
          <w:rFonts w:asciiTheme="majorHAnsi" w:hAnsiTheme="majorHAnsi" w:cstheme="majorHAnsi"/>
          <w:sz w:val="24"/>
          <w:szCs w:val="24"/>
        </w:rPr>
        <w:t xml:space="preserve">doar </w:t>
      </w:r>
      <w:r w:rsidRPr="00B11A78">
        <w:rPr>
          <w:rFonts w:asciiTheme="majorHAnsi" w:hAnsiTheme="majorHAnsi" w:cstheme="majorHAnsi"/>
          <w:sz w:val="24"/>
          <w:szCs w:val="24"/>
        </w:rPr>
        <w:t>o misiune în domeniul administrării obligațiilor vamale.</w:t>
      </w:r>
    </w:p>
    <w:p w:rsidR="00DF410B" w:rsidRDefault="00557CF6" w:rsidP="00474E1F">
      <w:pPr>
        <w:pStyle w:val="ListParagraph"/>
        <w:spacing w:after="0" w:line="276" w:lineRule="auto"/>
        <w:ind w:left="0" w:firstLine="709"/>
        <w:jc w:val="both"/>
        <w:rPr>
          <w:rFonts w:asciiTheme="majorHAnsi" w:hAnsiTheme="majorHAnsi" w:cstheme="majorHAnsi"/>
          <w:sz w:val="24"/>
          <w:szCs w:val="24"/>
        </w:rPr>
      </w:pPr>
      <w:r>
        <w:rPr>
          <w:rFonts w:asciiTheme="majorHAnsi" w:hAnsiTheme="majorHAnsi" w:cstheme="majorHAnsi"/>
          <w:sz w:val="24"/>
          <w:szCs w:val="24"/>
        </w:rPr>
        <w:t>U</w:t>
      </w:r>
      <w:r w:rsidR="00B11A78" w:rsidRPr="00B11A78">
        <w:rPr>
          <w:rFonts w:asciiTheme="majorHAnsi" w:hAnsiTheme="majorHAnsi" w:cstheme="majorHAnsi"/>
          <w:sz w:val="24"/>
          <w:szCs w:val="24"/>
        </w:rPr>
        <w:t>rmare</w:t>
      </w:r>
      <w:r w:rsidR="00C21269">
        <w:rPr>
          <w:rFonts w:asciiTheme="majorHAnsi" w:hAnsiTheme="majorHAnsi" w:cstheme="majorHAnsi"/>
          <w:sz w:val="24"/>
          <w:szCs w:val="24"/>
        </w:rPr>
        <w:t xml:space="preserve"> </w:t>
      </w:r>
      <w:r w:rsidR="00C73EBF">
        <w:rPr>
          <w:rFonts w:asciiTheme="majorHAnsi" w:hAnsiTheme="majorHAnsi" w:cstheme="majorHAnsi"/>
          <w:sz w:val="24"/>
          <w:szCs w:val="24"/>
        </w:rPr>
        <w:t xml:space="preserve">a </w:t>
      </w:r>
      <w:r w:rsidR="00C21269">
        <w:rPr>
          <w:rFonts w:asciiTheme="majorHAnsi" w:hAnsiTheme="majorHAnsi" w:cstheme="majorHAnsi"/>
          <w:sz w:val="24"/>
          <w:szCs w:val="24"/>
        </w:rPr>
        <w:t xml:space="preserve">analizei constatărilor </w:t>
      </w:r>
      <w:r w:rsidR="00A67CFC">
        <w:rPr>
          <w:rFonts w:asciiTheme="majorHAnsi" w:hAnsiTheme="majorHAnsi" w:cstheme="majorHAnsi"/>
          <w:sz w:val="24"/>
          <w:szCs w:val="24"/>
        </w:rPr>
        <w:t xml:space="preserve">efectuate de </w:t>
      </w:r>
      <w:r w:rsidR="00B11A78" w:rsidRPr="00B11A78">
        <w:rPr>
          <w:rFonts w:asciiTheme="majorHAnsi" w:hAnsiTheme="majorHAnsi" w:cstheme="majorHAnsi"/>
          <w:sz w:val="24"/>
          <w:szCs w:val="24"/>
        </w:rPr>
        <w:t>Direcțiil</w:t>
      </w:r>
      <w:r w:rsidR="00A67CFC">
        <w:rPr>
          <w:rFonts w:asciiTheme="majorHAnsi" w:hAnsiTheme="majorHAnsi" w:cstheme="majorHAnsi"/>
          <w:sz w:val="24"/>
          <w:szCs w:val="24"/>
        </w:rPr>
        <w:t>e</w:t>
      </w:r>
      <w:r w:rsidR="00B11A78" w:rsidRPr="00B11A78">
        <w:rPr>
          <w:rFonts w:asciiTheme="majorHAnsi" w:hAnsiTheme="majorHAnsi" w:cstheme="majorHAnsi"/>
          <w:sz w:val="24"/>
          <w:szCs w:val="24"/>
        </w:rPr>
        <w:t xml:space="preserve"> audit intern din cadrul SFS și SV,</w:t>
      </w:r>
      <w:r w:rsidR="00B11A78" w:rsidRPr="00B11A78">
        <w:rPr>
          <w:rFonts w:asciiTheme="majorHAnsi" w:hAnsiTheme="majorHAnsi" w:cstheme="majorHAnsi"/>
          <w:b/>
          <w:sz w:val="24"/>
          <w:szCs w:val="24"/>
        </w:rPr>
        <w:t xml:space="preserve"> </w:t>
      </w:r>
      <w:r w:rsidR="00C73D49">
        <w:rPr>
          <w:rFonts w:asciiTheme="majorHAnsi" w:hAnsiTheme="majorHAnsi" w:cstheme="majorHAnsi"/>
          <w:sz w:val="24"/>
          <w:szCs w:val="24"/>
        </w:rPr>
        <w:t>se menționează</w:t>
      </w:r>
      <w:r w:rsidR="00B11A78" w:rsidRPr="00B11A78">
        <w:rPr>
          <w:rFonts w:asciiTheme="majorHAnsi" w:hAnsiTheme="majorHAnsi" w:cstheme="majorHAnsi"/>
          <w:sz w:val="24"/>
          <w:szCs w:val="24"/>
        </w:rPr>
        <w:t xml:space="preserve"> că au fost identificate o serie de puncte slabe ale sistemului de management financiar și control</w:t>
      </w:r>
      <w:r w:rsidR="00B11A78">
        <w:rPr>
          <w:rFonts w:asciiTheme="majorHAnsi" w:hAnsiTheme="majorHAnsi" w:cstheme="majorHAnsi"/>
          <w:sz w:val="24"/>
          <w:szCs w:val="24"/>
        </w:rPr>
        <w:t xml:space="preserve"> </w:t>
      </w:r>
      <w:r>
        <w:rPr>
          <w:rFonts w:asciiTheme="majorHAnsi" w:hAnsiTheme="majorHAnsi" w:cstheme="majorHAnsi"/>
          <w:sz w:val="24"/>
          <w:szCs w:val="24"/>
        </w:rPr>
        <w:t>în administrarea veniturilor</w:t>
      </w:r>
      <w:r w:rsidR="00C73EBF">
        <w:rPr>
          <w:rFonts w:asciiTheme="majorHAnsi" w:hAnsiTheme="majorHAnsi" w:cstheme="majorHAnsi"/>
          <w:sz w:val="24"/>
          <w:szCs w:val="24"/>
        </w:rPr>
        <w:t>, precum</w:t>
      </w:r>
      <w:r>
        <w:rPr>
          <w:rFonts w:asciiTheme="majorHAnsi" w:hAnsiTheme="majorHAnsi" w:cstheme="majorHAnsi"/>
          <w:sz w:val="24"/>
          <w:szCs w:val="24"/>
        </w:rPr>
        <w:t xml:space="preserve"> </w:t>
      </w:r>
      <w:r w:rsidR="00B11A78">
        <w:rPr>
          <w:rFonts w:asciiTheme="majorHAnsi" w:hAnsiTheme="majorHAnsi" w:cstheme="majorHAnsi"/>
          <w:sz w:val="24"/>
          <w:szCs w:val="24"/>
        </w:rPr>
        <w:t>ș</w:t>
      </w:r>
      <w:r w:rsidR="00C73D49">
        <w:rPr>
          <w:rFonts w:asciiTheme="majorHAnsi" w:hAnsiTheme="majorHAnsi" w:cstheme="majorHAnsi"/>
          <w:sz w:val="24"/>
          <w:szCs w:val="24"/>
        </w:rPr>
        <w:t>i abateri de la cadrul legal. D</w:t>
      </w:r>
      <w:r w:rsidR="00B11A78">
        <w:rPr>
          <w:rFonts w:asciiTheme="majorHAnsi" w:hAnsiTheme="majorHAnsi" w:cstheme="majorHAnsi"/>
          <w:sz w:val="24"/>
          <w:szCs w:val="24"/>
        </w:rPr>
        <w:t>ar acestea</w:t>
      </w:r>
      <w:r w:rsidR="00B11A78" w:rsidRPr="00B11A78">
        <w:rPr>
          <w:rFonts w:asciiTheme="majorHAnsi" w:hAnsiTheme="majorHAnsi" w:cstheme="majorHAnsi"/>
          <w:sz w:val="24"/>
          <w:szCs w:val="24"/>
        </w:rPr>
        <w:t xml:space="preserve"> nu sunt </w:t>
      </w:r>
      <w:r w:rsidR="00CB1FEF">
        <w:rPr>
          <w:rFonts w:asciiTheme="majorHAnsi" w:hAnsiTheme="majorHAnsi" w:cstheme="majorHAnsi"/>
          <w:sz w:val="24"/>
          <w:szCs w:val="24"/>
        </w:rPr>
        <w:t xml:space="preserve"> abateri </w:t>
      </w:r>
      <w:r w:rsidR="00B11A78" w:rsidRPr="00B11A78">
        <w:rPr>
          <w:rFonts w:asciiTheme="majorHAnsi" w:hAnsiTheme="majorHAnsi" w:cstheme="majorHAnsi"/>
          <w:sz w:val="24"/>
          <w:szCs w:val="24"/>
        </w:rPr>
        <w:t xml:space="preserve">de sistem </w:t>
      </w:r>
      <w:r w:rsidR="006B46AE">
        <w:rPr>
          <w:rFonts w:asciiTheme="majorHAnsi" w:hAnsiTheme="majorHAnsi" w:cstheme="majorHAnsi"/>
          <w:sz w:val="24"/>
          <w:szCs w:val="24"/>
        </w:rPr>
        <w:t xml:space="preserve">și </w:t>
      </w:r>
      <w:r w:rsidR="00C73D49">
        <w:rPr>
          <w:rFonts w:asciiTheme="majorHAnsi" w:hAnsiTheme="majorHAnsi" w:cstheme="majorHAnsi"/>
          <w:sz w:val="24"/>
          <w:szCs w:val="24"/>
        </w:rPr>
        <w:t>nu pot fi luate ca bază la evaluarea</w:t>
      </w:r>
      <w:r w:rsidR="00B11A78" w:rsidRPr="00B11A78">
        <w:rPr>
          <w:rFonts w:asciiTheme="majorHAnsi" w:hAnsiTheme="majorHAnsi" w:cstheme="majorHAnsi"/>
          <w:sz w:val="24"/>
          <w:szCs w:val="24"/>
        </w:rPr>
        <w:t xml:space="preserve"> evidenței și administrării veniturilor în </w:t>
      </w:r>
      <w:r w:rsidR="00B11A78">
        <w:rPr>
          <w:rFonts w:asciiTheme="majorHAnsi" w:hAnsiTheme="majorHAnsi" w:cstheme="majorHAnsi"/>
          <w:sz w:val="24"/>
          <w:szCs w:val="24"/>
        </w:rPr>
        <w:t>BS</w:t>
      </w:r>
      <w:r w:rsidR="00B11A78" w:rsidRPr="00B11A78">
        <w:rPr>
          <w:rFonts w:asciiTheme="majorHAnsi" w:hAnsiTheme="majorHAnsi" w:cstheme="majorHAnsi"/>
          <w:sz w:val="24"/>
          <w:szCs w:val="24"/>
        </w:rPr>
        <w:t>.</w:t>
      </w:r>
    </w:p>
    <w:p w:rsidR="00C4336B" w:rsidRPr="00C73D49" w:rsidRDefault="00C833CD" w:rsidP="00C73D49">
      <w:pPr>
        <w:pStyle w:val="ListParagraph"/>
        <w:numPr>
          <w:ilvl w:val="0"/>
          <w:numId w:val="19"/>
        </w:numPr>
        <w:tabs>
          <w:tab w:val="left" w:pos="426"/>
        </w:tabs>
        <w:spacing w:after="0" w:line="276" w:lineRule="auto"/>
        <w:ind w:left="0" w:firstLine="0"/>
        <w:jc w:val="both"/>
        <w:rPr>
          <w:rFonts w:asciiTheme="majorHAnsi" w:hAnsiTheme="majorHAnsi" w:cstheme="majorHAnsi"/>
          <w:b/>
          <w:i/>
          <w:sz w:val="24"/>
          <w:szCs w:val="24"/>
        </w:rPr>
      </w:pPr>
      <w:r w:rsidRPr="00385BE6">
        <w:rPr>
          <w:rFonts w:asciiTheme="majorHAnsi" w:hAnsiTheme="majorHAnsi" w:cstheme="majorHAnsi"/>
          <w:b/>
          <w:i/>
          <w:sz w:val="24"/>
          <w:szCs w:val="24"/>
        </w:rPr>
        <w:t>D</w:t>
      </w:r>
      <w:r w:rsidRPr="00385BE6">
        <w:rPr>
          <w:rFonts w:asciiTheme="majorHAnsi" w:hAnsiTheme="majorHAnsi" w:cstheme="majorHAnsi"/>
          <w:b/>
          <w:i/>
          <w:sz w:val="24"/>
          <w:szCs w:val="24"/>
          <w:lang w:val="ro-MD"/>
        </w:rPr>
        <w:t>in contul</w:t>
      </w:r>
      <w:r w:rsidRPr="00C73D49">
        <w:rPr>
          <w:rFonts w:asciiTheme="majorHAnsi" w:hAnsiTheme="majorHAnsi" w:cstheme="majorHAnsi"/>
          <w:b/>
          <w:i/>
          <w:sz w:val="24"/>
          <w:szCs w:val="24"/>
          <w:lang w:val="ro-MD"/>
        </w:rPr>
        <w:t xml:space="preserve"> mijloacelor disponibile </w:t>
      </w:r>
      <w:r w:rsidR="000B486A">
        <w:rPr>
          <w:rFonts w:asciiTheme="majorHAnsi" w:hAnsiTheme="majorHAnsi" w:cstheme="majorHAnsi"/>
          <w:b/>
          <w:i/>
          <w:sz w:val="24"/>
          <w:szCs w:val="24"/>
          <w:lang w:val="ro-MD"/>
        </w:rPr>
        <w:t xml:space="preserve">ale </w:t>
      </w:r>
      <w:r w:rsidR="007A4165">
        <w:rPr>
          <w:rFonts w:asciiTheme="majorHAnsi" w:hAnsiTheme="majorHAnsi" w:cstheme="majorHAnsi"/>
          <w:b/>
          <w:i/>
          <w:sz w:val="24"/>
          <w:szCs w:val="24"/>
          <w:lang w:val="ro-MD"/>
        </w:rPr>
        <w:t>bugetului de stat</w:t>
      </w:r>
      <w:r w:rsidRPr="00C73D49">
        <w:rPr>
          <w:rFonts w:asciiTheme="majorHAnsi" w:hAnsiTheme="majorHAnsi" w:cstheme="majorHAnsi"/>
          <w:b/>
          <w:i/>
          <w:sz w:val="24"/>
          <w:szCs w:val="24"/>
          <w:lang w:val="ro-MD"/>
        </w:rPr>
        <w:t xml:space="preserve">, </w:t>
      </w:r>
      <w:r w:rsidR="000B486A" w:rsidRPr="00C73D49">
        <w:rPr>
          <w:rFonts w:asciiTheme="majorHAnsi" w:hAnsiTheme="majorHAnsi" w:cstheme="majorHAnsi"/>
          <w:b/>
          <w:i/>
          <w:sz w:val="24"/>
          <w:szCs w:val="24"/>
          <w:lang w:val="ro-MD"/>
        </w:rPr>
        <w:t xml:space="preserve">la BNM </w:t>
      </w:r>
      <w:r w:rsidR="00CB1FEF" w:rsidRPr="00C73D49">
        <w:rPr>
          <w:rFonts w:asciiTheme="majorHAnsi" w:hAnsiTheme="majorHAnsi" w:cstheme="majorHAnsi"/>
          <w:b/>
          <w:i/>
          <w:sz w:val="24"/>
          <w:szCs w:val="24"/>
          <w:lang w:val="ro-MD"/>
        </w:rPr>
        <w:t xml:space="preserve">au fost depozitate </w:t>
      </w:r>
      <w:r w:rsidR="00795C41" w:rsidRPr="00C73D49">
        <w:rPr>
          <w:rFonts w:asciiTheme="majorHAnsi" w:hAnsiTheme="majorHAnsi" w:cstheme="majorHAnsi"/>
          <w:b/>
          <w:i/>
          <w:sz w:val="24"/>
          <w:szCs w:val="24"/>
          <w:lang w:val="ro-MD"/>
        </w:rPr>
        <w:t xml:space="preserve">mijloace </w:t>
      </w:r>
      <w:r w:rsidR="00CB1FEF">
        <w:rPr>
          <w:rFonts w:asciiTheme="majorHAnsi" w:hAnsiTheme="majorHAnsi" w:cstheme="majorHAnsi"/>
          <w:b/>
          <w:i/>
          <w:sz w:val="24"/>
          <w:szCs w:val="24"/>
          <w:lang w:val="ro-MD"/>
        </w:rPr>
        <w:t>pentru</w:t>
      </w:r>
      <w:r w:rsidR="000B486A">
        <w:rPr>
          <w:rFonts w:asciiTheme="majorHAnsi" w:hAnsiTheme="majorHAnsi" w:cstheme="majorHAnsi"/>
          <w:b/>
          <w:i/>
          <w:sz w:val="24"/>
          <w:szCs w:val="24"/>
          <w:lang w:val="ro-MD"/>
        </w:rPr>
        <w:t xml:space="preserve"> care au fost încasate</w:t>
      </w:r>
      <w:r w:rsidR="00E8303B" w:rsidRPr="00C73D49">
        <w:rPr>
          <w:rFonts w:asciiTheme="majorHAnsi" w:hAnsiTheme="majorHAnsi" w:cstheme="majorHAnsi"/>
          <w:b/>
          <w:i/>
          <w:sz w:val="24"/>
          <w:szCs w:val="24"/>
          <w:lang w:val="ro-MD"/>
        </w:rPr>
        <w:t xml:space="preserve"> venituri sub nivelul aprobat.</w:t>
      </w:r>
    </w:p>
    <w:p w:rsidR="00257FD6" w:rsidRPr="00E04F9B" w:rsidRDefault="00E50B57" w:rsidP="00FB186A">
      <w:pPr>
        <w:pStyle w:val="ListParagraph"/>
        <w:spacing w:after="0" w:line="276" w:lineRule="auto"/>
        <w:ind w:left="0" w:firstLine="720"/>
        <w:jc w:val="both"/>
        <w:rPr>
          <w:rFonts w:asciiTheme="majorHAnsi" w:eastAsia="Times New Roman" w:hAnsiTheme="majorHAnsi" w:cstheme="majorHAnsi"/>
          <w:i/>
          <w:sz w:val="24"/>
          <w:szCs w:val="24"/>
          <w:lang w:val="ro-MD"/>
        </w:rPr>
      </w:pPr>
      <w:r w:rsidRPr="009E7E6F">
        <w:rPr>
          <w:rFonts w:asciiTheme="majorHAnsi" w:eastAsia="Times New Roman" w:hAnsiTheme="majorHAnsi" w:cstheme="majorHAnsi"/>
          <w:sz w:val="24"/>
          <w:szCs w:val="24"/>
          <w:lang w:val="ro-MD"/>
        </w:rPr>
        <w:lastRenderedPageBreak/>
        <w:t xml:space="preserve">Conform datelor Raportului privind executarea bugetului de stat pe anul 2018, </w:t>
      </w:r>
      <w:r>
        <w:rPr>
          <w:rFonts w:asciiTheme="majorHAnsi" w:eastAsia="Times New Roman" w:hAnsiTheme="majorHAnsi" w:cstheme="majorHAnsi"/>
          <w:sz w:val="24"/>
          <w:szCs w:val="24"/>
          <w:lang w:val="ro-MD"/>
        </w:rPr>
        <w:t>dobânzile încasate în BS</w:t>
      </w:r>
      <w:r w:rsidRPr="009E7E6F">
        <w:rPr>
          <w:rFonts w:asciiTheme="majorHAnsi" w:eastAsia="Times New Roman" w:hAnsiTheme="majorHAnsi" w:cstheme="majorHAnsi"/>
          <w:sz w:val="24"/>
          <w:szCs w:val="24"/>
          <w:lang w:val="ro-MD"/>
        </w:rPr>
        <w:t xml:space="preserve"> însumează </w:t>
      </w:r>
      <w:r>
        <w:rPr>
          <w:rFonts w:asciiTheme="majorHAnsi" w:eastAsia="Times New Roman" w:hAnsiTheme="majorHAnsi" w:cstheme="majorHAnsi"/>
          <w:sz w:val="24"/>
          <w:szCs w:val="24"/>
          <w:lang w:val="ro-MD"/>
        </w:rPr>
        <w:t>203,4</w:t>
      </w:r>
      <w:r w:rsidRPr="009E7E6F">
        <w:rPr>
          <w:rFonts w:asciiTheme="majorHAnsi" w:eastAsia="Times New Roman" w:hAnsiTheme="majorHAnsi" w:cstheme="majorHAnsi"/>
          <w:sz w:val="24"/>
          <w:szCs w:val="24"/>
          <w:lang w:val="ro-MD"/>
        </w:rPr>
        <w:t xml:space="preserve">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9E7E6F">
        <w:rPr>
          <w:rFonts w:asciiTheme="majorHAnsi" w:eastAsia="Times New Roman" w:hAnsiTheme="majorHAnsi" w:cstheme="majorHAnsi"/>
          <w:sz w:val="24"/>
          <w:szCs w:val="24"/>
          <w:lang w:val="ro-MD"/>
        </w:rPr>
        <w:t>,</w:t>
      </w:r>
      <w:r w:rsidR="00CC2ED2">
        <w:rPr>
          <w:rFonts w:asciiTheme="majorHAnsi" w:eastAsia="Times New Roman" w:hAnsiTheme="majorHAnsi" w:cstheme="majorHAnsi"/>
          <w:sz w:val="24"/>
          <w:szCs w:val="24"/>
          <w:lang w:val="ro-MD"/>
        </w:rPr>
        <w:t xml:space="preserve"> sau cu 92,4 mil. </w:t>
      </w:r>
      <w:r w:rsidR="007160B9">
        <w:rPr>
          <w:rFonts w:asciiTheme="majorHAnsi" w:eastAsia="Times New Roman" w:hAnsiTheme="majorHAnsi" w:cstheme="majorHAnsi"/>
          <w:sz w:val="24"/>
          <w:szCs w:val="24"/>
          <w:lang w:val="ro-MD"/>
        </w:rPr>
        <w:t>MDL</w:t>
      </w:r>
      <w:r w:rsidR="00CC2ED2">
        <w:rPr>
          <w:rFonts w:asciiTheme="majorHAnsi" w:eastAsia="Times New Roman" w:hAnsiTheme="majorHAnsi" w:cstheme="majorHAnsi"/>
          <w:sz w:val="24"/>
          <w:szCs w:val="24"/>
          <w:lang w:val="ro-MD"/>
        </w:rPr>
        <w:t xml:space="preserve"> (68,8%) mai puțin față de suma precizată și cu 101,5 mil. </w:t>
      </w:r>
      <w:r w:rsidR="007160B9">
        <w:rPr>
          <w:rFonts w:asciiTheme="majorHAnsi" w:eastAsia="Times New Roman" w:hAnsiTheme="majorHAnsi" w:cstheme="majorHAnsi"/>
          <w:sz w:val="24"/>
          <w:szCs w:val="24"/>
          <w:lang w:val="ro-MD"/>
        </w:rPr>
        <w:t>MDL</w:t>
      </w:r>
      <w:r w:rsidR="00CC2ED2">
        <w:rPr>
          <w:rFonts w:asciiTheme="majorHAnsi" w:eastAsia="Times New Roman" w:hAnsiTheme="majorHAnsi" w:cstheme="majorHAnsi"/>
          <w:sz w:val="24"/>
          <w:szCs w:val="24"/>
          <w:lang w:val="ro-MD"/>
        </w:rPr>
        <w:t xml:space="preserve"> (66,7%) </w:t>
      </w:r>
      <w:r w:rsidR="00A169CD">
        <w:rPr>
          <w:rFonts w:asciiTheme="majorHAnsi" w:eastAsia="Times New Roman" w:hAnsiTheme="majorHAnsi" w:cstheme="majorHAnsi"/>
          <w:sz w:val="24"/>
          <w:szCs w:val="24"/>
          <w:lang w:val="ro-MD"/>
        </w:rPr>
        <w:t xml:space="preserve">mai puțin </w:t>
      </w:r>
      <w:r w:rsidR="00CC2ED2">
        <w:rPr>
          <w:rFonts w:asciiTheme="majorHAnsi" w:eastAsia="Times New Roman" w:hAnsiTheme="majorHAnsi" w:cstheme="majorHAnsi"/>
          <w:sz w:val="24"/>
          <w:szCs w:val="24"/>
          <w:lang w:val="ro-MD"/>
        </w:rPr>
        <w:t>față de suma aprobată.</w:t>
      </w:r>
      <w:r w:rsidR="009F5A01">
        <w:rPr>
          <w:rFonts w:asciiTheme="majorHAnsi" w:eastAsia="Times New Roman" w:hAnsiTheme="majorHAnsi" w:cstheme="majorHAnsi"/>
          <w:sz w:val="24"/>
          <w:szCs w:val="24"/>
          <w:lang w:val="ro-MD"/>
        </w:rPr>
        <w:t xml:space="preserve"> </w:t>
      </w:r>
      <w:r w:rsidR="009F5A01" w:rsidRPr="00E04F9B">
        <w:rPr>
          <w:rFonts w:asciiTheme="majorHAnsi" w:eastAsia="Times New Roman" w:hAnsiTheme="majorHAnsi" w:cstheme="majorHAnsi"/>
          <w:i/>
          <w:sz w:val="24"/>
          <w:szCs w:val="24"/>
          <w:lang w:val="ro-MD"/>
        </w:rPr>
        <w:t>Analiza dobânzilor încasate în BS față de sumele precizate și aprobate se prezintă în Tabelul nr.</w:t>
      </w:r>
      <w:r w:rsidR="00E04F9B" w:rsidRPr="00E04F9B">
        <w:rPr>
          <w:rFonts w:asciiTheme="majorHAnsi" w:eastAsia="Times New Roman" w:hAnsiTheme="majorHAnsi" w:cstheme="majorHAnsi"/>
          <w:i/>
          <w:sz w:val="24"/>
          <w:szCs w:val="24"/>
          <w:lang w:val="ro-MD"/>
        </w:rPr>
        <w:t>4.</w:t>
      </w:r>
    </w:p>
    <w:p w:rsidR="009F5A01" w:rsidRPr="009F5A01" w:rsidRDefault="009F5A01" w:rsidP="00E679A8">
      <w:pPr>
        <w:pStyle w:val="ListParagraph"/>
        <w:spacing w:after="0" w:line="240" w:lineRule="auto"/>
        <w:ind w:left="0"/>
        <w:jc w:val="right"/>
        <w:rPr>
          <w:rFonts w:asciiTheme="majorHAnsi" w:hAnsiTheme="majorHAnsi" w:cstheme="majorHAnsi"/>
          <w:b/>
          <w:i/>
          <w:sz w:val="24"/>
          <w:szCs w:val="24"/>
          <w:lang w:val="ro-MD"/>
        </w:rPr>
      </w:pPr>
      <w:r w:rsidRPr="009F5A01">
        <w:rPr>
          <w:rFonts w:asciiTheme="majorHAnsi" w:eastAsia="Times New Roman" w:hAnsiTheme="majorHAnsi" w:cstheme="majorHAnsi"/>
          <w:i/>
          <w:sz w:val="24"/>
          <w:szCs w:val="24"/>
          <w:lang w:val="ro-MD"/>
        </w:rPr>
        <w:t>Tabelul nr.</w:t>
      </w:r>
      <w:r w:rsidR="00E04F9B">
        <w:rPr>
          <w:rFonts w:asciiTheme="majorHAnsi" w:eastAsia="Times New Roman" w:hAnsiTheme="majorHAnsi" w:cstheme="majorHAnsi"/>
          <w:i/>
          <w:sz w:val="24"/>
          <w:szCs w:val="24"/>
          <w:lang w:val="ro-MD"/>
        </w:rPr>
        <w:t>4</w:t>
      </w:r>
    </w:p>
    <w:p w:rsidR="00257FD6" w:rsidRPr="009F5A01" w:rsidRDefault="009F5A01" w:rsidP="00E679A8">
      <w:pPr>
        <w:spacing w:after="0" w:line="240" w:lineRule="auto"/>
        <w:jc w:val="center"/>
        <w:rPr>
          <w:rFonts w:asciiTheme="majorHAnsi" w:hAnsiTheme="majorHAnsi" w:cstheme="majorHAnsi"/>
          <w:b/>
          <w:sz w:val="24"/>
          <w:szCs w:val="24"/>
          <w:lang w:val="ro-MD"/>
        </w:rPr>
      </w:pPr>
      <w:r>
        <w:rPr>
          <w:rFonts w:asciiTheme="majorHAnsi" w:hAnsiTheme="majorHAnsi" w:cstheme="majorHAnsi"/>
          <w:b/>
          <w:sz w:val="24"/>
          <w:szCs w:val="24"/>
          <w:lang w:val="ro-MD"/>
        </w:rPr>
        <w:t xml:space="preserve">Sinteza dobânzilor încasate în </w:t>
      </w:r>
      <w:r w:rsidR="007A4165">
        <w:rPr>
          <w:rFonts w:asciiTheme="majorHAnsi" w:hAnsiTheme="majorHAnsi" w:cstheme="majorHAnsi"/>
          <w:b/>
          <w:sz w:val="24"/>
          <w:szCs w:val="24"/>
          <w:lang w:val="ro-MD"/>
        </w:rPr>
        <w:t>bugetul de stat</w:t>
      </w:r>
      <w:r>
        <w:rPr>
          <w:rFonts w:asciiTheme="majorHAnsi" w:hAnsiTheme="majorHAnsi" w:cstheme="majorHAnsi"/>
          <w:b/>
          <w:sz w:val="24"/>
          <w:szCs w:val="24"/>
          <w:lang w:val="ro-MD"/>
        </w:rPr>
        <w:t xml:space="preserve"> în anul 2018</w:t>
      </w:r>
    </w:p>
    <w:p w:rsidR="00257FD6" w:rsidRDefault="00E50B57" w:rsidP="00E679A8">
      <w:pPr>
        <w:pStyle w:val="ListParagraph"/>
        <w:spacing w:after="0" w:line="240"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t xml:space="preserve">(mil. </w:t>
      </w:r>
      <w:r w:rsidR="007160B9">
        <w:rPr>
          <w:rFonts w:asciiTheme="majorHAnsi" w:hAnsiTheme="majorHAnsi" w:cstheme="majorHAnsi"/>
          <w:b/>
          <w:sz w:val="24"/>
          <w:szCs w:val="24"/>
          <w:lang w:val="ro-MD"/>
        </w:rPr>
        <w:t>MDL</w:t>
      </w:r>
      <w:r>
        <w:rPr>
          <w:rFonts w:asciiTheme="majorHAnsi" w:hAnsiTheme="majorHAnsi" w:cstheme="majorHAnsi"/>
          <w:b/>
          <w:sz w:val="24"/>
          <w:szCs w:val="24"/>
          <w:lang w:val="ro-MD"/>
        </w:rPr>
        <w:t>)</w:t>
      </w:r>
    </w:p>
    <w:tbl>
      <w:tblPr>
        <w:tblStyle w:val="GridTable1Light"/>
        <w:tblW w:w="9610" w:type="dxa"/>
        <w:tblLook w:val="04A0" w:firstRow="1" w:lastRow="0" w:firstColumn="1" w:lastColumn="0" w:noHBand="0" w:noVBand="1"/>
      </w:tblPr>
      <w:tblGrid>
        <w:gridCol w:w="4957"/>
        <w:gridCol w:w="995"/>
        <w:gridCol w:w="975"/>
        <w:gridCol w:w="982"/>
        <w:gridCol w:w="779"/>
        <w:gridCol w:w="922"/>
      </w:tblGrid>
      <w:tr w:rsidR="007C208D" w:rsidRPr="0072024F" w:rsidTr="00126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val="restart"/>
            <w:tcBorders>
              <w:right w:val="single" w:sz="12" w:space="0" w:color="auto"/>
            </w:tcBorders>
            <w:vAlign w:val="center"/>
          </w:tcPr>
          <w:p w:rsidR="007C208D" w:rsidRPr="0072024F" w:rsidRDefault="007C208D" w:rsidP="007C208D">
            <w:pPr>
              <w:pStyle w:val="ListParagraph"/>
              <w:spacing w:line="276" w:lineRule="auto"/>
              <w:ind w:left="0"/>
              <w:jc w:val="center"/>
              <w:rPr>
                <w:rFonts w:asciiTheme="majorHAnsi" w:hAnsiTheme="majorHAnsi" w:cstheme="majorHAnsi"/>
              </w:rPr>
            </w:pPr>
            <w:r w:rsidRPr="0072024F">
              <w:rPr>
                <w:rFonts w:asciiTheme="majorHAnsi" w:hAnsiTheme="majorHAnsi" w:cstheme="majorHAnsi"/>
              </w:rPr>
              <w:t>Indicatori</w:t>
            </w:r>
          </w:p>
        </w:tc>
        <w:tc>
          <w:tcPr>
            <w:tcW w:w="995" w:type="dxa"/>
            <w:vMerge w:val="restart"/>
            <w:tcBorders>
              <w:left w:val="single" w:sz="12" w:space="0" w:color="auto"/>
            </w:tcBorders>
            <w:vAlign w:val="center"/>
          </w:tcPr>
          <w:p w:rsidR="007C208D" w:rsidRPr="0072024F" w:rsidRDefault="007C208D" w:rsidP="00777C5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Aprobat</w:t>
            </w:r>
          </w:p>
        </w:tc>
        <w:tc>
          <w:tcPr>
            <w:tcW w:w="975" w:type="dxa"/>
            <w:vMerge w:val="restart"/>
            <w:vAlign w:val="center"/>
          </w:tcPr>
          <w:p w:rsidR="007C208D" w:rsidRPr="0072024F" w:rsidRDefault="007C208D" w:rsidP="00777C5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Precizat</w:t>
            </w:r>
          </w:p>
        </w:tc>
        <w:tc>
          <w:tcPr>
            <w:tcW w:w="982" w:type="dxa"/>
            <w:vMerge w:val="restart"/>
            <w:vAlign w:val="center"/>
          </w:tcPr>
          <w:p w:rsidR="007C208D" w:rsidRPr="0072024F" w:rsidRDefault="007C208D" w:rsidP="00777C5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Executat</w:t>
            </w:r>
          </w:p>
        </w:tc>
        <w:tc>
          <w:tcPr>
            <w:tcW w:w="1701" w:type="dxa"/>
            <w:gridSpan w:val="2"/>
            <w:vAlign w:val="center"/>
          </w:tcPr>
          <w:p w:rsidR="007C208D" w:rsidRPr="0072024F" w:rsidRDefault="007C208D" w:rsidP="00777C5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Devieri</w:t>
            </w:r>
          </w:p>
        </w:tc>
      </w:tr>
      <w:tr w:rsidR="00126694" w:rsidRPr="0072024F" w:rsidTr="00126694">
        <w:tc>
          <w:tcPr>
            <w:cnfStyle w:val="001000000000" w:firstRow="0" w:lastRow="0" w:firstColumn="1" w:lastColumn="0" w:oddVBand="0" w:evenVBand="0" w:oddHBand="0" w:evenHBand="0" w:firstRowFirstColumn="0" w:firstRowLastColumn="0" w:lastRowFirstColumn="0" w:lastRowLastColumn="0"/>
            <w:tcW w:w="4957" w:type="dxa"/>
            <w:vMerge/>
            <w:tcBorders>
              <w:right w:val="single" w:sz="12" w:space="0" w:color="auto"/>
            </w:tcBorders>
            <w:vAlign w:val="center"/>
          </w:tcPr>
          <w:p w:rsidR="007C208D" w:rsidRPr="0072024F" w:rsidRDefault="007C208D" w:rsidP="00257FD6">
            <w:pPr>
              <w:pStyle w:val="ListParagraph"/>
              <w:spacing w:line="276" w:lineRule="auto"/>
              <w:ind w:left="0"/>
              <w:jc w:val="both"/>
              <w:rPr>
                <w:rFonts w:asciiTheme="majorHAnsi" w:hAnsiTheme="majorHAnsi" w:cstheme="majorHAnsi"/>
              </w:rPr>
            </w:pPr>
          </w:p>
        </w:tc>
        <w:tc>
          <w:tcPr>
            <w:tcW w:w="995" w:type="dxa"/>
            <w:vMerge/>
            <w:tcBorders>
              <w:left w:val="single" w:sz="12" w:space="0" w:color="auto"/>
            </w:tcBorders>
            <w:vAlign w:val="center"/>
          </w:tcPr>
          <w:p w:rsidR="007C208D" w:rsidRPr="0072024F" w:rsidRDefault="007C208D" w:rsidP="00777C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975" w:type="dxa"/>
            <w:vMerge/>
            <w:vAlign w:val="center"/>
          </w:tcPr>
          <w:p w:rsidR="007C208D" w:rsidRPr="0072024F" w:rsidRDefault="007C208D" w:rsidP="00777C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982" w:type="dxa"/>
            <w:vMerge/>
            <w:vAlign w:val="center"/>
          </w:tcPr>
          <w:p w:rsidR="007C208D" w:rsidRPr="0072024F" w:rsidRDefault="007C208D" w:rsidP="00777C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779" w:type="dxa"/>
            <w:vAlign w:val="center"/>
          </w:tcPr>
          <w:p w:rsidR="007C208D" w:rsidRPr="0072024F" w:rsidRDefault="007C208D" w:rsidP="00777C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w:t>
            </w:r>
          </w:p>
        </w:tc>
        <w:tc>
          <w:tcPr>
            <w:tcW w:w="922" w:type="dxa"/>
            <w:vAlign w:val="center"/>
          </w:tcPr>
          <w:p w:rsidR="007C208D" w:rsidRPr="0072024F" w:rsidRDefault="007C208D" w:rsidP="00777C5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w:t>
            </w:r>
          </w:p>
        </w:tc>
      </w:tr>
      <w:tr w:rsidR="00126694" w:rsidRPr="0072024F" w:rsidTr="00B2393C">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vAlign w:val="center"/>
          </w:tcPr>
          <w:p w:rsidR="00B70320" w:rsidRPr="00126694" w:rsidRDefault="00B70320" w:rsidP="00B70320">
            <w:pPr>
              <w:pStyle w:val="ListParagraph"/>
              <w:spacing w:line="276" w:lineRule="auto"/>
              <w:ind w:left="0"/>
              <w:jc w:val="center"/>
              <w:rPr>
                <w:rFonts w:asciiTheme="majorHAnsi" w:hAnsiTheme="majorHAnsi" w:cstheme="majorHAnsi"/>
                <w:b w:val="0"/>
                <w:i/>
                <w:sz w:val="16"/>
                <w:szCs w:val="16"/>
              </w:rPr>
            </w:pPr>
            <w:r w:rsidRPr="00126694">
              <w:rPr>
                <w:rFonts w:asciiTheme="majorHAnsi" w:hAnsiTheme="majorHAnsi" w:cstheme="majorHAnsi"/>
                <w:b w:val="0"/>
                <w:i/>
                <w:sz w:val="16"/>
                <w:szCs w:val="16"/>
              </w:rPr>
              <w:t>1</w:t>
            </w:r>
          </w:p>
        </w:tc>
        <w:tc>
          <w:tcPr>
            <w:tcW w:w="995" w:type="dxa"/>
            <w:tcBorders>
              <w:left w:val="single" w:sz="12" w:space="0" w:color="auto"/>
            </w:tcBorders>
            <w:vAlign w:val="center"/>
          </w:tcPr>
          <w:p w:rsidR="00B70320" w:rsidRPr="00126694" w:rsidRDefault="00B70320"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2</w:t>
            </w:r>
          </w:p>
        </w:tc>
        <w:tc>
          <w:tcPr>
            <w:tcW w:w="975" w:type="dxa"/>
            <w:vAlign w:val="center"/>
          </w:tcPr>
          <w:p w:rsidR="00B70320" w:rsidRPr="00126694" w:rsidRDefault="00B70320"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3</w:t>
            </w:r>
          </w:p>
        </w:tc>
        <w:tc>
          <w:tcPr>
            <w:tcW w:w="982" w:type="dxa"/>
            <w:vAlign w:val="center"/>
          </w:tcPr>
          <w:p w:rsidR="00B70320" w:rsidRPr="00126694" w:rsidRDefault="00B70320"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4</w:t>
            </w:r>
          </w:p>
        </w:tc>
        <w:tc>
          <w:tcPr>
            <w:tcW w:w="779" w:type="dxa"/>
            <w:vAlign w:val="center"/>
          </w:tcPr>
          <w:p w:rsidR="00B70320" w:rsidRPr="00126694" w:rsidRDefault="00B70320"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5</w:t>
            </w:r>
            <w:r w:rsidR="004B097A" w:rsidRPr="00126694">
              <w:rPr>
                <w:rFonts w:asciiTheme="majorHAnsi" w:hAnsiTheme="majorHAnsi" w:cstheme="majorHAnsi"/>
                <w:i/>
                <w:sz w:val="16"/>
                <w:szCs w:val="16"/>
              </w:rPr>
              <w:t>=4-3</w:t>
            </w:r>
          </w:p>
        </w:tc>
        <w:tc>
          <w:tcPr>
            <w:tcW w:w="922" w:type="dxa"/>
            <w:vAlign w:val="center"/>
          </w:tcPr>
          <w:p w:rsidR="00126694" w:rsidRPr="00126694" w:rsidRDefault="00B70320"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6</w:t>
            </w:r>
            <w:r w:rsidR="004B097A" w:rsidRPr="00126694">
              <w:rPr>
                <w:rFonts w:asciiTheme="majorHAnsi" w:hAnsiTheme="majorHAnsi" w:cstheme="majorHAnsi"/>
                <w:i/>
                <w:sz w:val="16"/>
                <w:szCs w:val="16"/>
              </w:rPr>
              <w:t>=4/3</w:t>
            </w:r>
          </w:p>
          <w:p w:rsidR="00B70320" w:rsidRPr="00126694" w:rsidRDefault="004B097A" w:rsidP="00B7032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126694">
              <w:rPr>
                <w:rFonts w:asciiTheme="majorHAnsi" w:hAnsiTheme="majorHAnsi" w:cstheme="majorHAnsi"/>
                <w:i/>
                <w:sz w:val="16"/>
                <w:szCs w:val="16"/>
              </w:rPr>
              <w:t>*100</w:t>
            </w:r>
          </w:p>
        </w:tc>
      </w:tr>
      <w:tr w:rsidR="004B097A" w:rsidRPr="0072024F" w:rsidTr="00126694">
        <w:tc>
          <w:tcPr>
            <w:cnfStyle w:val="001000000000" w:firstRow="0" w:lastRow="0" w:firstColumn="1" w:lastColumn="0" w:oddVBand="0" w:evenVBand="0" w:oddHBand="0" w:evenHBand="0" w:firstRowFirstColumn="0" w:firstRowLastColumn="0" w:lastRowFirstColumn="0" w:lastRowLastColumn="0"/>
            <w:tcW w:w="4957" w:type="dxa"/>
            <w:tcBorders>
              <w:bottom w:val="single" w:sz="12" w:space="0" w:color="auto"/>
              <w:right w:val="single" w:sz="12" w:space="0" w:color="auto"/>
            </w:tcBorders>
            <w:shd w:val="clear" w:color="auto" w:fill="E7E6E6" w:themeFill="background2"/>
          </w:tcPr>
          <w:p w:rsidR="00777C5F" w:rsidRPr="0072024F" w:rsidRDefault="00777C5F" w:rsidP="00FD49D2">
            <w:pPr>
              <w:pStyle w:val="ListParagraph"/>
              <w:ind w:left="0"/>
              <w:jc w:val="both"/>
              <w:rPr>
                <w:rFonts w:asciiTheme="majorHAnsi" w:hAnsiTheme="majorHAnsi" w:cstheme="majorHAnsi"/>
              </w:rPr>
            </w:pPr>
            <w:r w:rsidRPr="0072024F">
              <w:rPr>
                <w:rFonts w:asciiTheme="majorHAnsi" w:hAnsiTheme="majorHAnsi" w:cstheme="majorHAnsi"/>
              </w:rPr>
              <w:t>Dobânzi încasate</w:t>
            </w:r>
            <w:r w:rsidR="007C208D" w:rsidRPr="0072024F">
              <w:rPr>
                <w:rFonts w:asciiTheme="majorHAnsi" w:hAnsiTheme="majorHAnsi" w:cstheme="majorHAnsi"/>
              </w:rPr>
              <w:t>, inclusiv:</w:t>
            </w:r>
          </w:p>
        </w:tc>
        <w:tc>
          <w:tcPr>
            <w:tcW w:w="995" w:type="dxa"/>
            <w:tcBorders>
              <w:left w:val="single" w:sz="12" w:space="0" w:color="auto"/>
              <w:bottom w:val="single" w:sz="12" w:space="0" w:color="auto"/>
            </w:tcBorders>
            <w:shd w:val="clear" w:color="auto" w:fill="E7E6E6" w:themeFill="background2"/>
          </w:tcPr>
          <w:p w:rsidR="00777C5F" w:rsidRPr="0072024F" w:rsidRDefault="00777C5F"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304,9</w:t>
            </w:r>
          </w:p>
        </w:tc>
        <w:tc>
          <w:tcPr>
            <w:tcW w:w="975" w:type="dxa"/>
            <w:tcBorders>
              <w:bottom w:val="single" w:sz="12" w:space="0" w:color="auto"/>
            </w:tcBorders>
            <w:shd w:val="clear" w:color="auto" w:fill="E7E6E6" w:themeFill="background2"/>
          </w:tcPr>
          <w:p w:rsidR="00777C5F" w:rsidRPr="0072024F" w:rsidRDefault="00777C5F"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295,8</w:t>
            </w:r>
          </w:p>
        </w:tc>
        <w:tc>
          <w:tcPr>
            <w:tcW w:w="982" w:type="dxa"/>
            <w:tcBorders>
              <w:bottom w:val="single" w:sz="12" w:space="0" w:color="auto"/>
            </w:tcBorders>
            <w:shd w:val="clear" w:color="auto" w:fill="E7E6E6" w:themeFill="background2"/>
          </w:tcPr>
          <w:p w:rsidR="00777C5F" w:rsidRPr="0072024F" w:rsidRDefault="00777C5F"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203,4</w:t>
            </w:r>
          </w:p>
        </w:tc>
        <w:tc>
          <w:tcPr>
            <w:tcW w:w="779" w:type="dxa"/>
            <w:tcBorders>
              <w:bottom w:val="single" w:sz="12" w:space="0" w:color="auto"/>
            </w:tcBorders>
            <w:shd w:val="clear" w:color="auto" w:fill="E7E6E6" w:themeFill="background2"/>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-92,4</w:t>
            </w:r>
          </w:p>
        </w:tc>
        <w:tc>
          <w:tcPr>
            <w:tcW w:w="922" w:type="dxa"/>
            <w:tcBorders>
              <w:bottom w:val="single" w:sz="12" w:space="0" w:color="auto"/>
            </w:tcBorders>
            <w:shd w:val="clear" w:color="auto" w:fill="E7E6E6" w:themeFill="background2"/>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2024F">
              <w:rPr>
                <w:rFonts w:asciiTheme="majorHAnsi" w:hAnsiTheme="majorHAnsi" w:cstheme="majorHAnsi"/>
                <w:b/>
              </w:rPr>
              <w:t>68,8</w:t>
            </w:r>
          </w:p>
        </w:tc>
      </w:tr>
      <w:tr w:rsidR="0072024F" w:rsidRPr="0072024F" w:rsidTr="00126694">
        <w:tc>
          <w:tcPr>
            <w:cnfStyle w:val="001000000000" w:firstRow="0" w:lastRow="0" w:firstColumn="1" w:lastColumn="0" w:oddVBand="0" w:evenVBand="0" w:oddHBand="0" w:evenHBand="0" w:firstRowFirstColumn="0" w:firstRowLastColumn="0" w:lastRowFirstColumn="0" w:lastRowLastColumn="0"/>
            <w:tcW w:w="4957" w:type="dxa"/>
            <w:tcBorders>
              <w:top w:val="single" w:sz="12" w:space="0" w:color="auto"/>
              <w:right w:val="single" w:sz="12" w:space="0" w:color="auto"/>
            </w:tcBorders>
          </w:tcPr>
          <w:p w:rsidR="00777C5F" w:rsidRPr="0072024F" w:rsidRDefault="00777C5F" w:rsidP="00FD49D2">
            <w:pPr>
              <w:pStyle w:val="ListParagraph"/>
              <w:ind w:left="0"/>
              <w:jc w:val="both"/>
              <w:rPr>
                <w:rFonts w:asciiTheme="majorHAnsi" w:hAnsiTheme="majorHAnsi" w:cstheme="majorHAnsi"/>
                <w:b w:val="0"/>
              </w:rPr>
            </w:pPr>
            <w:r w:rsidRPr="0072024F">
              <w:rPr>
                <w:rFonts w:asciiTheme="majorHAnsi" w:hAnsiTheme="majorHAnsi" w:cstheme="majorHAnsi"/>
                <w:b w:val="0"/>
              </w:rPr>
              <w:t>Dobânzi încasate la soldurile mijloacelor bugetare</w:t>
            </w:r>
          </w:p>
        </w:tc>
        <w:tc>
          <w:tcPr>
            <w:tcW w:w="995" w:type="dxa"/>
            <w:tcBorders>
              <w:top w:val="single" w:sz="12" w:space="0" w:color="auto"/>
              <w:left w:val="single" w:sz="12" w:space="0" w:color="auto"/>
            </w:tcBorders>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45,4</w:t>
            </w:r>
          </w:p>
        </w:tc>
        <w:tc>
          <w:tcPr>
            <w:tcW w:w="975" w:type="dxa"/>
            <w:tcBorders>
              <w:top w:val="single" w:sz="12" w:space="0" w:color="auto"/>
            </w:tcBorders>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39,9</w:t>
            </w:r>
          </w:p>
        </w:tc>
        <w:tc>
          <w:tcPr>
            <w:tcW w:w="982" w:type="dxa"/>
            <w:tcBorders>
              <w:top w:val="single" w:sz="12" w:space="0" w:color="auto"/>
            </w:tcBorders>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69,3</w:t>
            </w:r>
          </w:p>
        </w:tc>
        <w:tc>
          <w:tcPr>
            <w:tcW w:w="779" w:type="dxa"/>
            <w:tcBorders>
              <w:top w:val="single" w:sz="12" w:space="0" w:color="auto"/>
            </w:tcBorders>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29,4</w:t>
            </w:r>
          </w:p>
        </w:tc>
        <w:tc>
          <w:tcPr>
            <w:tcW w:w="922" w:type="dxa"/>
            <w:tcBorders>
              <w:top w:val="single" w:sz="12" w:space="0" w:color="auto"/>
            </w:tcBorders>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173,7</w:t>
            </w:r>
          </w:p>
        </w:tc>
      </w:tr>
      <w:tr w:rsidR="0072024F" w:rsidRPr="0072024F" w:rsidTr="00126694">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777C5F" w:rsidRPr="0072024F" w:rsidRDefault="007C208D" w:rsidP="00FD49D2">
            <w:pPr>
              <w:pStyle w:val="ListParagraph"/>
              <w:ind w:left="0"/>
              <w:jc w:val="both"/>
              <w:rPr>
                <w:rFonts w:asciiTheme="majorHAnsi" w:hAnsiTheme="majorHAnsi" w:cstheme="majorHAnsi"/>
                <w:b w:val="0"/>
              </w:rPr>
            </w:pPr>
            <w:r w:rsidRPr="0072024F">
              <w:rPr>
                <w:rFonts w:asciiTheme="majorHAnsi" w:hAnsiTheme="majorHAnsi" w:cstheme="majorHAnsi"/>
                <w:b w:val="0"/>
              </w:rPr>
              <w:t>Dobânzi încasate la soldurile mijloacelor bugetare depozitate</w:t>
            </w:r>
          </w:p>
        </w:tc>
        <w:tc>
          <w:tcPr>
            <w:tcW w:w="995" w:type="dxa"/>
            <w:tcBorders>
              <w:left w:val="single" w:sz="12" w:space="0" w:color="auto"/>
            </w:tcBorders>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160,0</w:t>
            </w:r>
          </w:p>
        </w:tc>
        <w:tc>
          <w:tcPr>
            <w:tcW w:w="975" w:type="dxa"/>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160,0</w:t>
            </w:r>
          </w:p>
        </w:tc>
        <w:tc>
          <w:tcPr>
            <w:tcW w:w="982" w:type="dxa"/>
          </w:tcPr>
          <w:p w:rsidR="00777C5F" w:rsidRPr="0072024F" w:rsidRDefault="00512E96"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37,2</w:t>
            </w:r>
          </w:p>
        </w:tc>
        <w:tc>
          <w:tcPr>
            <w:tcW w:w="779" w:type="dxa"/>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122,8</w:t>
            </w:r>
          </w:p>
        </w:tc>
        <w:tc>
          <w:tcPr>
            <w:tcW w:w="922" w:type="dxa"/>
          </w:tcPr>
          <w:p w:rsidR="00777C5F"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23,3</w:t>
            </w:r>
          </w:p>
        </w:tc>
      </w:tr>
      <w:tr w:rsidR="00126694" w:rsidRPr="0072024F" w:rsidTr="00126694">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FD49D2" w:rsidRPr="0072024F" w:rsidRDefault="00FD49D2" w:rsidP="00FD49D2">
            <w:pPr>
              <w:pStyle w:val="ListParagraph"/>
              <w:ind w:left="0"/>
              <w:jc w:val="both"/>
              <w:rPr>
                <w:rFonts w:asciiTheme="majorHAnsi" w:hAnsiTheme="majorHAnsi" w:cstheme="majorHAnsi"/>
                <w:b w:val="0"/>
              </w:rPr>
            </w:pPr>
            <w:r w:rsidRPr="0072024F">
              <w:rPr>
                <w:rFonts w:asciiTheme="majorHAnsi" w:hAnsiTheme="majorHAnsi" w:cstheme="majorHAnsi"/>
                <w:b w:val="0"/>
              </w:rPr>
              <w:t xml:space="preserve">Dobânzi și alte plăți încasate la împrumuturile acordate, împrumuturile </w:t>
            </w:r>
            <w:proofErr w:type="spellStart"/>
            <w:r w:rsidRPr="0072024F">
              <w:rPr>
                <w:rFonts w:asciiTheme="majorHAnsi" w:hAnsiTheme="majorHAnsi" w:cstheme="majorHAnsi"/>
                <w:b w:val="0"/>
              </w:rPr>
              <w:t>recreditate</w:t>
            </w:r>
            <w:proofErr w:type="spellEnd"/>
            <w:r w:rsidRPr="0072024F">
              <w:rPr>
                <w:rFonts w:asciiTheme="majorHAnsi" w:hAnsiTheme="majorHAnsi" w:cstheme="majorHAnsi"/>
                <w:b w:val="0"/>
              </w:rPr>
              <w:t xml:space="preserve"> și mijloacele dezafectate de la buget pentru onorarea garanțiilor în afara sistemului bugetar</w:t>
            </w:r>
          </w:p>
        </w:tc>
        <w:tc>
          <w:tcPr>
            <w:tcW w:w="995" w:type="dxa"/>
            <w:tcBorders>
              <w:left w:val="single" w:sz="12" w:space="0" w:color="auto"/>
            </w:tcBorders>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93,6</w:t>
            </w:r>
          </w:p>
        </w:tc>
        <w:tc>
          <w:tcPr>
            <w:tcW w:w="975" w:type="dxa"/>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89,4</w:t>
            </w:r>
          </w:p>
        </w:tc>
        <w:tc>
          <w:tcPr>
            <w:tcW w:w="982" w:type="dxa"/>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90,2</w:t>
            </w:r>
          </w:p>
        </w:tc>
        <w:tc>
          <w:tcPr>
            <w:tcW w:w="779" w:type="dxa"/>
          </w:tcPr>
          <w:p w:rsidR="00FD49D2"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0,8</w:t>
            </w:r>
          </w:p>
        </w:tc>
        <w:tc>
          <w:tcPr>
            <w:tcW w:w="922" w:type="dxa"/>
          </w:tcPr>
          <w:p w:rsidR="00FD49D2"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100,9</w:t>
            </w:r>
          </w:p>
        </w:tc>
      </w:tr>
      <w:tr w:rsidR="00126694" w:rsidRPr="0072024F" w:rsidTr="00126694">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FD49D2" w:rsidRPr="0072024F" w:rsidRDefault="00B70320" w:rsidP="00FD49D2">
            <w:pPr>
              <w:pStyle w:val="ListParagraph"/>
              <w:ind w:left="0"/>
              <w:jc w:val="both"/>
              <w:rPr>
                <w:rFonts w:asciiTheme="majorHAnsi" w:hAnsiTheme="majorHAnsi" w:cstheme="majorHAnsi"/>
                <w:b w:val="0"/>
              </w:rPr>
            </w:pPr>
            <w:r w:rsidRPr="0072024F">
              <w:rPr>
                <w:rFonts w:asciiTheme="majorHAnsi" w:hAnsiTheme="majorHAnsi" w:cstheme="majorHAnsi"/>
                <w:b w:val="0"/>
              </w:rPr>
              <w:t xml:space="preserve">Dobânzi și alte plăți încasate la împrumuturile acordate și împrumuturile </w:t>
            </w:r>
            <w:proofErr w:type="spellStart"/>
            <w:r w:rsidRPr="0072024F">
              <w:rPr>
                <w:rFonts w:asciiTheme="majorHAnsi" w:hAnsiTheme="majorHAnsi" w:cstheme="majorHAnsi"/>
                <w:b w:val="0"/>
              </w:rPr>
              <w:t>recreditate</w:t>
            </w:r>
            <w:proofErr w:type="spellEnd"/>
            <w:r w:rsidRPr="0072024F">
              <w:rPr>
                <w:rFonts w:asciiTheme="majorHAnsi" w:hAnsiTheme="majorHAnsi" w:cstheme="majorHAnsi"/>
                <w:b w:val="0"/>
              </w:rPr>
              <w:t xml:space="preserve"> în interiorul sistemului bugetar</w:t>
            </w:r>
          </w:p>
        </w:tc>
        <w:tc>
          <w:tcPr>
            <w:tcW w:w="995" w:type="dxa"/>
            <w:tcBorders>
              <w:left w:val="single" w:sz="12" w:space="0" w:color="auto"/>
            </w:tcBorders>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5,9</w:t>
            </w:r>
          </w:p>
        </w:tc>
        <w:tc>
          <w:tcPr>
            <w:tcW w:w="975" w:type="dxa"/>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6,5</w:t>
            </w:r>
          </w:p>
        </w:tc>
        <w:tc>
          <w:tcPr>
            <w:tcW w:w="982" w:type="dxa"/>
          </w:tcPr>
          <w:p w:rsidR="00FD49D2" w:rsidRPr="0072024F" w:rsidRDefault="00B70320"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6,7</w:t>
            </w:r>
          </w:p>
        </w:tc>
        <w:tc>
          <w:tcPr>
            <w:tcW w:w="779" w:type="dxa"/>
          </w:tcPr>
          <w:p w:rsidR="00FD49D2"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0,2</w:t>
            </w:r>
          </w:p>
        </w:tc>
        <w:tc>
          <w:tcPr>
            <w:tcW w:w="922" w:type="dxa"/>
          </w:tcPr>
          <w:p w:rsidR="00FD49D2" w:rsidRPr="0072024F" w:rsidRDefault="00456941" w:rsidP="00FD49D2">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72024F">
              <w:rPr>
                <w:rFonts w:asciiTheme="majorHAnsi" w:hAnsiTheme="majorHAnsi" w:cstheme="majorHAnsi"/>
              </w:rPr>
              <w:t>103,1</w:t>
            </w:r>
          </w:p>
        </w:tc>
      </w:tr>
    </w:tbl>
    <w:p w:rsidR="00257FD6" w:rsidRPr="00456941" w:rsidRDefault="00456941" w:rsidP="00456941">
      <w:pPr>
        <w:pStyle w:val="ListParagraph"/>
        <w:spacing w:after="0" w:line="276" w:lineRule="auto"/>
        <w:ind w:left="0"/>
        <w:jc w:val="both"/>
        <w:rPr>
          <w:rFonts w:asciiTheme="majorHAnsi" w:hAnsiTheme="majorHAnsi" w:cstheme="majorHAnsi"/>
          <w:i/>
          <w:sz w:val="20"/>
          <w:szCs w:val="20"/>
        </w:rPr>
      </w:pPr>
      <w:r w:rsidRPr="00456941">
        <w:rPr>
          <w:rFonts w:asciiTheme="majorHAnsi" w:hAnsiTheme="majorHAnsi" w:cstheme="majorHAnsi"/>
          <w:b/>
          <w:i/>
          <w:sz w:val="20"/>
          <w:szCs w:val="20"/>
        </w:rPr>
        <w:t>Sursă:</w:t>
      </w:r>
      <w:r w:rsidRPr="00456941">
        <w:rPr>
          <w:rFonts w:asciiTheme="majorHAnsi" w:hAnsiTheme="majorHAnsi" w:cstheme="majorHAnsi"/>
          <w:i/>
          <w:sz w:val="20"/>
          <w:szCs w:val="20"/>
        </w:rPr>
        <w:t xml:space="preserve"> Raport privind executarea bugetului conform </w:t>
      </w:r>
      <w:r w:rsidR="00A169CD">
        <w:rPr>
          <w:rFonts w:asciiTheme="majorHAnsi" w:hAnsiTheme="majorHAnsi" w:cstheme="majorHAnsi"/>
          <w:i/>
          <w:sz w:val="20"/>
          <w:szCs w:val="20"/>
        </w:rPr>
        <w:t>C</w:t>
      </w:r>
      <w:r w:rsidRPr="00456941">
        <w:rPr>
          <w:rFonts w:asciiTheme="majorHAnsi" w:hAnsiTheme="majorHAnsi" w:cstheme="majorHAnsi"/>
          <w:i/>
          <w:sz w:val="20"/>
          <w:szCs w:val="20"/>
        </w:rPr>
        <w:t>lasificației economice la situația din 31.12.2018.</w:t>
      </w:r>
    </w:p>
    <w:p w:rsidR="00456941" w:rsidRPr="00C833CD" w:rsidRDefault="00456941" w:rsidP="00257FD6">
      <w:pPr>
        <w:pStyle w:val="ListParagraph"/>
        <w:spacing w:after="0" w:line="276" w:lineRule="auto"/>
        <w:jc w:val="both"/>
        <w:rPr>
          <w:rFonts w:asciiTheme="majorHAnsi" w:hAnsiTheme="majorHAnsi" w:cstheme="majorHAnsi"/>
          <w:b/>
          <w:sz w:val="24"/>
          <w:szCs w:val="24"/>
        </w:rPr>
      </w:pPr>
    </w:p>
    <w:p w:rsidR="00C4336B" w:rsidRPr="003023A3" w:rsidRDefault="00C4336B" w:rsidP="002531F5">
      <w:pPr>
        <w:pStyle w:val="ListParagraph"/>
        <w:spacing w:line="276" w:lineRule="auto"/>
        <w:ind w:left="0" w:firstLine="709"/>
        <w:jc w:val="both"/>
        <w:rPr>
          <w:rFonts w:asciiTheme="majorHAnsi" w:hAnsiTheme="majorHAnsi" w:cstheme="majorHAnsi"/>
          <w:sz w:val="24"/>
          <w:szCs w:val="24"/>
          <w:lang w:val="ro-MD"/>
        </w:rPr>
      </w:pPr>
      <w:r w:rsidRPr="00C4336B">
        <w:rPr>
          <w:rFonts w:asciiTheme="majorHAnsi" w:hAnsiTheme="majorHAnsi" w:cstheme="majorHAnsi"/>
          <w:sz w:val="24"/>
          <w:szCs w:val="24"/>
          <w:lang w:val="ro-MD"/>
        </w:rPr>
        <w:t>Auditul atestă că</w:t>
      </w:r>
      <w:r w:rsidR="00A169CD">
        <w:rPr>
          <w:rFonts w:asciiTheme="majorHAnsi" w:hAnsiTheme="majorHAnsi" w:cstheme="majorHAnsi"/>
          <w:sz w:val="24"/>
          <w:szCs w:val="24"/>
          <w:lang w:val="ro-MD"/>
        </w:rPr>
        <w:t>,</w:t>
      </w:r>
      <w:r w:rsidRPr="00C4336B">
        <w:rPr>
          <w:rFonts w:asciiTheme="majorHAnsi" w:hAnsiTheme="majorHAnsi" w:cstheme="majorHAnsi"/>
          <w:sz w:val="24"/>
          <w:szCs w:val="24"/>
          <w:lang w:val="ro-MD"/>
        </w:rPr>
        <w:t xml:space="preserve"> pe parcursul anului 2018, din </w:t>
      </w:r>
      <w:r w:rsidRPr="003023A3">
        <w:rPr>
          <w:rFonts w:asciiTheme="majorHAnsi" w:hAnsiTheme="majorHAnsi" w:cstheme="majorHAnsi"/>
          <w:sz w:val="24"/>
          <w:szCs w:val="24"/>
          <w:lang w:val="ro-MD"/>
        </w:rPr>
        <w:t>contul mijloacelor disponibile</w:t>
      </w:r>
      <w:r w:rsidR="001536D2" w:rsidRPr="003023A3">
        <w:rPr>
          <w:rFonts w:asciiTheme="majorHAnsi" w:hAnsiTheme="majorHAnsi" w:cstheme="majorHAnsi"/>
          <w:sz w:val="24"/>
          <w:szCs w:val="24"/>
          <w:lang w:val="ro-MD"/>
        </w:rPr>
        <w:t xml:space="preserve"> ale BS</w:t>
      </w:r>
      <w:r w:rsidRPr="003023A3">
        <w:rPr>
          <w:rFonts w:asciiTheme="majorHAnsi" w:hAnsiTheme="majorHAnsi" w:cstheme="majorHAnsi"/>
          <w:sz w:val="24"/>
          <w:szCs w:val="24"/>
          <w:lang w:val="ro-MD"/>
        </w:rPr>
        <w:t xml:space="preserve">, au fost depozitate </w:t>
      </w:r>
      <w:r w:rsidR="001536D2" w:rsidRPr="003023A3">
        <w:rPr>
          <w:rFonts w:asciiTheme="majorHAnsi" w:hAnsiTheme="majorHAnsi" w:cstheme="majorHAnsi"/>
          <w:sz w:val="24"/>
          <w:szCs w:val="24"/>
          <w:lang w:val="ro-MD"/>
        </w:rPr>
        <w:t xml:space="preserve">la BNM </w:t>
      </w:r>
      <w:r w:rsidR="00AE6824" w:rsidRPr="003023A3">
        <w:rPr>
          <w:rFonts w:asciiTheme="majorHAnsi" w:hAnsiTheme="majorHAnsi" w:cstheme="majorHAnsi"/>
          <w:sz w:val="24"/>
          <w:szCs w:val="24"/>
          <w:lang w:val="ro-MD"/>
        </w:rPr>
        <w:t>253,5</w:t>
      </w:r>
      <w:r w:rsidRPr="003023A3">
        <w:rPr>
          <w:rFonts w:asciiTheme="majorHAnsi" w:hAnsiTheme="majorHAnsi" w:cstheme="majorHAnsi"/>
          <w:sz w:val="24"/>
          <w:szCs w:val="24"/>
          <w:lang w:val="ro-MD"/>
        </w:rPr>
        <w:t xml:space="preserve"> mil. </w:t>
      </w:r>
      <w:r w:rsidR="007160B9" w:rsidRPr="003023A3">
        <w:rPr>
          <w:rFonts w:asciiTheme="majorHAnsi" w:hAnsiTheme="majorHAnsi" w:cstheme="majorHAnsi"/>
          <w:sz w:val="24"/>
          <w:szCs w:val="24"/>
          <w:lang w:val="ro-MD"/>
        </w:rPr>
        <w:t>MDL</w:t>
      </w:r>
      <w:r w:rsidRPr="003023A3">
        <w:rPr>
          <w:rFonts w:asciiTheme="majorHAnsi" w:hAnsiTheme="majorHAnsi" w:cstheme="majorHAnsi"/>
          <w:sz w:val="24"/>
          <w:szCs w:val="24"/>
          <w:lang w:val="ro-MD"/>
        </w:rPr>
        <w:t xml:space="preserve"> </w:t>
      </w:r>
      <w:r w:rsidR="00AE6824" w:rsidRPr="003023A3">
        <w:rPr>
          <w:rFonts w:asciiTheme="majorHAnsi" w:hAnsiTheme="majorHAnsi" w:cstheme="majorHAnsi"/>
          <w:sz w:val="24"/>
          <w:szCs w:val="24"/>
          <w:lang w:val="ro-MD"/>
        </w:rPr>
        <w:t xml:space="preserve">și 508,9 mil. MDL în anul 2017 </w:t>
      </w:r>
      <w:r w:rsidRPr="003023A3">
        <w:rPr>
          <w:rFonts w:asciiTheme="majorHAnsi" w:hAnsiTheme="majorHAnsi" w:cstheme="majorHAnsi"/>
          <w:sz w:val="24"/>
          <w:szCs w:val="24"/>
          <w:lang w:val="ro-MD"/>
        </w:rPr>
        <w:t>la rata dobânzii echivalentă cu rata medie ponderată constituită la licitația de vânzare a valorilor mobiliare de stat</w:t>
      </w:r>
      <w:r w:rsidR="00A169CD" w:rsidRPr="003023A3">
        <w:rPr>
          <w:rFonts w:asciiTheme="majorHAnsi" w:hAnsiTheme="majorHAnsi" w:cstheme="majorHAnsi"/>
          <w:sz w:val="24"/>
          <w:szCs w:val="24"/>
          <w:lang w:val="ro-MD"/>
        </w:rPr>
        <w:t>,</w:t>
      </w:r>
      <w:r w:rsidRPr="003023A3">
        <w:rPr>
          <w:rFonts w:asciiTheme="majorHAnsi" w:hAnsiTheme="majorHAnsi" w:cstheme="majorHAnsi"/>
          <w:sz w:val="24"/>
          <w:szCs w:val="24"/>
          <w:lang w:val="ro-MD"/>
        </w:rPr>
        <w:t xml:space="preserve"> care a </w:t>
      </w:r>
      <w:r w:rsidR="00DF286E">
        <w:rPr>
          <w:rFonts w:asciiTheme="majorHAnsi" w:hAnsiTheme="majorHAnsi" w:cstheme="majorHAnsi"/>
          <w:sz w:val="24"/>
          <w:szCs w:val="24"/>
          <w:lang w:val="ro-MD"/>
        </w:rPr>
        <w:t>variat</w:t>
      </w:r>
      <w:r w:rsidRPr="003023A3">
        <w:rPr>
          <w:rFonts w:asciiTheme="majorHAnsi" w:hAnsiTheme="majorHAnsi" w:cstheme="majorHAnsi"/>
          <w:sz w:val="24"/>
          <w:szCs w:val="24"/>
          <w:lang w:val="ro-MD"/>
        </w:rPr>
        <w:t xml:space="preserve"> de la 5,8% </w:t>
      </w:r>
      <w:r w:rsidR="00A169CD" w:rsidRPr="003023A3">
        <w:rPr>
          <w:rFonts w:asciiTheme="majorHAnsi" w:hAnsiTheme="majorHAnsi" w:cstheme="majorHAnsi"/>
          <w:sz w:val="24"/>
          <w:szCs w:val="24"/>
          <w:lang w:val="ro-MD"/>
        </w:rPr>
        <w:t>până la</w:t>
      </w:r>
      <w:r w:rsidRPr="003023A3">
        <w:rPr>
          <w:rFonts w:asciiTheme="majorHAnsi" w:hAnsiTheme="majorHAnsi" w:cstheme="majorHAnsi"/>
          <w:sz w:val="24"/>
          <w:szCs w:val="24"/>
          <w:lang w:val="ro-MD"/>
        </w:rPr>
        <w:t xml:space="preserve"> 7,75%. Urmare </w:t>
      </w:r>
      <w:r w:rsidR="00A169CD" w:rsidRPr="003023A3">
        <w:rPr>
          <w:rFonts w:asciiTheme="majorHAnsi" w:hAnsiTheme="majorHAnsi" w:cstheme="majorHAnsi"/>
          <w:sz w:val="24"/>
          <w:szCs w:val="24"/>
          <w:lang w:val="ro-MD"/>
        </w:rPr>
        <w:t xml:space="preserve">a </w:t>
      </w:r>
      <w:r w:rsidRPr="003023A3">
        <w:rPr>
          <w:rFonts w:asciiTheme="majorHAnsi" w:hAnsiTheme="majorHAnsi" w:cstheme="majorHAnsi"/>
          <w:sz w:val="24"/>
          <w:szCs w:val="24"/>
          <w:lang w:val="ro-MD"/>
        </w:rPr>
        <w:t xml:space="preserve">depozitării </w:t>
      </w:r>
      <w:r w:rsidR="00A169CD" w:rsidRPr="003023A3">
        <w:rPr>
          <w:rFonts w:asciiTheme="majorHAnsi" w:hAnsiTheme="majorHAnsi" w:cstheme="majorHAnsi"/>
          <w:sz w:val="24"/>
          <w:szCs w:val="24"/>
          <w:lang w:val="ro-MD"/>
        </w:rPr>
        <w:t xml:space="preserve">acestor </w:t>
      </w:r>
      <w:r w:rsidRPr="003023A3">
        <w:rPr>
          <w:rFonts w:asciiTheme="majorHAnsi" w:hAnsiTheme="majorHAnsi" w:cstheme="majorHAnsi"/>
          <w:sz w:val="24"/>
          <w:szCs w:val="24"/>
          <w:lang w:val="ro-MD"/>
        </w:rPr>
        <w:t xml:space="preserve">mijloace, au fost obținute venituri în sumă totală de 37,2 mil. </w:t>
      </w:r>
      <w:r w:rsidR="007160B9" w:rsidRPr="003023A3">
        <w:rPr>
          <w:rFonts w:asciiTheme="majorHAnsi" w:hAnsiTheme="majorHAnsi" w:cstheme="majorHAnsi"/>
          <w:sz w:val="24"/>
          <w:szCs w:val="24"/>
          <w:lang w:val="ro-MD"/>
        </w:rPr>
        <w:t>MDL</w:t>
      </w:r>
      <w:r w:rsidR="00A169CD" w:rsidRPr="003023A3">
        <w:rPr>
          <w:rFonts w:asciiTheme="majorHAnsi" w:hAnsiTheme="majorHAnsi" w:cstheme="majorHAnsi"/>
          <w:sz w:val="24"/>
          <w:szCs w:val="24"/>
          <w:lang w:val="ro-MD"/>
        </w:rPr>
        <w:t>,</w:t>
      </w:r>
      <w:r w:rsidRPr="003023A3">
        <w:rPr>
          <w:rFonts w:asciiTheme="majorHAnsi" w:hAnsiTheme="majorHAnsi" w:cstheme="majorHAnsi"/>
          <w:sz w:val="24"/>
          <w:szCs w:val="24"/>
          <w:lang w:val="ro-MD"/>
        </w:rPr>
        <w:t xml:space="preserve"> iar la soldurile mijloacelor bugetare au fost încasat</w:t>
      </w:r>
      <w:r w:rsidR="00582A58" w:rsidRPr="003023A3">
        <w:rPr>
          <w:rFonts w:asciiTheme="majorHAnsi" w:hAnsiTheme="majorHAnsi" w:cstheme="majorHAnsi"/>
          <w:sz w:val="24"/>
          <w:szCs w:val="24"/>
          <w:lang w:val="ro-MD"/>
        </w:rPr>
        <w:t>e dobânzi în sumă totală de 69,3</w:t>
      </w:r>
      <w:r w:rsidRPr="003023A3">
        <w:rPr>
          <w:rFonts w:asciiTheme="majorHAnsi" w:hAnsiTheme="majorHAnsi" w:cstheme="majorHAnsi"/>
          <w:sz w:val="24"/>
          <w:szCs w:val="24"/>
          <w:lang w:val="ro-MD"/>
        </w:rPr>
        <w:t xml:space="preserve"> mil. </w:t>
      </w:r>
      <w:r w:rsidR="007160B9" w:rsidRPr="003023A3">
        <w:rPr>
          <w:rFonts w:asciiTheme="majorHAnsi" w:hAnsiTheme="majorHAnsi" w:cstheme="majorHAnsi"/>
          <w:sz w:val="24"/>
          <w:szCs w:val="24"/>
          <w:lang w:val="ro-MD"/>
        </w:rPr>
        <w:t>MDL</w:t>
      </w:r>
      <w:r w:rsidRPr="003023A3">
        <w:rPr>
          <w:rFonts w:asciiTheme="majorHAnsi" w:hAnsiTheme="majorHAnsi" w:cstheme="majorHAnsi"/>
          <w:sz w:val="24"/>
          <w:szCs w:val="24"/>
          <w:lang w:val="ro-MD"/>
        </w:rPr>
        <w:t xml:space="preserve">. </w:t>
      </w:r>
    </w:p>
    <w:p w:rsidR="00C4336B" w:rsidRPr="003023A3" w:rsidRDefault="00C4336B" w:rsidP="00343C23">
      <w:pPr>
        <w:pStyle w:val="ListParagraph"/>
        <w:spacing w:after="0" w:line="276" w:lineRule="auto"/>
        <w:ind w:left="0" w:firstLine="709"/>
        <w:jc w:val="both"/>
        <w:rPr>
          <w:rFonts w:asciiTheme="majorHAnsi" w:hAnsiTheme="majorHAnsi" w:cstheme="majorHAnsi"/>
          <w:sz w:val="24"/>
          <w:szCs w:val="24"/>
          <w:lang w:val="ro-MD"/>
        </w:rPr>
      </w:pPr>
      <w:r w:rsidRPr="003023A3">
        <w:rPr>
          <w:rFonts w:asciiTheme="majorHAnsi" w:hAnsiTheme="majorHAnsi" w:cstheme="majorHAnsi"/>
          <w:sz w:val="24"/>
          <w:szCs w:val="24"/>
          <w:lang w:val="ro-MD"/>
        </w:rPr>
        <w:t xml:space="preserve">Totodată, la buget au fost încasate dobânzi la soldurile mijloacelor bănești la conturile bancare a 2 proiecte investiționale din surse externe </w:t>
      </w:r>
      <w:r w:rsidRPr="003023A3">
        <w:rPr>
          <w:rFonts w:asciiTheme="majorHAnsi" w:hAnsiTheme="majorHAnsi" w:cstheme="majorHAnsi"/>
          <w:i/>
          <w:sz w:val="24"/>
          <w:szCs w:val="24"/>
          <w:lang w:val="ro-MD"/>
        </w:rPr>
        <w:t xml:space="preserve">(Tranziția la agricultura performantă </w:t>
      </w:r>
      <w:r w:rsidR="00E33E47" w:rsidRPr="003023A3">
        <w:rPr>
          <w:rFonts w:asciiTheme="majorHAnsi" w:hAnsiTheme="majorHAnsi" w:cstheme="majorHAnsi"/>
          <w:sz w:val="24"/>
          <w:szCs w:val="24"/>
          <w:lang w:val="ro-MD"/>
        </w:rPr>
        <w:t>și</w:t>
      </w:r>
      <w:r w:rsidR="00E33E47" w:rsidRPr="003023A3">
        <w:rPr>
          <w:rFonts w:asciiTheme="majorHAnsi" w:hAnsiTheme="majorHAnsi" w:cstheme="majorHAnsi"/>
          <w:i/>
          <w:sz w:val="24"/>
          <w:szCs w:val="24"/>
          <w:lang w:val="ro-MD"/>
        </w:rPr>
        <w:t xml:space="preserve"> </w:t>
      </w:r>
      <w:r w:rsidRPr="003023A3">
        <w:rPr>
          <w:rFonts w:asciiTheme="majorHAnsi" w:hAnsiTheme="majorHAnsi" w:cstheme="majorHAnsi"/>
          <w:i/>
          <w:sz w:val="24"/>
          <w:szCs w:val="24"/>
          <w:lang w:val="ro-MD"/>
        </w:rPr>
        <w:t>Grantul pentru promovarea eforturilor privind ajustările structurale economice)</w:t>
      </w:r>
      <w:r w:rsidR="00E33E47" w:rsidRPr="003023A3">
        <w:rPr>
          <w:rFonts w:asciiTheme="majorHAnsi" w:hAnsiTheme="majorHAnsi" w:cstheme="majorHAnsi"/>
          <w:i/>
          <w:sz w:val="24"/>
          <w:szCs w:val="24"/>
          <w:lang w:val="ro-MD"/>
        </w:rPr>
        <w:t>,</w:t>
      </w:r>
      <w:r w:rsidRPr="003023A3">
        <w:rPr>
          <w:rFonts w:asciiTheme="majorHAnsi" w:hAnsiTheme="majorHAnsi" w:cstheme="majorHAnsi"/>
          <w:sz w:val="24"/>
          <w:szCs w:val="24"/>
          <w:lang w:val="ro-MD"/>
        </w:rPr>
        <w:t xml:space="preserve"> în valoare totală de 326,5 mii </w:t>
      </w:r>
      <w:r w:rsidR="007160B9" w:rsidRPr="003023A3">
        <w:rPr>
          <w:rFonts w:asciiTheme="majorHAnsi" w:hAnsiTheme="majorHAnsi" w:cstheme="majorHAnsi"/>
          <w:sz w:val="24"/>
          <w:szCs w:val="24"/>
          <w:lang w:val="ro-MD"/>
        </w:rPr>
        <w:t>MDL</w:t>
      </w:r>
      <w:r w:rsidRPr="003023A3">
        <w:rPr>
          <w:rFonts w:asciiTheme="majorHAnsi" w:hAnsiTheme="majorHAnsi" w:cstheme="majorHAnsi"/>
          <w:sz w:val="24"/>
          <w:szCs w:val="24"/>
          <w:lang w:val="ro-MD"/>
        </w:rPr>
        <w:t>. Soldul mijloacelor bănești al</w:t>
      </w:r>
      <w:r w:rsidR="00E33E47" w:rsidRPr="003023A3">
        <w:rPr>
          <w:rFonts w:asciiTheme="majorHAnsi" w:hAnsiTheme="majorHAnsi" w:cstheme="majorHAnsi"/>
          <w:sz w:val="24"/>
          <w:szCs w:val="24"/>
          <w:lang w:val="ro-MD"/>
        </w:rPr>
        <w:t>e</w:t>
      </w:r>
      <w:r w:rsidRPr="003023A3">
        <w:rPr>
          <w:rFonts w:asciiTheme="majorHAnsi" w:hAnsiTheme="majorHAnsi" w:cstheme="majorHAnsi"/>
          <w:sz w:val="24"/>
          <w:szCs w:val="24"/>
          <w:lang w:val="ro-MD"/>
        </w:rPr>
        <w:t xml:space="preserve"> proiectelor menționate, la sfârșitul anului 2018</w:t>
      </w:r>
      <w:r w:rsidR="00E33E47" w:rsidRPr="003023A3">
        <w:rPr>
          <w:rFonts w:asciiTheme="majorHAnsi" w:hAnsiTheme="majorHAnsi" w:cstheme="majorHAnsi"/>
          <w:sz w:val="24"/>
          <w:szCs w:val="24"/>
          <w:lang w:val="ro-MD"/>
        </w:rPr>
        <w:t>,</w:t>
      </w:r>
      <w:r w:rsidRPr="003023A3">
        <w:rPr>
          <w:rFonts w:asciiTheme="majorHAnsi" w:hAnsiTheme="majorHAnsi" w:cstheme="majorHAnsi"/>
          <w:sz w:val="24"/>
          <w:szCs w:val="24"/>
          <w:lang w:val="ro-MD"/>
        </w:rPr>
        <w:t xml:space="preserve"> a constituit 79,1 mil. </w:t>
      </w:r>
      <w:r w:rsidR="007160B9" w:rsidRPr="003023A3">
        <w:rPr>
          <w:rFonts w:asciiTheme="majorHAnsi" w:hAnsiTheme="majorHAnsi" w:cstheme="majorHAnsi"/>
          <w:sz w:val="24"/>
          <w:szCs w:val="24"/>
          <w:lang w:val="ro-MD"/>
        </w:rPr>
        <w:t>MDL</w:t>
      </w:r>
      <w:r w:rsidRPr="003023A3">
        <w:rPr>
          <w:rFonts w:asciiTheme="majorHAnsi" w:hAnsiTheme="majorHAnsi" w:cstheme="majorHAnsi"/>
          <w:sz w:val="24"/>
          <w:szCs w:val="24"/>
          <w:lang w:val="ro-MD"/>
        </w:rPr>
        <w:t>.</w:t>
      </w:r>
    </w:p>
    <w:p w:rsidR="00347470" w:rsidRPr="003023A3" w:rsidRDefault="00347470" w:rsidP="00343C23">
      <w:pPr>
        <w:spacing w:after="0" w:line="276" w:lineRule="auto"/>
        <w:ind w:firstLine="709"/>
        <w:jc w:val="both"/>
        <w:rPr>
          <w:rFonts w:asciiTheme="majorHAnsi" w:hAnsiTheme="majorHAnsi" w:cstheme="majorHAnsi"/>
          <w:sz w:val="24"/>
          <w:szCs w:val="24"/>
        </w:rPr>
      </w:pPr>
    </w:p>
    <w:p w:rsidR="00441C96" w:rsidRPr="003023A3" w:rsidRDefault="00453997" w:rsidP="00343C23">
      <w:pPr>
        <w:pStyle w:val="ListParagraph"/>
        <w:tabs>
          <w:tab w:val="left" w:pos="993"/>
        </w:tabs>
        <w:spacing w:after="0" w:line="276" w:lineRule="auto"/>
        <w:ind w:left="0"/>
        <w:jc w:val="both"/>
        <w:outlineLvl w:val="2"/>
        <w:rPr>
          <w:rFonts w:asciiTheme="majorHAnsi" w:hAnsiTheme="majorHAnsi" w:cstheme="majorHAnsi"/>
          <w:b/>
          <w:sz w:val="24"/>
          <w:szCs w:val="24"/>
          <w:lang w:val="ro-MD"/>
        </w:rPr>
      </w:pPr>
      <w:bookmarkStart w:id="11" w:name="_Toc10126083"/>
      <w:r w:rsidRPr="003023A3">
        <w:rPr>
          <w:rFonts w:asciiTheme="majorHAnsi" w:hAnsiTheme="majorHAnsi" w:cstheme="majorHAnsi"/>
          <w:b/>
          <w:sz w:val="24"/>
          <w:szCs w:val="24"/>
        </w:rPr>
        <w:t>3.2.</w:t>
      </w:r>
      <w:r w:rsidR="00E603A4" w:rsidRPr="003023A3">
        <w:rPr>
          <w:rFonts w:asciiTheme="majorHAnsi" w:hAnsiTheme="majorHAnsi" w:cstheme="majorHAnsi"/>
          <w:b/>
          <w:sz w:val="24"/>
          <w:szCs w:val="24"/>
          <w:lang w:val="ro-MD"/>
        </w:rPr>
        <w:t>3</w:t>
      </w:r>
      <w:r w:rsidR="00C35B2A" w:rsidRPr="003023A3">
        <w:rPr>
          <w:rFonts w:asciiTheme="majorHAnsi" w:hAnsiTheme="majorHAnsi" w:cstheme="majorHAnsi"/>
          <w:b/>
          <w:sz w:val="24"/>
          <w:szCs w:val="24"/>
          <w:lang w:val="ro-MD"/>
        </w:rPr>
        <w:t xml:space="preserve"> Debursările </w:t>
      </w:r>
      <w:r w:rsidR="007A4165" w:rsidRPr="003023A3">
        <w:rPr>
          <w:rFonts w:asciiTheme="majorHAnsi" w:hAnsiTheme="majorHAnsi" w:cstheme="majorHAnsi"/>
          <w:b/>
          <w:sz w:val="24"/>
          <w:szCs w:val="24"/>
          <w:lang w:val="ro-MD"/>
        </w:rPr>
        <w:t xml:space="preserve">în bugetul de stat a </w:t>
      </w:r>
      <w:r w:rsidR="00C35B2A" w:rsidRPr="003023A3">
        <w:rPr>
          <w:rFonts w:asciiTheme="majorHAnsi" w:hAnsiTheme="majorHAnsi" w:cstheme="majorHAnsi"/>
          <w:b/>
          <w:sz w:val="24"/>
          <w:szCs w:val="24"/>
          <w:lang w:val="ro-MD"/>
        </w:rPr>
        <w:t>mijloacelor financiare provenite din grant</w:t>
      </w:r>
      <w:r w:rsidR="000646F2" w:rsidRPr="003023A3">
        <w:rPr>
          <w:rFonts w:asciiTheme="majorHAnsi" w:hAnsiTheme="majorHAnsi" w:cstheme="majorHAnsi"/>
          <w:b/>
          <w:sz w:val="24"/>
          <w:szCs w:val="24"/>
          <w:lang w:val="ro-MD"/>
        </w:rPr>
        <w:t xml:space="preserve">uri externe în anul 2018 </w:t>
      </w:r>
      <w:r w:rsidR="00C35B2A" w:rsidRPr="003023A3">
        <w:rPr>
          <w:rFonts w:asciiTheme="majorHAnsi" w:hAnsiTheme="majorHAnsi" w:cstheme="majorHAnsi"/>
          <w:b/>
          <w:sz w:val="24"/>
          <w:szCs w:val="24"/>
          <w:lang w:val="ro-MD"/>
        </w:rPr>
        <w:t>s-au diminuat semnificat</w:t>
      </w:r>
      <w:r w:rsidR="00BE490B" w:rsidRPr="003023A3">
        <w:rPr>
          <w:rFonts w:asciiTheme="majorHAnsi" w:hAnsiTheme="majorHAnsi" w:cstheme="majorHAnsi"/>
          <w:b/>
          <w:sz w:val="24"/>
          <w:szCs w:val="24"/>
          <w:lang w:val="ro-MD"/>
        </w:rPr>
        <w:t>iv față</w:t>
      </w:r>
      <w:r w:rsidR="00C35B2A" w:rsidRPr="003023A3">
        <w:rPr>
          <w:rFonts w:asciiTheme="majorHAnsi" w:hAnsiTheme="majorHAnsi" w:cstheme="majorHAnsi"/>
          <w:b/>
          <w:sz w:val="24"/>
          <w:szCs w:val="24"/>
          <w:lang w:val="ro-MD"/>
        </w:rPr>
        <w:t xml:space="preserve"> </w:t>
      </w:r>
      <w:r w:rsidR="00BE490B" w:rsidRPr="003023A3">
        <w:rPr>
          <w:rFonts w:asciiTheme="majorHAnsi" w:hAnsiTheme="majorHAnsi" w:cstheme="majorHAnsi"/>
          <w:b/>
          <w:sz w:val="24"/>
          <w:szCs w:val="24"/>
          <w:lang w:val="ro-MD"/>
        </w:rPr>
        <w:t xml:space="preserve">de anul precedent și </w:t>
      </w:r>
      <w:r w:rsidR="008F2726" w:rsidRPr="003023A3">
        <w:rPr>
          <w:rFonts w:asciiTheme="majorHAnsi" w:hAnsiTheme="majorHAnsi" w:cstheme="majorHAnsi"/>
          <w:b/>
          <w:sz w:val="24"/>
          <w:szCs w:val="24"/>
          <w:lang w:val="ro-MD"/>
        </w:rPr>
        <w:t>nu au atins</w:t>
      </w:r>
      <w:r w:rsidR="00BE490B" w:rsidRPr="003023A3">
        <w:rPr>
          <w:rFonts w:asciiTheme="majorHAnsi" w:hAnsiTheme="majorHAnsi" w:cstheme="majorHAnsi"/>
          <w:b/>
          <w:sz w:val="24"/>
          <w:szCs w:val="24"/>
          <w:lang w:val="ro-MD"/>
        </w:rPr>
        <w:t xml:space="preserve"> </w:t>
      </w:r>
      <w:r w:rsidR="00C35B2A" w:rsidRPr="003023A3">
        <w:rPr>
          <w:rFonts w:asciiTheme="majorHAnsi" w:hAnsiTheme="majorHAnsi" w:cstheme="majorHAnsi"/>
          <w:b/>
          <w:sz w:val="24"/>
          <w:szCs w:val="24"/>
          <w:lang w:val="ro-MD"/>
        </w:rPr>
        <w:t xml:space="preserve">nivelul </w:t>
      </w:r>
      <w:r w:rsidR="006C7817" w:rsidRPr="003023A3">
        <w:rPr>
          <w:rFonts w:asciiTheme="majorHAnsi" w:hAnsiTheme="majorHAnsi" w:cstheme="majorHAnsi"/>
          <w:b/>
          <w:sz w:val="24"/>
          <w:szCs w:val="24"/>
          <w:lang w:val="ro-MD"/>
        </w:rPr>
        <w:t>precizat</w:t>
      </w:r>
      <w:r w:rsidR="00C35B2A" w:rsidRPr="003023A3">
        <w:rPr>
          <w:rFonts w:asciiTheme="majorHAnsi" w:hAnsiTheme="majorHAnsi" w:cstheme="majorHAnsi"/>
          <w:b/>
          <w:sz w:val="24"/>
          <w:szCs w:val="24"/>
          <w:lang w:val="ro-MD"/>
        </w:rPr>
        <w:t>.</w:t>
      </w:r>
      <w:bookmarkEnd w:id="11"/>
    </w:p>
    <w:p w:rsidR="00FB19C4" w:rsidRPr="00645B1C" w:rsidRDefault="00F22563" w:rsidP="002D6808">
      <w:pPr>
        <w:pStyle w:val="ListParagraph"/>
        <w:tabs>
          <w:tab w:val="left" w:pos="0"/>
        </w:tabs>
        <w:spacing w:after="0" w:line="276" w:lineRule="auto"/>
        <w:ind w:left="0"/>
        <w:jc w:val="both"/>
        <w:rPr>
          <w:rFonts w:asciiTheme="majorHAnsi" w:hAnsiTheme="majorHAnsi" w:cstheme="majorHAnsi"/>
          <w:sz w:val="24"/>
          <w:szCs w:val="24"/>
          <w:lang w:val="ro-MD"/>
        </w:rPr>
      </w:pPr>
      <w:r w:rsidRPr="003023A3">
        <w:rPr>
          <w:rFonts w:asciiTheme="majorHAnsi" w:eastAsia="Times New Roman" w:hAnsiTheme="majorHAnsi" w:cstheme="majorHAnsi"/>
          <w:sz w:val="24"/>
          <w:szCs w:val="24"/>
          <w:lang w:val="ro-MD"/>
        </w:rPr>
        <w:tab/>
      </w:r>
      <w:r w:rsidR="00441C96" w:rsidRPr="003023A3">
        <w:rPr>
          <w:rFonts w:asciiTheme="majorHAnsi" w:eastAsia="Times New Roman" w:hAnsiTheme="majorHAnsi" w:cstheme="majorHAnsi"/>
          <w:sz w:val="24"/>
          <w:szCs w:val="24"/>
          <w:lang w:val="ro-MD"/>
        </w:rPr>
        <w:t>În anul 2018, BS a beneficiat de încasări provenite din</w:t>
      </w:r>
      <w:r w:rsidR="00441C96" w:rsidRPr="003023A3">
        <w:rPr>
          <w:rFonts w:asciiTheme="majorHAnsi" w:eastAsia="Times New Roman" w:hAnsiTheme="majorHAnsi" w:cstheme="majorHAnsi"/>
          <w:b/>
          <w:sz w:val="24"/>
          <w:szCs w:val="24"/>
          <w:lang w:val="ro-MD"/>
        </w:rPr>
        <w:t xml:space="preserve"> </w:t>
      </w:r>
      <w:r w:rsidR="00441C96" w:rsidRPr="003023A3">
        <w:rPr>
          <w:rFonts w:asciiTheme="majorHAnsi" w:eastAsia="Times New Roman" w:hAnsiTheme="majorHAnsi" w:cstheme="majorHAnsi"/>
          <w:sz w:val="24"/>
          <w:szCs w:val="24"/>
          <w:lang w:val="ro-MD"/>
        </w:rPr>
        <w:t>surse externe</w:t>
      </w:r>
      <w:r w:rsidR="00441C96" w:rsidRPr="00441C96">
        <w:rPr>
          <w:rFonts w:asciiTheme="majorHAnsi" w:eastAsia="Times New Roman" w:hAnsiTheme="majorHAnsi" w:cstheme="majorHAnsi"/>
          <w:sz w:val="24"/>
          <w:szCs w:val="24"/>
          <w:lang w:val="ro-MD"/>
        </w:rPr>
        <w:t xml:space="preserve"> (granturi) în valoare totală de </w:t>
      </w:r>
      <w:r w:rsidR="00BD06C2">
        <w:rPr>
          <w:rFonts w:asciiTheme="majorHAnsi" w:eastAsia="Times New Roman" w:hAnsiTheme="majorHAnsi" w:cstheme="majorHAnsi"/>
          <w:sz w:val="24"/>
          <w:szCs w:val="24"/>
          <w:lang w:val="ro-MD"/>
        </w:rPr>
        <w:t>335,4</w:t>
      </w:r>
      <w:r w:rsidR="00441C96" w:rsidRPr="00441C96">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00441C96" w:rsidRPr="00441C96">
        <w:rPr>
          <w:rFonts w:asciiTheme="majorHAnsi" w:eastAsia="Times New Roman" w:hAnsiTheme="majorHAnsi" w:cstheme="majorHAnsi"/>
          <w:sz w:val="24"/>
          <w:szCs w:val="24"/>
          <w:lang w:val="ro-MD"/>
        </w:rPr>
        <w:t>, din care</w:t>
      </w:r>
      <w:r>
        <w:rPr>
          <w:rFonts w:asciiTheme="majorHAnsi" w:eastAsia="Times New Roman" w:hAnsiTheme="majorHAnsi" w:cstheme="majorHAnsi"/>
          <w:sz w:val="24"/>
          <w:szCs w:val="24"/>
          <w:lang w:val="ro-MD"/>
        </w:rPr>
        <w:t>:</w:t>
      </w:r>
      <w:r w:rsidR="00441C96" w:rsidRPr="00441C96">
        <w:rPr>
          <w:rFonts w:asciiTheme="majorHAnsi" w:eastAsia="Times New Roman" w:hAnsiTheme="majorHAnsi" w:cstheme="majorHAnsi"/>
          <w:sz w:val="24"/>
          <w:szCs w:val="24"/>
          <w:lang w:val="ro-MD"/>
        </w:rPr>
        <w:t xml:space="preserve"> granturi primite de la guvernele altor state în sumă de 80,1 mil. </w:t>
      </w:r>
      <w:r w:rsidR="007160B9">
        <w:rPr>
          <w:rFonts w:asciiTheme="majorHAnsi" w:eastAsia="Times New Roman" w:hAnsiTheme="majorHAnsi" w:cstheme="majorHAnsi"/>
          <w:sz w:val="24"/>
          <w:szCs w:val="24"/>
          <w:lang w:val="ro-MD"/>
        </w:rPr>
        <w:t>MDL</w:t>
      </w:r>
      <w:r w:rsidR="00441C96" w:rsidRPr="00441C96">
        <w:rPr>
          <w:rFonts w:asciiTheme="majorHAnsi" w:eastAsia="Times New Roman" w:hAnsiTheme="majorHAnsi" w:cstheme="majorHAnsi"/>
          <w:sz w:val="24"/>
          <w:szCs w:val="24"/>
          <w:lang w:val="ro-MD"/>
        </w:rPr>
        <w:t xml:space="preserve"> și granturi primite de la organizațiile</w:t>
      </w:r>
      <w:r w:rsidR="00BD06C2">
        <w:rPr>
          <w:rFonts w:asciiTheme="majorHAnsi" w:eastAsia="Times New Roman" w:hAnsiTheme="majorHAnsi" w:cstheme="majorHAnsi"/>
          <w:sz w:val="24"/>
          <w:szCs w:val="24"/>
          <w:lang w:val="ro-MD"/>
        </w:rPr>
        <w:t xml:space="preserve"> internaționale în sumă de 255,3</w:t>
      </w:r>
      <w:r w:rsidR="00441C96" w:rsidRPr="00441C96">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Pr>
          <w:rFonts w:asciiTheme="majorHAnsi" w:eastAsia="Times New Roman" w:hAnsiTheme="majorHAnsi" w:cstheme="majorHAnsi"/>
          <w:sz w:val="24"/>
          <w:szCs w:val="24"/>
          <w:lang w:val="ro-MD"/>
        </w:rPr>
        <w:t>,</w:t>
      </w:r>
      <w:r w:rsidR="00441C96" w:rsidRPr="00441C96">
        <w:rPr>
          <w:rFonts w:asciiTheme="majorHAnsi" w:eastAsia="Times New Roman" w:hAnsiTheme="majorHAnsi" w:cstheme="majorHAnsi"/>
          <w:sz w:val="24"/>
          <w:szCs w:val="24"/>
          <w:lang w:val="ro-MD"/>
        </w:rPr>
        <w:t xml:space="preserve"> sau cu </w:t>
      </w:r>
      <w:r w:rsidR="00BD06C2">
        <w:rPr>
          <w:rFonts w:asciiTheme="majorHAnsi" w:eastAsia="Times New Roman" w:hAnsiTheme="majorHAnsi" w:cstheme="majorHAnsi"/>
          <w:sz w:val="24"/>
          <w:szCs w:val="24"/>
          <w:lang w:val="ro-MD"/>
        </w:rPr>
        <w:t>1</w:t>
      </w:r>
      <w:r w:rsidR="002C7F06">
        <w:rPr>
          <w:rFonts w:asciiTheme="majorHAnsi" w:eastAsia="Times New Roman" w:hAnsiTheme="majorHAnsi" w:cstheme="majorHAnsi"/>
          <w:sz w:val="24"/>
          <w:szCs w:val="24"/>
          <w:lang w:val="ro-MD"/>
        </w:rPr>
        <w:t xml:space="preserve"> </w:t>
      </w:r>
      <w:r w:rsidR="00BD06C2">
        <w:rPr>
          <w:rFonts w:asciiTheme="majorHAnsi" w:eastAsia="Times New Roman" w:hAnsiTheme="majorHAnsi" w:cstheme="majorHAnsi"/>
          <w:sz w:val="24"/>
          <w:szCs w:val="24"/>
          <w:lang w:val="ro-MD"/>
        </w:rPr>
        <w:t>607,2</w:t>
      </w:r>
      <w:r w:rsidR="00441C96" w:rsidRPr="00441C96">
        <w:rPr>
          <w:rFonts w:asciiTheme="majorHAnsi" w:eastAsia="Times New Roman" w:hAnsiTheme="majorHAnsi" w:cstheme="majorHAnsi"/>
          <w:sz w:val="24"/>
          <w:szCs w:val="24"/>
          <w:lang w:val="ro-MD"/>
        </w:rPr>
        <w:t xml:space="preserve"> mil. </w:t>
      </w:r>
      <w:r w:rsidR="007160B9">
        <w:rPr>
          <w:rFonts w:asciiTheme="majorHAnsi" w:eastAsia="Times New Roman" w:hAnsiTheme="majorHAnsi" w:cstheme="majorHAnsi"/>
          <w:sz w:val="24"/>
          <w:szCs w:val="24"/>
          <w:lang w:val="ro-MD"/>
        </w:rPr>
        <w:t>MDL</w:t>
      </w:r>
      <w:r w:rsidR="00441C96" w:rsidRPr="00441C96">
        <w:rPr>
          <w:rFonts w:asciiTheme="majorHAnsi" w:eastAsia="Times New Roman" w:hAnsiTheme="majorHAnsi" w:cstheme="majorHAnsi"/>
          <w:sz w:val="24"/>
          <w:szCs w:val="24"/>
          <w:lang w:val="ro-MD"/>
        </w:rPr>
        <w:t xml:space="preserve"> mai puțin decât a fost precizat.</w:t>
      </w:r>
      <w:r w:rsidR="00793C62">
        <w:rPr>
          <w:rFonts w:asciiTheme="majorHAnsi" w:eastAsia="Times New Roman" w:hAnsiTheme="majorHAnsi" w:cstheme="majorHAnsi"/>
          <w:sz w:val="24"/>
          <w:szCs w:val="24"/>
          <w:lang w:val="ro-MD"/>
        </w:rPr>
        <w:t xml:space="preserve"> </w:t>
      </w:r>
      <w:r w:rsidR="00EB4453">
        <w:rPr>
          <w:rFonts w:asciiTheme="majorHAnsi" w:hAnsiTheme="majorHAnsi" w:cstheme="majorHAnsi"/>
          <w:sz w:val="24"/>
          <w:szCs w:val="24"/>
          <w:lang w:val="ro-MD"/>
        </w:rPr>
        <w:t xml:space="preserve">Comparativ cu anul 2017, debursările din granturile externe s-au diminuat cu </w:t>
      </w:r>
      <w:r w:rsidR="002E323E">
        <w:rPr>
          <w:rFonts w:asciiTheme="majorHAnsi" w:hAnsiTheme="majorHAnsi" w:cstheme="majorHAnsi"/>
          <w:sz w:val="24"/>
          <w:szCs w:val="24"/>
          <w:lang w:val="ro-MD"/>
        </w:rPr>
        <w:t>657,6</w:t>
      </w:r>
      <w:r w:rsidR="00EB4453">
        <w:rPr>
          <w:rFonts w:asciiTheme="majorHAnsi" w:hAnsiTheme="majorHAnsi" w:cstheme="majorHAnsi"/>
          <w:sz w:val="24"/>
          <w:szCs w:val="24"/>
          <w:lang w:val="ro-MD"/>
        </w:rPr>
        <w:t xml:space="preserve"> mil. </w:t>
      </w:r>
      <w:r w:rsidR="007160B9">
        <w:rPr>
          <w:rFonts w:asciiTheme="majorHAnsi" w:hAnsiTheme="majorHAnsi" w:cstheme="majorHAnsi"/>
          <w:sz w:val="24"/>
          <w:szCs w:val="24"/>
          <w:lang w:val="ro-MD"/>
        </w:rPr>
        <w:t>MDL</w:t>
      </w:r>
      <w:r w:rsidR="00645B1C">
        <w:rPr>
          <w:rFonts w:asciiTheme="majorHAnsi" w:hAnsiTheme="majorHAnsi" w:cstheme="majorHAnsi"/>
          <w:sz w:val="24"/>
          <w:szCs w:val="24"/>
          <w:lang w:val="ro-MD"/>
        </w:rPr>
        <w:t>.</w:t>
      </w:r>
    </w:p>
    <w:p w:rsidR="00FB19C4" w:rsidRPr="008B2F09" w:rsidRDefault="00F22563" w:rsidP="00645B1C">
      <w:pPr>
        <w:spacing w:after="0" w:line="276" w:lineRule="auto"/>
        <w:ind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rPr>
        <w:lastRenderedPageBreak/>
        <w:t>De către</w:t>
      </w:r>
      <w:r w:rsidR="00FB19C4" w:rsidRPr="008B2F09">
        <w:rPr>
          <w:rFonts w:asciiTheme="majorHAnsi" w:eastAsia="Times New Roman" w:hAnsiTheme="majorHAnsi" w:cstheme="majorHAnsi"/>
          <w:sz w:val="24"/>
          <w:szCs w:val="24"/>
        </w:rPr>
        <w:t xml:space="preserve"> donatori</w:t>
      </w:r>
      <w:r>
        <w:rPr>
          <w:rFonts w:asciiTheme="majorHAnsi" w:eastAsia="Times New Roman" w:hAnsiTheme="majorHAnsi" w:cstheme="majorHAnsi"/>
          <w:sz w:val="24"/>
          <w:szCs w:val="24"/>
        </w:rPr>
        <w:t>i</w:t>
      </w:r>
      <w:r w:rsidR="00FB19C4" w:rsidRPr="008B2F09">
        <w:rPr>
          <w:rFonts w:asciiTheme="majorHAnsi" w:eastAsia="Times New Roman" w:hAnsiTheme="majorHAnsi" w:cstheme="majorHAnsi"/>
          <w:sz w:val="24"/>
          <w:szCs w:val="24"/>
        </w:rPr>
        <w:t xml:space="preserve"> externi au fost evaluate pentru debursare granturi în sumă de 1 942,6 mil. </w:t>
      </w:r>
      <w:r w:rsidR="007160B9">
        <w:rPr>
          <w:rFonts w:asciiTheme="majorHAnsi" w:eastAsia="Times New Roman" w:hAnsiTheme="majorHAnsi" w:cstheme="majorHAnsi"/>
          <w:sz w:val="24"/>
          <w:szCs w:val="24"/>
        </w:rPr>
        <w:t>MDL</w:t>
      </w:r>
      <w:r w:rsidR="00FB19C4" w:rsidRPr="008B2F09">
        <w:rPr>
          <w:rFonts w:asciiTheme="majorHAnsi" w:eastAsia="Times New Roman" w:hAnsiTheme="majorHAnsi" w:cstheme="majorHAnsi"/>
          <w:sz w:val="24"/>
          <w:szCs w:val="24"/>
        </w:rPr>
        <w:t xml:space="preserve"> (echivalentul a 116,7 mil. dolari SUA), inclusiv granturi pentru susținerea bugetului – 1</w:t>
      </w:r>
      <w:r w:rsidR="00FB19C4">
        <w:rPr>
          <w:rFonts w:asciiTheme="majorHAnsi" w:eastAsia="Times New Roman" w:hAnsiTheme="majorHAnsi" w:cstheme="majorHAnsi"/>
          <w:sz w:val="24"/>
          <w:szCs w:val="24"/>
        </w:rPr>
        <w:t xml:space="preserve"> </w:t>
      </w:r>
      <w:r w:rsidR="00FB19C4" w:rsidRPr="008B2F09">
        <w:rPr>
          <w:rFonts w:asciiTheme="majorHAnsi" w:eastAsia="Times New Roman" w:hAnsiTheme="majorHAnsi" w:cstheme="majorHAnsi"/>
          <w:sz w:val="24"/>
          <w:szCs w:val="24"/>
        </w:rPr>
        <w:t xml:space="preserve">285,5 mil. </w:t>
      </w:r>
      <w:r w:rsidR="007160B9">
        <w:rPr>
          <w:rFonts w:asciiTheme="majorHAnsi" w:eastAsia="Times New Roman" w:hAnsiTheme="majorHAnsi" w:cstheme="majorHAnsi"/>
          <w:sz w:val="24"/>
          <w:szCs w:val="24"/>
        </w:rPr>
        <w:t>MDL</w:t>
      </w:r>
      <w:r w:rsidR="00FB19C4" w:rsidRPr="008B2F09">
        <w:rPr>
          <w:rFonts w:asciiTheme="majorHAnsi" w:eastAsia="Times New Roman" w:hAnsiTheme="majorHAnsi" w:cstheme="majorHAnsi"/>
          <w:sz w:val="24"/>
          <w:szCs w:val="24"/>
        </w:rPr>
        <w:t xml:space="preserve"> (echivalentul a 77,2 mil. dolari SUA)</w:t>
      </w:r>
      <w:r>
        <w:rPr>
          <w:rFonts w:asciiTheme="majorHAnsi" w:eastAsia="Times New Roman" w:hAnsiTheme="majorHAnsi" w:cstheme="majorHAnsi"/>
          <w:sz w:val="24"/>
          <w:szCs w:val="24"/>
        </w:rPr>
        <w:t>,</w:t>
      </w:r>
      <w:r w:rsidR="00FB19C4" w:rsidRPr="008B2F09">
        <w:rPr>
          <w:rFonts w:asciiTheme="majorHAnsi" w:eastAsia="Times New Roman" w:hAnsiTheme="majorHAnsi" w:cstheme="majorHAnsi"/>
          <w:sz w:val="24"/>
          <w:szCs w:val="24"/>
        </w:rPr>
        <w:t xml:space="preserve"> și granturi pentru proiecte finanțate din surse externe – 657,1 mil. </w:t>
      </w:r>
      <w:r w:rsidR="007160B9">
        <w:rPr>
          <w:rFonts w:asciiTheme="majorHAnsi" w:eastAsia="Times New Roman" w:hAnsiTheme="majorHAnsi" w:cstheme="majorHAnsi"/>
          <w:sz w:val="24"/>
          <w:szCs w:val="24"/>
        </w:rPr>
        <w:t>MDL</w:t>
      </w:r>
      <w:r w:rsidR="00FB19C4" w:rsidRPr="008B2F09">
        <w:rPr>
          <w:rFonts w:asciiTheme="majorHAnsi" w:eastAsia="Times New Roman" w:hAnsiTheme="majorHAnsi" w:cstheme="majorHAnsi"/>
          <w:sz w:val="24"/>
          <w:szCs w:val="24"/>
        </w:rPr>
        <w:t xml:space="preserve"> (echivalentul a 39,4 mil. dolari SUA).</w:t>
      </w:r>
    </w:p>
    <w:p w:rsidR="00FB19C4" w:rsidRDefault="00FB19C4" w:rsidP="00FB19C4">
      <w:pPr>
        <w:tabs>
          <w:tab w:val="left" w:pos="709"/>
          <w:tab w:val="left" w:pos="810"/>
          <w:tab w:val="left" w:pos="1080"/>
          <w:tab w:val="num" w:pos="1440"/>
        </w:tabs>
        <w:spacing w:after="0" w:line="276" w:lineRule="auto"/>
        <w:ind w:firstLine="709"/>
        <w:jc w:val="both"/>
        <w:rPr>
          <w:rFonts w:asciiTheme="majorHAnsi" w:eastAsia="Times New Roman" w:hAnsiTheme="majorHAnsi" w:cstheme="majorHAnsi"/>
          <w:sz w:val="24"/>
          <w:szCs w:val="24"/>
          <w:lang w:val="ro-MD"/>
        </w:rPr>
      </w:pPr>
      <w:r w:rsidRPr="00441C96">
        <w:rPr>
          <w:rFonts w:asciiTheme="majorHAnsi" w:eastAsia="Times New Roman" w:hAnsiTheme="majorHAnsi" w:cstheme="majorHAnsi"/>
          <w:sz w:val="24"/>
          <w:szCs w:val="24"/>
          <w:lang w:val="ro-MD"/>
        </w:rPr>
        <w:t xml:space="preserve">Neexecutarea granturilor față de indicatorii precizați </w:t>
      </w:r>
      <w:r w:rsidR="003B1ACF">
        <w:rPr>
          <w:rFonts w:asciiTheme="majorHAnsi" w:eastAsia="Times New Roman" w:hAnsiTheme="majorHAnsi" w:cstheme="majorHAnsi"/>
          <w:sz w:val="24"/>
          <w:szCs w:val="24"/>
          <w:lang w:val="ro-MD"/>
        </w:rPr>
        <w:t xml:space="preserve">este </w:t>
      </w:r>
      <w:r w:rsidR="00F22563">
        <w:rPr>
          <w:rFonts w:asciiTheme="majorHAnsi" w:eastAsia="Times New Roman" w:hAnsiTheme="majorHAnsi" w:cstheme="majorHAnsi"/>
          <w:sz w:val="24"/>
          <w:szCs w:val="24"/>
          <w:lang w:val="ro-MD"/>
        </w:rPr>
        <w:t xml:space="preserve">o consecință </w:t>
      </w:r>
      <w:r w:rsidR="003B1ACF">
        <w:rPr>
          <w:rFonts w:asciiTheme="majorHAnsi" w:eastAsia="Times New Roman" w:hAnsiTheme="majorHAnsi" w:cstheme="majorHAnsi"/>
          <w:sz w:val="24"/>
          <w:szCs w:val="24"/>
          <w:lang w:val="ro-MD"/>
        </w:rPr>
        <w:t>a</w:t>
      </w:r>
      <w:r w:rsidRPr="00441C96">
        <w:rPr>
          <w:rFonts w:asciiTheme="majorHAnsi" w:eastAsia="Times New Roman" w:hAnsiTheme="majorHAnsi" w:cstheme="majorHAnsi"/>
          <w:sz w:val="24"/>
          <w:szCs w:val="24"/>
          <w:lang w:val="ro-MD"/>
        </w:rPr>
        <w:t xml:space="preserve"> Deciziei Comisiei Europene</w:t>
      </w:r>
      <w:r w:rsidR="00F22563">
        <w:rPr>
          <w:rFonts w:asciiTheme="majorHAnsi" w:eastAsia="Times New Roman" w:hAnsiTheme="majorHAnsi" w:cstheme="majorHAnsi"/>
          <w:sz w:val="24"/>
          <w:szCs w:val="24"/>
          <w:lang w:val="ro-MD"/>
        </w:rPr>
        <w:t>,</w:t>
      </w:r>
      <w:r w:rsidRPr="00441C96">
        <w:rPr>
          <w:rFonts w:asciiTheme="majorHAnsi" w:eastAsia="Times New Roman" w:hAnsiTheme="majorHAnsi" w:cstheme="majorHAnsi"/>
          <w:sz w:val="24"/>
          <w:szCs w:val="24"/>
          <w:lang w:val="ro-MD"/>
        </w:rPr>
        <w:t xml:space="preserve"> prin care în anul 2018 a fost stopată temporar debursarea granturilor prevăzute pentru </w:t>
      </w:r>
      <w:r>
        <w:rPr>
          <w:rFonts w:asciiTheme="majorHAnsi" w:eastAsia="Times New Roman" w:hAnsiTheme="majorHAnsi" w:cstheme="majorHAnsi"/>
          <w:sz w:val="24"/>
          <w:szCs w:val="24"/>
          <w:lang w:val="ro-MD"/>
        </w:rPr>
        <w:t>susținerea bugetului</w:t>
      </w:r>
      <w:r w:rsidR="00F22563">
        <w:rPr>
          <w:rFonts w:asciiTheme="majorHAnsi" w:eastAsia="Times New Roman" w:hAnsiTheme="majorHAnsi" w:cstheme="majorHAnsi"/>
          <w:sz w:val="24"/>
          <w:szCs w:val="24"/>
          <w:lang w:val="ro-MD"/>
        </w:rPr>
        <w:t>,</w:t>
      </w:r>
      <w:r w:rsidRPr="00441C96">
        <w:rPr>
          <w:rFonts w:asciiTheme="majorHAnsi" w:eastAsia="Times New Roman" w:hAnsiTheme="majorHAnsi" w:cstheme="majorHAnsi"/>
          <w:sz w:val="24"/>
          <w:szCs w:val="24"/>
          <w:lang w:val="ro-MD"/>
        </w:rPr>
        <w:t xml:space="preserve"> în su</w:t>
      </w:r>
      <w:r>
        <w:rPr>
          <w:rFonts w:asciiTheme="majorHAnsi" w:eastAsia="Times New Roman" w:hAnsiTheme="majorHAnsi" w:cstheme="majorHAnsi"/>
          <w:sz w:val="24"/>
          <w:szCs w:val="24"/>
          <w:lang w:val="ro-MD"/>
        </w:rPr>
        <w:t>mă de</w:t>
      </w:r>
      <w:r w:rsidRPr="00441C96">
        <w:rPr>
          <w:rFonts w:asciiTheme="majorHAnsi" w:eastAsia="Times New Roman" w:hAnsiTheme="majorHAnsi" w:cstheme="majorHAnsi"/>
          <w:sz w:val="24"/>
          <w:szCs w:val="24"/>
          <w:lang w:val="ro-MD"/>
        </w:rPr>
        <w:t xml:space="preserve"> 1</w:t>
      </w:r>
      <w:r>
        <w:rPr>
          <w:rFonts w:asciiTheme="majorHAnsi" w:eastAsia="Times New Roman" w:hAnsiTheme="majorHAnsi" w:cstheme="majorHAnsi"/>
          <w:sz w:val="24"/>
          <w:szCs w:val="24"/>
          <w:lang w:val="ro-MD"/>
        </w:rPr>
        <w:t xml:space="preserve"> 285,5 mil. </w:t>
      </w:r>
      <w:r w:rsidR="007160B9">
        <w:rPr>
          <w:rFonts w:asciiTheme="majorHAnsi" w:eastAsia="Times New Roman" w:hAnsiTheme="majorHAnsi" w:cstheme="majorHAnsi"/>
          <w:sz w:val="24"/>
          <w:szCs w:val="24"/>
          <w:lang w:val="ro-MD"/>
        </w:rPr>
        <w:t>MDL</w:t>
      </w:r>
      <w:r>
        <w:rPr>
          <w:rFonts w:asciiTheme="majorHAnsi" w:eastAsia="Times New Roman" w:hAnsiTheme="majorHAnsi" w:cstheme="majorHAnsi"/>
          <w:sz w:val="24"/>
          <w:szCs w:val="24"/>
          <w:lang w:val="ro-MD"/>
        </w:rPr>
        <w:t>.</w:t>
      </w:r>
    </w:p>
    <w:p w:rsidR="00FB19C4" w:rsidRPr="00B55FF1" w:rsidRDefault="00F22563" w:rsidP="00FB19C4">
      <w:pPr>
        <w:tabs>
          <w:tab w:val="left" w:pos="709"/>
          <w:tab w:val="left" w:pos="810"/>
          <w:tab w:val="left" w:pos="1080"/>
          <w:tab w:val="num" w:pos="1440"/>
        </w:tabs>
        <w:spacing w:after="0" w:line="276" w:lineRule="auto"/>
        <w:ind w:firstLine="709"/>
        <w:jc w:val="both"/>
        <w:rPr>
          <w:rFonts w:ascii="Times New Roman" w:eastAsia="Times New Roman" w:hAnsi="Times New Roman" w:cs="Times New Roman"/>
          <w:color w:val="000000"/>
          <w:sz w:val="28"/>
          <w:szCs w:val="28"/>
          <w:lang w:eastAsia="ru-RU"/>
        </w:rPr>
      </w:pPr>
      <w:r>
        <w:rPr>
          <w:rFonts w:asciiTheme="majorHAnsi" w:eastAsia="Times New Roman" w:hAnsiTheme="majorHAnsi" w:cstheme="majorHAnsi"/>
          <w:sz w:val="24"/>
          <w:szCs w:val="24"/>
          <w:lang w:val="ro-MD"/>
        </w:rPr>
        <w:t>Pentru</w:t>
      </w:r>
      <w:r w:rsidR="00FB19C4" w:rsidRPr="00441C96">
        <w:rPr>
          <w:rFonts w:asciiTheme="majorHAnsi" w:eastAsia="Times New Roman" w:hAnsiTheme="majorHAnsi" w:cstheme="majorHAnsi"/>
          <w:sz w:val="24"/>
          <w:szCs w:val="24"/>
          <w:lang w:val="ro-MD"/>
        </w:rPr>
        <w:t xml:space="preserve"> proiectele finanțate din surse externe au fost debursate granturi la nivel de </w:t>
      </w:r>
      <w:r w:rsidR="00FB19C4">
        <w:rPr>
          <w:rFonts w:asciiTheme="majorHAnsi" w:eastAsia="Times New Roman" w:hAnsiTheme="majorHAnsi" w:cstheme="majorHAnsi"/>
          <w:sz w:val="24"/>
          <w:szCs w:val="24"/>
          <w:lang w:val="ro-MD"/>
        </w:rPr>
        <w:t>51,0</w:t>
      </w:r>
      <w:r w:rsidR="00FB19C4" w:rsidRPr="00441C96">
        <w:rPr>
          <w:rFonts w:asciiTheme="majorHAnsi" w:eastAsia="Times New Roman" w:hAnsiTheme="majorHAnsi" w:cstheme="majorHAnsi"/>
          <w:sz w:val="24"/>
          <w:szCs w:val="24"/>
          <w:lang w:val="ro-MD"/>
        </w:rPr>
        <w:t>% față de planul precizat, reieșind din gradul de implementare a proiectelor</w:t>
      </w:r>
      <w:r w:rsidR="00FB19C4" w:rsidRPr="00710164">
        <w:rPr>
          <w:rFonts w:asciiTheme="majorHAnsi" w:eastAsia="Times New Roman" w:hAnsiTheme="majorHAnsi" w:cstheme="majorHAnsi"/>
          <w:sz w:val="24"/>
          <w:szCs w:val="24"/>
          <w:lang w:val="ro-MD"/>
        </w:rPr>
        <w:t>.</w:t>
      </w:r>
      <w:r w:rsidR="00FB19C4" w:rsidRPr="00710164">
        <w:rPr>
          <w:rFonts w:asciiTheme="majorHAnsi" w:eastAsia="Times New Roman" w:hAnsiTheme="majorHAnsi" w:cstheme="majorHAnsi"/>
          <w:color w:val="000000"/>
          <w:sz w:val="24"/>
          <w:szCs w:val="24"/>
          <w:lang w:eastAsia="ru-RU"/>
        </w:rPr>
        <w:t xml:space="preserve"> </w:t>
      </w:r>
      <w:r w:rsidR="00710164" w:rsidRPr="00710164">
        <w:rPr>
          <w:rFonts w:asciiTheme="majorHAnsi" w:eastAsia="Times New Roman" w:hAnsiTheme="majorHAnsi" w:cstheme="majorHAnsi"/>
          <w:color w:val="000000"/>
          <w:sz w:val="24"/>
          <w:szCs w:val="24"/>
          <w:lang w:eastAsia="ru-RU"/>
        </w:rPr>
        <w:t>Potrivit motivației</w:t>
      </w:r>
      <w:r w:rsidR="0039436D">
        <w:rPr>
          <w:rFonts w:asciiTheme="majorHAnsi" w:eastAsia="Times New Roman" w:hAnsiTheme="majorHAnsi" w:cstheme="majorHAnsi"/>
          <w:color w:val="000000"/>
          <w:sz w:val="24"/>
          <w:szCs w:val="24"/>
          <w:lang w:eastAsia="ru-RU"/>
        </w:rPr>
        <w:t xml:space="preserve"> MF</w:t>
      </w:r>
      <w:r w:rsidR="00710164" w:rsidRPr="00710164">
        <w:rPr>
          <w:rFonts w:asciiTheme="majorHAnsi" w:eastAsia="Times New Roman" w:hAnsiTheme="majorHAnsi" w:cstheme="majorHAnsi"/>
          <w:color w:val="000000"/>
          <w:sz w:val="24"/>
          <w:szCs w:val="24"/>
          <w:lang w:eastAsia="ru-RU"/>
        </w:rPr>
        <w:t>, n</w:t>
      </w:r>
      <w:r w:rsidR="00FB19C4" w:rsidRPr="00710164">
        <w:rPr>
          <w:rFonts w:asciiTheme="majorHAnsi" w:eastAsia="Times New Roman" w:hAnsiTheme="majorHAnsi" w:cstheme="majorHAnsi"/>
          <w:color w:val="000000"/>
          <w:sz w:val="24"/>
          <w:szCs w:val="24"/>
          <w:lang w:eastAsia="ru-RU"/>
        </w:rPr>
        <w:t>ivelul scăzut a</w:t>
      </w:r>
      <w:r>
        <w:rPr>
          <w:rFonts w:asciiTheme="majorHAnsi" w:eastAsia="Times New Roman" w:hAnsiTheme="majorHAnsi" w:cstheme="majorHAnsi"/>
          <w:color w:val="000000"/>
          <w:sz w:val="24"/>
          <w:szCs w:val="24"/>
          <w:lang w:eastAsia="ru-RU"/>
        </w:rPr>
        <w:t>l</w:t>
      </w:r>
      <w:r w:rsidR="00FB19C4" w:rsidRPr="00710164">
        <w:rPr>
          <w:rFonts w:asciiTheme="majorHAnsi" w:eastAsia="Times New Roman" w:hAnsiTheme="majorHAnsi" w:cstheme="majorHAnsi"/>
          <w:color w:val="000000"/>
          <w:sz w:val="24"/>
          <w:szCs w:val="24"/>
          <w:lang w:eastAsia="ru-RU"/>
        </w:rPr>
        <w:t xml:space="preserve"> debursărilor de granturi a fost influențat de: </w:t>
      </w:r>
      <w:r w:rsidR="00FB19C4" w:rsidRPr="002C5883">
        <w:rPr>
          <w:rFonts w:asciiTheme="majorHAnsi" w:eastAsia="Times New Roman" w:hAnsiTheme="majorHAnsi" w:cstheme="majorHAnsi"/>
          <w:i/>
          <w:color w:val="000000"/>
          <w:sz w:val="24"/>
          <w:szCs w:val="24"/>
          <w:lang w:eastAsia="ru-RU"/>
        </w:rPr>
        <w:t>(i)</w:t>
      </w:r>
      <w:r w:rsidR="00FB19C4" w:rsidRPr="00710164">
        <w:rPr>
          <w:rFonts w:asciiTheme="majorHAnsi" w:eastAsia="Times New Roman" w:hAnsiTheme="majorHAnsi" w:cstheme="majorHAnsi"/>
          <w:color w:val="000000"/>
          <w:sz w:val="24"/>
          <w:szCs w:val="24"/>
          <w:lang w:eastAsia="ru-RU"/>
        </w:rPr>
        <w:t xml:space="preserve"> desfășurarea cu întârziere a licitațiilor; </w:t>
      </w:r>
      <w:r w:rsidR="00FB19C4" w:rsidRPr="002C5883">
        <w:rPr>
          <w:rFonts w:asciiTheme="majorHAnsi" w:eastAsia="Times New Roman" w:hAnsiTheme="majorHAnsi" w:cstheme="majorHAnsi"/>
          <w:i/>
          <w:color w:val="000000"/>
          <w:sz w:val="24"/>
          <w:szCs w:val="24"/>
          <w:lang w:eastAsia="ru-RU"/>
        </w:rPr>
        <w:t>(ii)</w:t>
      </w:r>
      <w:r w:rsidR="00FB19C4" w:rsidRPr="00B55FF1">
        <w:rPr>
          <w:rFonts w:asciiTheme="majorHAnsi" w:eastAsia="Times New Roman" w:hAnsiTheme="majorHAnsi" w:cstheme="majorHAnsi"/>
          <w:color w:val="000000"/>
          <w:sz w:val="24"/>
          <w:szCs w:val="24"/>
          <w:lang w:eastAsia="ru-RU"/>
        </w:rPr>
        <w:t xml:space="preserve"> capacitatea redusă de valorificare a resurselor; </w:t>
      </w:r>
      <w:r w:rsidR="00FB19C4" w:rsidRPr="002C5883">
        <w:rPr>
          <w:rFonts w:asciiTheme="majorHAnsi" w:eastAsia="Times New Roman" w:hAnsiTheme="majorHAnsi" w:cstheme="majorHAnsi"/>
          <w:i/>
          <w:color w:val="000000"/>
          <w:sz w:val="24"/>
          <w:szCs w:val="24"/>
          <w:lang w:eastAsia="ru-RU"/>
        </w:rPr>
        <w:t>(iii)</w:t>
      </w:r>
      <w:r w:rsidR="00FB19C4" w:rsidRPr="00B55FF1">
        <w:rPr>
          <w:rFonts w:asciiTheme="majorHAnsi" w:eastAsia="Times New Roman" w:hAnsiTheme="majorHAnsi" w:cstheme="majorHAnsi"/>
          <w:color w:val="000000"/>
          <w:sz w:val="24"/>
          <w:szCs w:val="24"/>
          <w:lang w:eastAsia="ru-RU"/>
        </w:rPr>
        <w:t xml:space="preserve"> nerespectarea termenelor de prezentare a documentelor pentru debursare.</w:t>
      </w:r>
    </w:p>
    <w:p w:rsidR="00FB19C4" w:rsidRPr="00F72552" w:rsidRDefault="00FB19C4" w:rsidP="00F72552">
      <w:pPr>
        <w:spacing w:after="0" w:line="276" w:lineRule="auto"/>
        <w:ind w:firstLine="709"/>
        <w:jc w:val="both"/>
        <w:rPr>
          <w:rFonts w:asciiTheme="majorHAnsi" w:eastAsia="Times New Roman" w:hAnsiTheme="majorHAnsi" w:cstheme="majorHAnsi"/>
          <w:i/>
          <w:sz w:val="24"/>
          <w:szCs w:val="24"/>
          <w:lang w:val="ro-MD"/>
        </w:rPr>
      </w:pPr>
      <w:r>
        <w:rPr>
          <w:rFonts w:asciiTheme="majorHAnsi" w:eastAsia="Times New Roman" w:hAnsiTheme="majorHAnsi" w:cstheme="majorHAnsi"/>
          <w:sz w:val="24"/>
          <w:szCs w:val="24"/>
          <w:lang w:val="ro-MD"/>
        </w:rPr>
        <w:t xml:space="preserve">În anul 2018 au fost semnate 2 acorduri de granturi externe în valoare totală de </w:t>
      </w:r>
      <w:r w:rsidR="008601DA">
        <w:rPr>
          <w:rFonts w:asciiTheme="majorHAnsi" w:eastAsia="Times New Roman" w:hAnsiTheme="majorHAnsi" w:cstheme="majorHAnsi"/>
          <w:sz w:val="24"/>
          <w:szCs w:val="24"/>
          <w:lang w:val="ro-MD"/>
        </w:rPr>
        <w:t>23,6 mil. euro.</w:t>
      </w:r>
      <w:r>
        <w:rPr>
          <w:rFonts w:asciiTheme="majorHAnsi" w:eastAsia="Times New Roman" w:hAnsiTheme="majorHAnsi" w:cstheme="majorHAnsi"/>
          <w:sz w:val="24"/>
          <w:szCs w:val="24"/>
          <w:lang w:val="ro-MD"/>
        </w:rPr>
        <w:t xml:space="preserve"> </w:t>
      </w:r>
      <w:r w:rsidRPr="00B62B1D">
        <w:rPr>
          <w:rFonts w:asciiTheme="majorHAnsi" w:eastAsia="Times New Roman" w:hAnsiTheme="majorHAnsi" w:cstheme="majorHAnsi"/>
          <w:i/>
          <w:sz w:val="24"/>
          <w:szCs w:val="24"/>
          <w:lang w:val="ro-MD"/>
        </w:rPr>
        <w:t xml:space="preserve">Informația privind acordurile de granturi semnate în anul </w:t>
      </w:r>
      <w:r w:rsidR="00F438B1">
        <w:rPr>
          <w:rFonts w:asciiTheme="majorHAnsi" w:eastAsia="Times New Roman" w:hAnsiTheme="majorHAnsi" w:cstheme="majorHAnsi"/>
          <w:i/>
          <w:sz w:val="24"/>
          <w:szCs w:val="24"/>
          <w:lang w:val="ro-MD"/>
        </w:rPr>
        <w:t>2018 se prezintă în Tabelul nr.5</w:t>
      </w:r>
      <w:r w:rsidRPr="00B62B1D">
        <w:rPr>
          <w:rFonts w:asciiTheme="majorHAnsi" w:eastAsia="Times New Roman" w:hAnsiTheme="majorHAnsi" w:cstheme="majorHAnsi"/>
          <w:i/>
          <w:sz w:val="24"/>
          <w:szCs w:val="24"/>
          <w:lang w:val="ro-MD"/>
        </w:rPr>
        <w:t>.</w:t>
      </w:r>
    </w:p>
    <w:p w:rsidR="00487925" w:rsidRPr="00E454F1" w:rsidRDefault="00F438B1" w:rsidP="00487925">
      <w:pPr>
        <w:spacing w:after="0" w:line="276" w:lineRule="auto"/>
        <w:ind w:firstLine="709"/>
        <w:jc w:val="right"/>
        <w:rPr>
          <w:rFonts w:asciiTheme="majorHAnsi" w:eastAsia="Times New Roman" w:hAnsiTheme="majorHAnsi" w:cstheme="majorHAnsi"/>
          <w:i/>
          <w:sz w:val="24"/>
          <w:szCs w:val="24"/>
          <w:lang w:val="ro-MD"/>
        </w:rPr>
      </w:pPr>
      <w:r>
        <w:rPr>
          <w:rFonts w:asciiTheme="majorHAnsi" w:eastAsia="Times New Roman" w:hAnsiTheme="majorHAnsi" w:cstheme="majorHAnsi"/>
          <w:i/>
          <w:sz w:val="24"/>
          <w:szCs w:val="24"/>
          <w:lang w:val="ro-MD"/>
        </w:rPr>
        <w:t>Tabelul nr.5</w:t>
      </w:r>
    </w:p>
    <w:p w:rsidR="00487925" w:rsidRPr="007D4C28" w:rsidRDefault="00487925" w:rsidP="00487925">
      <w:pPr>
        <w:spacing w:after="0" w:line="276" w:lineRule="auto"/>
        <w:ind w:firstLine="709"/>
        <w:jc w:val="center"/>
        <w:rPr>
          <w:rFonts w:asciiTheme="majorHAnsi" w:eastAsia="Times New Roman" w:hAnsiTheme="majorHAnsi" w:cstheme="majorHAnsi"/>
          <w:b/>
          <w:sz w:val="24"/>
          <w:szCs w:val="24"/>
          <w:lang w:val="ro-MD"/>
        </w:rPr>
      </w:pPr>
      <w:r w:rsidRPr="007D4C28">
        <w:rPr>
          <w:rFonts w:asciiTheme="majorHAnsi" w:eastAsia="Times New Roman" w:hAnsiTheme="majorHAnsi" w:cstheme="majorHAnsi"/>
          <w:b/>
          <w:sz w:val="24"/>
          <w:szCs w:val="24"/>
          <w:lang w:val="ro-MD"/>
        </w:rPr>
        <w:t>Informația privind acordurile de granturi semnate în anul 2018</w:t>
      </w:r>
    </w:p>
    <w:tbl>
      <w:tblPr>
        <w:tblStyle w:val="GridTable1Light1"/>
        <w:tblpPr w:leftFromText="180" w:rightFromText="180" w:vertAnchor="text" w:horzAnchor="margin" w:tblpX="108" w:tblpY="-15"/>
        <w:tblW w:w="4977" w:type="pct"/>
        <w:tblLook w:val="04A0" w:firstRow="1" w:lastRow="0" w:firstColumn="1" w:lastColumn="0" w:noHBand="0" w:noVBand="1"/>
      </w:tblPr>
      <w:tblGrid>
        <w:gridCol w:w="2535"/>
        <w:gridCol w:w="3695"/>
        <w:gridCol w:w="1977"/>
        <w:gridCol w:w="1426"/>
      </w:tblGrid>
      <w:tr w:rsidR="005F31EB" w:rsidRPr="00CB66A6" w:rsidTr="00DA1404">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316" w:type="pct"/>
            <w:vAlign w:val="center"/>
          </w:tcPr>
          <w:p w:rsidR="005F31EB" w:rsidRPr="00CB66A6" w:rsidRDefault="005F31EB" w:rsidP="009A1E2B">
            <w:pPr>
              <w:tabs>
                <w:tab w:val="left" w:pos="720"/>
                <w:tab w:val="left" w:pos="810"/>
                <w:tab w:val="left" w:pos="1080"/>
                <w:tab w:val="num" w:pos="1440"/>
              </w:tabs>
              <w:spacing w:line="276" w:lineRule="auto"/>
              <w:jc w:val="center"/>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color w:val="000000"/>
                <w:sz w:val="24"/>
                <w:szCs w:val="24"/>
                <w:lang w:eastAsia="ru-RU"/>
              </w:rPr>
              <w:t>Donator</w:t>
            </w:r>
          </w:p>
        </w:tc>
        <w:tc>
          <w:tcPr>
            <w:tcW w:w="1918" w:type="pct"/>
            <w:vAlign w:val="center"/>
          </w:tcPr>
          <w:p w:rsidR="005F31EB" w:rsidRPr="00CB66A6" w:rsidRDefault="005F31EB" w:rsidP="009A1E2B">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color w:val="000000"/>
                <w:sz w:val="24"/>
                <w:szCs w:val="24"/>
                <w:lang w:eastAsia="ru-RU"/>
              </w:rPr>
              <w:t>Acorduri de grant semnate</w:t>
            </w:r>
          </w:p>
        </w:tc>
        <w:tc>
          <w:tcPr>
            <w:tcW w:w="1026" w:type="pct"/>
            <w:vAlign w:val="center"/>
          </w:tcPr>
          <w:p w:rsidR="005F31EB" w:rsidRPr="001A33FF" w:rsidRDefault="005F31EB" w:rsidP="009A1E2B">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Pr>
                <w:rFonts w:asciiTheme="majorHAnsi" w:eastAsia="Times New Roman" w:hAnsiTheme="majorHAnsi" w:cstheme="majorHAnsi"/>
                <w:color w:val="000000"/>
                <w:sz w:val="24"/>
                <w:szCs w:val="24"/>
                <w:lang w:eastAsia="ru-RU"/>
              </w:rPr>
              <w:t>Denumirea Proiectului</w:t>
            </w:r>
          </w:p>
        </w:tc>
        <w:tc>
          <w:tcPr>
            <w:tcW w:w="740" w:type="pct"/>
            <w:vAlign w:val="center"/>
          </w:tcPr>
          <w:p w:rsidR="00DA1404" w:rsidRDefault="005F31EB" w:rsidP="009A1E2B">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1A33FF">
              <w:rPr>
                <w:rFonts w:asciiTheme="majorHAnsi" w:eastAsia="Times New Roman" w:hAnsiTheme="majorHAnsi" w:cstheme="majorHAnsi"/>
                <w:color w:val="000000"/>
                <w:sz w:val="24"/>
                <w:szCs w:val="24"/>
                <w:lang w:eastAsia="ru-RU"/>
              </w:rPr>
              <w:t>Suma</w:t>
            </w:r>
            <w:r>
              <w:rPr>
                <w:rFonts w:asciiTheme="majorHAnsi" w:eastAsia="Times New Roman" w:hAnsiTheme="majorHAnsi" w:cstheme="majorHAnsi"/>
                <w:color w:val="000000"/>
                <w:sz w:val="24"/>
                <w:szCs w:val="24"/>
                <w:lang w:eastAsia="ru-RU"/>
              </w:rPr>
              <w:t xml:space="preserve"> </w:t>
            </w:r>
          </w:p>
          <w:p w:rsidR="005F31EB" w:rsidRPr="001A33FF" w:rsidRDefault="005F31EB" w:rsidP="009A1E2B">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Pr>
                <w:rFonts w:asciiTheme="majorHAnsi" w:eastAsia="Times New Roman" w:hAnsiTheme="majorHAnsi" w:cstheme="majorHAnsi"/>
                <w:color w:val="000000"/>
                <w:sz w:val="24"/>
                <w:szCs w:val="24"/>
                <w:lang w:eastAsia="ru-RU"/>
              </w:rPr>
              <w:t>(mil. euro)</w:t>
            </w:r>
          </w:p>
        </w:tc>
      </w:tr>
      <w:tr w:rsidR="005F31EB" w:rsidRPr="00CB66A6" w:rsidTr="005F31EB">
        <w:trPr>
          <w:trHeight w:val="1359"/>
        </w:trPr>
        <w:tc>
          <w:tcPr>
            <w:cnfStyle w:val="001000000000" w:firstRow="0" w:lastRow="0" w:firstColumn="1" w:lastColumn="0" w:oddVBand="0" w:evenVBand="0" w:oddHBand="0" w:evenHBand="0" w:firstRowFirstColumn="0" w:firstRowLastColumn="0" w:lastRowFirstColumn="0" w:lastRowLastColumn="0"/>
            <w:tcW w:w="1316" w:type="pct"/>
          </w:tcPr>
          <w:p w:rsidR="005F31EB" w:rsidRPr="00CB66A6" w:rsidRDefault="005F31EB" w:rsidP="00BD543E">
            <w:pPr>
              <w:jc w:val="both"/>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color w:val="000000"/>
                <w:sz w:val="24"/>
                <w:szCs w:val="24"/>
                <w:lang w:eastAsia="ru-RU"/>
              </w:rPr>
              <w:t xml:space="preserve">Republica Federală Germania (Ministerul Federal German al Cooperării Economice și Dezvoltării) </w:t>
            </w:r>
          </w:p>
        </w:tc>
        <w:tc>
          <w:tcPr>
            <w:tcW w:w="1918" w:type="pct"/>
          </w:tcPr>
          <w:p w:rsidR="005F31EB" w:rsidRPr="00CB66A6" w:rsidRDefault="005F31EB" w:rsidP="00F2256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sz w:val="24"/>
                <w:szCs w:val="24"/>
                <w:lang w:eastAsia="ru-RU"/>
              </w:rPr>
              <w:t>Acord de finanțare a proiectului „Aprovizionarea cu apă și canalizare în raionul Cahul”</w:t>
            </w:r>
            <w:r w:rsidR="00F22563">
              <w:rPr>
                <w:rFonts w:asciiTheme="majorHAnsi" w:eastAsia="Times New Roman" w:hAnsiTheme="majorHAnsi" w:cstheme="majorHAnsi"/>
                <w:sz w:val="24"/>
                <w:szCs w:val="24"/>
                <w:lang w:eastAsia="ru-RU"/>
              </w:rPr>
              <w:t>,</w:t>
            </w:r>
            <w:r w:rsidRPr="00CB66A6">
              <w:rPr>
                <w:rFonts w:asciiTheme="majorHAnsi" w:eastAsia="Times New Roman" w:hAnsiTheme="majorHAnsi" w:cstheme="majorHAnsi"/>
                <w:sz w:val="24"/>
                <w:szCs w:val="24"/>
                <w:lang w:eastAsia="ru-RU"/>
              </w:rPr>
              <w:t xml:space="preserve"> semnat la 01 august 2018 între MF, </w:t>
            </w:r>
            <w:proofErr w:type="spellStart"/>
            <w:r w:rsidRPr="00CB66A6">
              <w:rPr>
                <w:rFonts w:asciiTheme="majorHAnsi" w:eastAsia="Times New Roman" w:hAnsiTheme="majorHAnsi" w:cstheme="majorHAnsi"/>
                <w:sz w:val="24"/>
                <w:szCs w:val="24"/>
                <w:lang w:eastAsia="ru-RU"/>
              </w:rPr>
              <w:t>KfW</w:t>
            </w:r>
            <w:proofErr w:type="spellEnd"/>
            <w:r w:rsidRPr="00CB66A6">
              <w:rPr>
                <w:rFonts w:asciiTheme="majorHAnsi" w:eastAsia="Times New Roman" w:hAnsiTheme="majorHAnsi" w:cstheme="majorHAnsi"/>
                <w:sz w:val="24"/>
                <w:szCs w:val="24"/>
                <w:lang w:eastAsia="ru-RU"/>
              </w:rPr>
              <w:t xml:space="preserve"> și </w:t>
            </w:r>
            <w:r w:rsidR="00F22563" w:rsidRPr="005025AA">
              <w:rPr>
                <w:rFonts w:asciiTheme="majorHAnsi" w:eastAsia="Times New Roman" w:hAnsiTheme="majorHAnsi" w:cstheme="majorHAnsi"/>
                <w:sz w:val="24"/>
                <w:szCs w:val="24"/>
                <w:lang w:eastAsia="ru-RU"/>
              </w:rPr>
              <w:t>P</w:t>
            </w:r>
            <w:r w:rsidR="005025AA">
              <w:rPr>
                <w:rFonts w:asciiTheme="majorHAnsi" w:eastAsia="Times New Roman" w:hAnsiTheme="majorHAnsi" w:cstheme="majorHAnsi"/>
                <w:sz w:val="24"/>
                <w:szCs w:val="24"/>
                <w:lang w:eastAsia="ru-RU"/>
              </w:rPr>
              <w:t xml:space="preserve">rimăria </w:t>
            </w:r>
            <w:r w:rsidR="00F22563" w:rsidRPr="005025AA">
              <w:rPr>
                <w:rFonts w:asciiTheme="majorHAnsi" w:eastAsia="Times New Roman" w:hAnsiTheme="majorHAnsi" w:cstheme="majorHAnsi"/>
                <w:sz w:val="24"/>
                <w:szCs w:val="24"/>
                <w:lang w:eastAsia="ru-RU"/>
              </w:rPr>
              <w:t>m</w:t>
            </w:r>
            <w:r w:rsidRPr="005025AA">
              <w:rPr>
                <w:rFonts w:asciiTheme="majorHAnsi" w:eastAsia="Times New Roman" w:hAnsiTheme="majorHAnsi" w:cstheme="majorHAnsi"/>
                <w:sz w:val="24"/>
                <w:szCs w:val="24"/>
                <w:lang w:eastAsia="ru-RU"/>
              </w:rPr>
              <w:t>unicipiul</w:t>
            </w:r>
            <w:r w:rsidR="00F22563" w:rsidRPr="005025AA">
              <w:rPr>
                <w:rFonts w:asciiTheme="majorHAnsi" w:eastAsia="Times New Roman" w:hAnsiTheme="majorHAnsi" w:cstheme="majorHAnsi"/>
                <w:sz w:val="24"/>
                <w:szCs w:val="24"/>
                <w:lang w:eastAsia="ru-RU"/>
              </w:rPr>
              <w:t>ui</w:t>
            </w:r>
            <w:r w:rsidRPr="00CB66A6">
              <w:rPr>
                <w:rFonts w:asciiTheme="majorHAnsi" w:eastAsia="Times New Roman" w:hAnsiTheme="majorHAnsi" w:cstheme="majorHAnsi"/>
                <w:sz w:val="24"/>
                <w:szCs w:val="24"/>
                <w:lang w:eastAsia="ru-RU"/>
              </w:rPr>
              <w:t xml:space="preserve"> Cahul </w:t>
            </w:r>
          </w:p>
        </w:tc>
        <w:tc>
          <w:tcPr>
            <w:tcW w:w="1026" w:type="pct"/>
          </w:tcPr>
          <w:p w:rsidR="005F31EB" w:rsidRDefault="005F31EB" w:rsidP="00BD543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Pr>
                <w:rFonts w:asciiTheme="majorHAnsi" w:eastAsia="Times New Roman" w:hAnsiTheme="majorHAnsi" w:cstheme="majorHAnsi"/>
                <w:sz w:val="24"/>
                <w:szCs w:val="24"/>
                <w:lang w:eastAsia="ru-RU"/>
              </w:rPr>
              <w:t>Aprovizionarea cu apă și canalizare în raionul Cahul</w:t>
            </w:r>
          </w:p>
        </w:tc>
        <w:tc>
          <w:tcPr>
            <w:tcW w:w="740" w:type="pct"/>
          </w:tcPr>
          <w:p w:rsidR="005F31EB" w:rsidRPr="00CB66A6" w:rsidRDefault="005F31EB" w:rsidP="00BD543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Pr>
                <w:rFonts w:asciiTheme="majorHAnsi" w:eastAsia="Times New Roman" w:hAnsiTheme="majorHAnsi" w:cstheme="majorHAnsi"/>
                <w:sz w:val="24"/>
                <w:szCs w:val="24"/>
                <w:lang w:eastAsia="ru-RU"/>
              </w:rPr>
              <w:t xml:space="preserve">23,5 </w:t>
            </w:r>
          </w:p>
        </w:tc>
      </w:tr>
      <w:tr w:rsidR="005F31EB" w:rsidRPr="00CB66A6" w:rsidTr="005F31EB">
        <w:trPr>
          <w:trHeight w:val="1265"/>
        </w:trPr>
        <w:tc>
          <w:tcPr>
            <w:cnfStyle w:val="001000000000" w:firstRow="0" w:lastRow="0" w:firstColumn="1" w:lastColumn="0" w:oddVBand="0" w:evenVBand="0" w:oddHBand="0" w:evenHBand="0" w:firstRowFirstColumn="0" w:firstRowLastColumn="0" w:lastRowFirstColumn="0" w:lastRowLastColumn="0"/>
            <w:tcW w:w="1316" w:type="pct"/>
          </w:tcPr>
          <w:p w:rsidR="005F31EB" w:rsidRPr="00CB66A6" w:rsidRDefault="005F31EB" w:rsidP="00BD543E">
            <w:pPr>
              <w:jc w:val="both"/>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color w:val="000000"/>
                <w:sz w:val="24"/>
                <w:szCs w:val="24"/>
                <w:lang w:eastAsia="ru-RU"/>
              </w:rPr>
              <w:t>Republica Bulgaria (expres cu Ministerul Afacerilor Externe al Republicii Bulgaria)</w:t>
            </w:r>
          </w:p>
        </w:tc>
        <w:tc>
          <w:tcPr>
            <w:tcW w:w="1918" w:type="pct"/>
          </w:tcPr>
          <w:p w:rsidR="005F31EB" w:rsidRPr="00CB66A6" w:rsidRDefault="005F31EB" w:rsidP="00BD543E">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CB66A6">
              <w:rPr>
                <w:rFonts w:asciiTheme="majorHAnsi" w:eastAsia="Times New Roman" w:hAnsiTheme="majorHAnsi" w:cstheme="majorHAnsi"/>
                <w:color w:val="000000"/>
                <w:sz w:val="24"/>
                <w:szCs w:val="24"/>
                <w:lang w:eastAsia="ru-RU"/>
              </w:rPr>
              <w:t>Acord de asistență financiară</w:t>
            </w:r>
            <w:r w:rsidR="00F22563">
              <w:rPr>
                <w:rFonts w:asciiTheme="majorHAnsi" w:eastAsia="Times New Roman" w:hAnsiTheme="majorHAnsi" w:cstheme="majorHAnsi"/>
                <w:color w:val="000000"/>
                <w:sz w:val="24"/>
                <w:szCs w:val="24"/>
                <w:lang w:eastAsia="ru-RU"/>
              </w:rPr>
              <w:t>,</w:t>
            </w:r>
            <w:r w:rsidRPr="00CB66A6">
              <w:rPr>
                <w:rFonts w:asciiTheme="majorHAnsi" w:eastAsia="Times New Roman" w:hAnsiTheme="majorHAnsi" w:cstheme="majorHAnsi"/>
                <w:color w:val="000000"/>
                <w:sz w:val="24"/>
                <w:szCs w:val="24"/>
                <w:lang w:eastAsia="ru-RU"/>
              </w:rPr>
              <w:t xml:space="preserve"> încheiat între Guvernul Republicii Moldova și Ministerul Afacerilor Externe al Republicii Bulgaria,</w:t>
            </w:r>
            <w:r w:rsidRPr="00CB66A6">
              <w:rPr>
                <w:rFonts w:asciiTheme="majorHAnsi" w:eastAsia="Times New Roman" w:hAnsiTheme="majorHAnsi" w:cstheme="majorHAnsi"/>
                <w:sz w:val="24"/>
                <w:szCs w:val="24"/>
                <w:lang w:eastAsia="ru-RU"/>
              </w:rPr>
              <w:t xml:space="preserve"> la 20 decembrie 2018</w:t>
            </w:r>
            <w:r w:rsidRPr="00CB66A6">
              <w:rPr>
                <w:rFonts w:asciiTheme="majorHAnsi" w:eastAsia="Times New Roman" w:hAnsiTheme="majorHAnsi" w:cstheme="majorHAnsi"/>
                <w:i/>
                <w:color w:val="000000"/>
                <w:sz w:val="24"/>
                <w:szCs w:val="24"/>
                <w:lang w:eastAsia="ru-RU"/>
              </w:rPr>
              <w:t xml:space="preserve"> </w:t>
            </w:r>
          </w:p>
        </w:tc>
        <w:tc>
          <w:tcPr>
            <w:tcW w:w="1026" w:type="pct"/>
          </w:tcPr>
          <w:p w:rsidR="005F31EB" w:rsidRDefault="00510AD9" w:rsidP="00B417B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Pr>
                <w:rFonts w:asciiTheme="majorHAnsi" w:eastAsia="Times New Roman" w:hAnsiTheme="majorHAnsi" w:cstheme="majorHAnsi"/>
                <w:color w:val="000000"/>
                <w:sz w:val="24"/>
                <w:szCs w:val="24"/>
                <w:lang w:eastAsia="ru-RU"/>
              </w:rPr>
              <w:t>Computerizarea școlilor din raionul Taraclia</w:t>
            </w:r>
          </w:p>
        </w:tc>
        <w:tc>
          <w:tcPr>
            <w:tcW w:w="740" w:type="pct"/>
          </w:tcPr>
          <w:p w:rsidR="005F31EB" w:rsidRPr="00CB66A6" w:rsidRDefault="005F31EB" w:rsidP="00BD543E">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Pr>
                <w:rFonts w:asciiTheme="majorHAnsi" w:eastAsia="Times New Roman" w:hAnsiTheme="majorHAnsi" w:cstheme="majorHAnsi"/>
                <w:color w:val="000000"/>
                <w:sz w:val="24"/>
                <w:szCs w:val="24"/>
                <w:lang w:eastAsia="ru-RU"/>
              </w:rPr>
              <w:t xml:space="preserve">0,14 </w:t>
            </w:r>
          </w:p>
        </w:tc>
      </w:tr>
    </w:tbl>
    <w:p w:rsidR="00487925" w:rsidRPr="00CB05A0" w:rsidRDefault="00487925" w:rsidP="00DA1404">
      <w:pPr>
        <w:spacing w:after="0" w:line="276" w:lineRule="auto"/>
        <w:ind w:left="142"/>
        <w:jc w:val="both"/>
        <w:rPr>
          <w:rFonts w:asciiTheme="majorHAnsi" w:eastAsia="Times New Roman" w:hAnsiTheme="majorHAnsi" w:cstheme="majorHAnsi"/>
          <w:i/>
          <w:sz w:val="20"/>
          <w:szCs w:val="20"/>
        </w:rPr>
      </w:pPr>
      <w:r w:rsidRPr="00CB05A0">
        <w:rPr>
          <w:rFonts w:asciiTheme="majorHAnsi" w:eastAsia="Times New Roman" w:hAnsiTheme="majorHAnsi" w:cstheme="majorHAnsi"/>
          <w:b/>
          <w:i/>
          <w:sz w:val="20"/>
          <w:szCs w:val="20"/>
        </w:rPr>
        <w:t>Sursă:</w:t>
      </w:r>
      <w:r w:rsidRPr="00CB05A0">
        <w:rPr>
          <w:rFonts w:asciiTheme="majorHAnsi" w:eastAsia="Times New Roman" w:hAnsiTheme="majorHAnsi" w:cstheme="majorHAnsi"/>
          <w:i/>
          <w:sz w:val="20"/>
          <w:szCs w:val="20"/>
        </w:rPr>
        <w:t xml:space="preserve"> Informații generalizate de echipa de audit în baza datelor MF privind granturile contractate în anul 2018.</w:t>
      </w:r>
    </w:p>
    <w:p w:rsidR="00487925" w:rsidRPr="00CB66A6" w:rsidRDefault="00487925" w:rsidP="00487925">
      <w:pPr>
        <w:spacing w:after="0" w:line="276" w:lineRule="auto"/>
        <w:ind w:firstLine="709"/>
        <w:jc w:val="both"/>
        <w:rPr>
          <w:rFonts w:asciiTheme="majorHAnsi" w:eastAsia="Times New Roman" w:hAnsiTheme="majorHAnsi" w:cstheme="majorHAnsi"/>
          <w:sz w:val="24"/>
          <w:szCs w:val="24"/>
        </w:rPr>
      </w:pPr>
    </w:p>
    <w:p w:rsidR="00682740" w:rsidRPr="00682740" w:rsidRDefault="00487925" w:rsidP="00A73960">
      <w:pPr>
        <w:shd w:val="clear" w:color="auto" w:fill="FFFFFF"/>
        <w:spacing w:after="0" w:line="276" w:lineRule="auto"/>
        <w:ind w:firstLine="709"/>
        <w:jc w:val="both"/>
        <w:rPr>
          <w:rFonts w:asciiTheme="majorHAnsi" w:eastAsia="Times New Roman" w:hAnsiTheme="majorHAnsi" w:cstheme="majorHAnsi"/>
          <w:color w:val="000000"/>
          <w:sz w:val="24"/>
          <w:szCs w:val="24"/>
          <w:lang w:val="ro-MD" w:eastAsia="ru-RU"/>
        </w:rPr>
      </w:pPr>
      <w:r w:rsidRPr="00464C26">
        <w:rPr>
          <w:rFonts w:asciiTheme="majorHAnsi" w:hAnsiTheme="majorHAnsi" w:cstheme="majorHAnsi"/>
          <w:sz w:val="24"/>
          <w:szCs w:val="24"/>
          <w:lang w:val="ro-MD"/>
        </w:rPr>
        <w:t xml:space="preserve">La închiderea rapoartelor financiare, MF a modificat </w:t>
      </w:r>
      <w:r w:rsidR="00F22563" w:rsidRPr="00464C26">
        <w:rPr>
          <w:rFonts w:asciiTheme="majorHAnsi" w:hAnsiTheme="majorHAnsi" w:cstheme="majorHAnsi"/>
          <w:sz w:val="24"/>
          <w:szCs w:val="24"/>
          <w:lang w:val="ro-MD"/>
        </w:rPr>
        <w:t xml:space="preserve">cu 22,8 mil. </w:t>
      </w:r>
      <w:r w:rsidR="00F22563">
        <w:rPr>
          <w:rFonts w:asciiTheme="majorHAnsi" w:hAnsiTheme="majorHAnsi" w:cstheme="majorHAnsi"/>
          <w:sz w:val="24"/>
          <w:szCs w:val="24"/>
          <w:lang w:val="ro-MD"/>
        </w:rPr>
        <w:t>MDL</w:t>
      </w:r>
      <w:r w:rsidR="00F22563" w:rsidRPr="00464C26">
        <w:rPr>
          <w:rFonts w:asciiTheme="majorHAnsi" w:hAnsiTheme="majorHAnsi" w:cstheme="majorHAnsi"/>
          <w:sz w:val="24"/>
          <w:szCs w:val="24"/>
          <w:lang w:val="ro-MD"/>
        </w:rPr>
        <w:t xml:space="preserve"> </w:t>
      </w:r>
      <w:r w:rsidRPr="00464C26">
        <w:rPr>
          <w:rFonts w:asciiTheme="majorHAnsi" w:hAnsiTheme="majorHAnsi" w:cstheme="majorHAnsi"/>
          <w:sz w:val="24"/>
          <w:szCs w:val="24"/>
          <w:lang w:val="ro-MD"/>
        </w:rPr>
        <w:t>suma executată a înca</w:t>
      </w:r>
      <w:r w:rsidR="00464C26">
        <w:rPr>
          <w:rFonts w:asciiTheme="majorHAnsi" w:hAnsiTheme="majorHAnsi" w:cstheme="majorHAnsi"/>
          <w:sz w:val="24"/>
          <w:szCs w:val="24"/>
          <w:lang w:val="ro-MD"/>
        </w:rPr>
        <w:t>sărilor provenite din granturi</w:t>
      </w:r>
      <w:r w:rsidRPr="00464C26">
        <w:rPr>
          <w:rFonts w:asciiTheme="majorHAnsi" w:hAnsiTheme="majorHAnsi" w:cstheme="majorHAnsi"/>
          <w:sz w:val="24"/>
          <w:szCs w:val="24"/>
          <w:lang w:val="ro-MD"/>
        </w:rPr>
        <w:t xml:space="preserve">. </w:t>
      </w:r>
      <w:r w:rsidR="00682740" w:rsidRPr="00682740">
        <w:rPr>
          <w:rFonts w:asciiTheme="majorHAnsi" w:eastAsia="Times New Roman" w:hAnsiTheme="majorHAnsi" w:cstheme="majorHAnsi"/>
          <w:color w:val="000000"/>
          <w:sz w:val="24"/>
          <w:szCs w:val="24"/>
          <w:lang w:val="ro-MD" w:eastAsia="ru-RU"/>
        </w:rPr>
        <w:t>Conform Legii bugetului de stat pentru anul 2018</w:t>
      </w:r>
      <w:r w:rsidR="00F22563">
        <w:rPr>
          <w:rFonts w:asciiTheme="majorHAnsi" w:eastAsia="Times New Roman" w:hAnsiTheme="majorHAnsi" w:cstheme="majorHAnsi"/>
          <w:color w:val="000000"/>
          <w:sz w:val="24"/>
          <w:szCs w:val="24"/>
          <w:lang w:val="ro-MD" w:eastAsia="ru-RU"/>
        </w:rPr>
        <w:t>,</w:t>
      </w:r>
      <w:r w:rsidR="00682740" w:rsidRPr="00682740">
        <w:rPr>
          <w:rFonts w:asciiTheme="majorHAnsi" w:eastAsia="Times New Roman" w:hAnsiTheme="majorHAnsi" w:cstheme="majorHAnsi"/>
          <w:color w:val="000000"/>
          <w:sz w:val="24"/>
          <w:szCs w:val="24"/>
          <w:lang w:val="ro-MD" w:eastAsia="ru-RU"/>
        </w:rPr>
        <w:t xml:space="preserve"> pentru implementarea </w:t>
      </w:r>
      <w:r w:rsidR="00F22563">
        <w:rPr>
          <w:rFonts w:asciiTheme="majorHAnsi" w:eastAsia="Times New Roman" w:hAnsiTheme="majorHAnsi" w:cstheme="majorHAnsi"/>
          <w:color w:val="000000"/>
          <w:sz w:val="24"/>
          <w:szCs w:val="24"/>
          <w:lang w:val="ro-MD" w:eastAsia="ru-RU"/>
        </w:rPr>
        <w:t>„</w:t>
      </w:r>
      <w:r w:rsidR="00682740" w:rsidRPr="00682740">
        <w:rPr>
          <w:rFonts w:asciiTheme="majorHAnsi" w:eastAsia="Times New Roman" w:hAnsiTheme="majorHAnsi" w:cstheme="majorHAnsi"/>
          <w:color w:val="000000"/>
          <w:sz w:val="24"/>
          <w:szCs w:val="24"/>
          <w:lang w:val="ro-MD" w:eastAsia="ru-RU"/>
        </w:rPr>
        <w:t>Proiectului</w:t>
      </w:r>
      <w:r w:rsidR="00793C62">
        <w:rPr>
          <w:rFonts w:asciiTheme="majorHAnsi" w:eastAsia="Times New Roman" w:hAnsiTheme="majorHAnsi" w:cstheme="majorHAnsi"/>
          <w:color w:val="000000"/>
          <w:sz w:val="24"/>
          <w:szCs w:val="24"/>
          <w:lang w:val="ro-MD" w:eastAsia="ru-RU"/>
        </w:rPr>
        <w:t xml:space="preserve"> </w:t>
      </w:r>
      <w:r w:rsidR="00682740" w:rsidRPr="00682740">
        <w:rPr>
          <w:rFonts w:asciiTheme="majorHAnsi" w:eastAsia="Times New Roman" w:hAnsiTheme="majorHAnsi" w:cstheme="majorHAnsi"/>
          <w:color w:val="000000"/>
          <w:sz w:val="24"/>
          <w:szCs w:val="24"/>
          <w:lang w:val="ro-MD" w:eastAsia="ru-RU"/>
        </w:rPr>
        <w:t xml:space="preserve">de achiziție a locomotivelor </w:t>
      </w:r>
      <w:r w:rsidR="00F22563">
        <w:rPr>
          <w:rFonts w:asciiTheme="majorHAnsi" w:eastAsia="Times New Roman" w:hAnsiTheme="majorHAnsi" w:cstheme="majorHAnsi"/>
          <w:color w:val="000000"/>
          <w:sz w:val="24"/>
          <w:szCs w:val="24"/>
          <w:lang w:val="ro-MD" w:eastAsia="ru-RU"/>
        </w:rPr>
        <w:t>ș</w:t>
      </w:r>
      <w:r w:rsidR="00682740" w:rsidRPr="00682740">
        <w:rPr>
          <w:rFonts w:asciiTheme="majorHAnsi" w:eastAsia="Times New Roman" w:hAnsiTheme="majorHAnsi" w:cstheme="majorHAnsi"/>
          <w:color w:val="000000"/>
          <w:sz w:val="24"/>
          <w:szCs w:val="24"/>
          <w:lang w:val="ro-MD" w:eastAsia="ru-RU"/>
        </w:rPr>
        <w:t>i de restructurare a infrastructurii feroviare</w:t>
      </w:r>
      <w:r w:rsidR="00682740">
        <w:rPr>
          <w:rFonts w:asciiTheme="majorHAnsi" w:eastAsia="Times New Roman" w:hAnsiTheme="majorHAnsi" w:cstheme="majorHAnsi"/>
          <w:color w:val="000000"/>
          <w:sz w:val="24"/>
          <w:szCs w:val="24"/>
          <w:lang w:val="ro-MD" w:eastAsia="ru-RU"/>
        </w:rPr>
        <w:t>”</w:t>
      </w:r>
      <w:r w:rsidR="00682740" w:rsidRPr="00682740">
        <w:rPr>
          <w:rFonts w:asciiTheme="majorHAnsi" w:eastAsia="Times New Roman" w:hAnsiTheme="majorHAnsi" w:cstheme="majorHAnsi"/>
          <w:color w:val="000000"/>
          <w:sz w:val="24"/>
          <w:szCs w:val="24"/>
          <w:lang w:val="ro-MD" w:eastAsia="ru-RU"/>
        </w:rPr>
        <w:t>, în bugetul MEI au fost planificate mijloace financiare în mărime de 100,0 mil.</w:t>
      </w:r>
      <w:r w:rsidR="00682740">
        <w:rPr>
          <w:rFonts w:asciiTheme="majorHAnsi" w:eastAsia="Times New Roman" w:hAnsiTheme="majorHAnsi" w:cstheme="majorHAnsi"/>
          <w:color w:val="000000"/>
          <w:sz w:val="24"/>
          <w:szCs w:val="24"/>
          <w:lang w:val="ro-MD" w:eastAsia="ru-RU"/>
        </w:rPr>
        <w:t xml:space="preserve"> </w:t>
      </w:r>
      <w:r w:rsidR="007160B9">
        <w:rPr>
          <w:rFonts w:asciiTheme="majorHAnsi" w:eastAsia="Times New Roman" w:hAnsiTheme="majorHAnsi" w:cstheme="majorHAnsi"/>
          <w:color w:val="000000"/>
          <w:sz w:val="24"/>
          <w:szCs w:val="24"/>
          <w:lang w:val="ro-MD" w:eastAsia="ru-RU"/>
        </w:rPr>
        <w:t>MDL</w:t>
      </w:r>
      <w:r w:rsidR="00682740" w:rsidRPr="00682740">
        <w:rPr>
          <w:rFonts w:asciiTheme="majorHAnsi" w:eastAsia="Times New Roman" w:hAnsiTheme="majorHAnsi" w:cstheme="majorHAnsi"/>
          <w:color w:val="000000"/>
          <w:sz w:val="24"/>
          <w:szCs w:val="24"/>
          <w:lang w:val="ro-MD" w:eastAsia="ru-RU"/>
        </w:rPr>
        <w:t>. Conform scrisorii M</w:t>
      </w:r>
      <w:r w:rsidR="00F22563">
        <w:rPr>
          <w:rFonts w:asciiTheme="majorHAnsi" w:eastAsia="Times New Roman" w:hAnsiTheme="majorHAnsi" w:cstheme="majorHAnsi"/>
          <w:color w:val="000000"/>
          <w:sz w:val="24"/>
          <w:szCs w:val="24"/>
          <w:lang w:val="ro-MD" w:eastAsia="ru-RU"/>
        </w:rPr>
        <w:t>EI</w:t>
      </w:r>
      <w:r w:rsidR="00682740" w:rsidRPr="00682740">
        <w:rPr>
          <w:rFonts w:asciiTheme="majorHAnsi" w:eastAsia="Times New Roman" w:hAnsiTheme="majorHAnsi" w:cstheme="majorHAnsi"/>
          <w:color w:val="000000"/>
          <w:sz w:val="24"/>
          <w:szCs w:val="24"/>
          <w:lang w:val="ro-MD" w:eastAsia="ru-RU"/>
        </w:rPr>
        <w:t xml:space="preserve"> nr.14/1-10102</w:t>
      </w:r>
      <w:r w:rsidR="00F22563">
        <w:rPr>
          <w:rFonts w:asciiTheme="majorHAnsi" w:eastAsia="Times New Roman" w:hAnsiTheme="majorHAnsi" w:cstheme="majorHAnsi"/>
          <w:color w:val="000000"/>
          <w:sz w:val="24"/>
          <w:szCs w:val="24"/>
          <w:lang w:val="ro-MD" w:eastAsia="ru-RU"/>
        </w:rPr>
        <w:t>,</w:t>
      </w:r>
      <w:r w:rsidR="00682740" w:rsidRPr="00682740">
        <w:rPr>
          <w:rFonts w:asciiTheme="majorHAnsi" w:eastAsia="Times New Roman" w:hAnsiTheme="majorHAnsi" w:cstheme="majorHAnsi"/>
          <w:color w:val="000000"/>
          <w:sz w:val="24"/>
          <w:szCs w:val="24"/>
          <w:lang w:val="ro-MD" w:eastAsia="ru-RU"/>
        </w:rPr>
        <w:t xml:space="preserve"> dreptul de a debursa </w:t>
      </w:r>
      <w:r w:rsidR="0086194C">
        <w:rPr>
          <w:rFonts w:asciiTheme="majorHAnsi" w:eastAsia="Times New Roman" w:hAnsiTheme="majorHAnsi" w:cstheme="majorHAnsi"/>
          <w:color w:val="000000"/>
          <w:sz w:val="24"/>
          <w:szCs w:val="24"/>
          <w:lang w:val="ro-MD" w:eastAsia="ru-RU"/>
        </w:rPr>
        <w:t>resurse</w:t>
      </w:r>
      <w:r w:rsidR="0086194C" w:rsidRPr="00682740">
        <w:rPr>
          <w:rFonts w:asciiTheme="majorHAnsi" w:eastAsia="Times New Roman" w:hAnsiTheme="majorHAnsi" w:cstheme="majorHAnsi"/>
          <w:color w:val="000000"/>
          <w:sz w:val="24"/>
          <w:szCs w:val="24"/>
          <w:lang w:val="ro-MD" w:eastAsia="ru-RU"/>
        </w:rPr>
        <w:t xml:space="preserve"> </w:t>
      </w:r>
      <w:r w:rsidR="00682740" w:rsidRPr="00682740">
        <w:rPr>
          <w:rFonts w:asciiTheme="majorHAnsi" w:eastAsia="Times New Roman" w:hAnsiTheme="majorHAnsi" w:cstheme="majorHAnsi"/>
          <w:color w:val="000000"/>
          <w:sz w:val="24"/>
          <w:szCs w:val="24"/>
          <w:lang w:val="ro-MD" w:eastAsia="ru-RU"/>
        </w:rPr>
        <w:t xml:space="preserve">financiare în acest scop a fost delegat ÎS </w:t>
      </w:r>
      <w:r w:rsidR="00F22563">
        <w:rPr>
          <w:rFonts w:asciiTheme="majorHAnsi" w:eastAsia="Times New Roman" w:hAnsiTheme="majorHAnsi" w:cstheme="majorHAnsi"/>
          <w:color w:val="000000"/>
          <w:sz w:val="24"/>
          <w:szCs w:val="24"/>
          <w:lang w:val="ro-MD" w:eastAsia="ru-RU"/>
        </w:rPr>
        <w:t>„</w:t>
      </w:r>
      <w:r w:rsidR="00682740" w:rsidRPr="00682740">
        <w:rPr>
          <w:rFonts w:asciiTheme="majorHAnsi" w:eastAsia="Times New Roman" w:hAnsiTheme="majorHAnsi" w:cstheme="majorHAnsi"/>
          <w:color w:val="000000"/>
          <w:sz w:val="24"/>
          <w:szCs w:val="24"/>
          <w:lang w:val="ro-MD" w:eastAsia="ru-RU"/>
        </w:rPr>
        <w:t xml:space="preserve">Calea Ferată din Moldova”. </w:t>
      </w:r>
    </w:p>
    <w:p w:rsidR="00464C26" w:rsidRDefault="00487925" w:rsidP="0019750A">
      <w:pPr>
        <w:pStyle w:val="ListParagraph"/>
        <w:tabs>
          <w:tab w:val="left" w:pos="993"/>
        </w:tabs>
        <w:spacing w:after="0" w:line="276" w:lineRule="auto"/>
        <w:ind w:left="0" w:firstLine="709"/>
        <w:jc w:val="both"/>
        <w:rPr>
          <w:rFonts w:asciiTheme="majorHAnsi" w:hAnsiTheme="majorHAnsi" w:cstheme="majorHAnsi"/>
          <w:sz w:val="24"/>
          <w:szCs w:val="24"/>
          <w:lang w:val="ro-MD"/>
        </w:rPr>
      </w:pPr>
      <w:r w:rsidRPr="00464C26">
        <w:rPr>
          <w:rFonts w:asciiTheme="majorHAnsi" w:hAnsiTheme="majorHAnsi" w:cstheme="majorHAnsi"/>
          <w:sz w:val="24"/>
          <w:szCs w:val="24"/>
          <w:lang w:val="ro-MD"/>
        </w:rPr>
        <w:t xml:space="preserve">Potrivit explicațiilor MF, </w:t>
      </w:r>
      <w:r w:rsidR="00464C26" w:rsidRPr="00464C26">
        <w:rPr>
          <w:rFonts w:asciiTheme="majorHAnsi" w:hAnsiTheme="majorHAnsi" w:cstheme="majorHAnsi"/>
          <w:sz w:val="24"/>
          <w:szCs w:val="24"/>
          <w:lang w:val="ro-MD"/>
        </w:rPr>
        <w:t xml:space="preserve">ÎS </w:t>
      </w:r>
      <w:r w:rsidR="00F22563">
        <w:rPr>
          <w:rFonts w:asciiTheme="majorHAnsi" w:hAnsiTheme="majorHAnsi" w:cstheme="majorHAnsi"/>
          <w:sz w:val="24"/>
          <w:szCs w:val="24"/>
          <w:lang w:val="ro-MD"/>
        </w:rPr>
        <w:t>„</w:t>
      </w:r>
      <w:r w:rsidR="00464C26" w:rsidRPr="00464C26">
        <w:rPr>
          <w:rFonts w:asciiTheme="majorHAnsi" w:hAnsiTheme="majorHAnsi" w:cstheme="majorHAnsi"/>
          <w:sz w:val="24"/>
          <w:szCs w:val="24"/>
          <w:lang w:val="ro-MD"/>
        </w:rPr>
        <w:t>Calea Ferată din Moldova” urma să prezinte lunar M</w:t>
      </w:r>
      <w:r w:rsidR="00F22563">
        <w:rPr>
          <w:rFonts w:asciiTheme="majorHAnsi" w:hAnsiTheme="majorHAnsi" w:cstheme="majorHAnsi"/>
          <w:sz w:val="24"/>
          <w:szCs w:val="24"/>
          <w:lang w:val="ro-MD"/>
        </w:rPr>
        <w:t>EI</w:t>
      </w:r>
      <w:r w:rsidR="00464C26" w:rsidRPr="00464C26">
        <w:rPr>
          <w:rFonts w:asciiTheme="majorHAnsi" w:hAnsiTheme="majorHAnsi" w:cstheme="majorHAnsi"/>
          <w:sz w:val="24"/>
          <w:szCs w:val="24"/>
          <w:lang w:val="ro-MD"/>
        </w:rPr>
        <w:t xml:space="preserve">, iar acesta, respectiv, MF raportul privind executarea bugetului în afara sistemului </w:t>
      </w:r>
      <w:proofErr w:type="spellStart"/>
      <w:r w:rsidR="00464C26" w:rsidRPr="00464C26">
        <w:rPr>
          <w:rFonts w:asciiTheme="majorHAnsi" w:hAnsiTheme="majorHAnsi" w:cstheme="majorHAnsi"/>
          <w:sz w:val="24"/>
          <w:szCs w:val="24"/>
          <w:lang w:val="ro-MD"/>
        </w:rPr>
        <w:t>trezorerial</w:t>
      </w:r>
      <w:proofErr w:type="spellEnd"/>
      <w:r w:rsidR="00464C26" w:rsidRPr="00464C26">
        <w:rPr>
          <w:rFonts w:asciiTheme="majorHAnsi" w:hAnsiTheme="majorHAnsi" w:cstheme="majorHAnsi"/>
          <w:sz w:val="24"/>
          <w:szCs w:val="24"/>
          <w:lang w:val="ro-MD"/>
        </w:rPr>
        <w:t xml:space="preserve"> (Forma FD-040) a resurselor din proiectele finanțate din surse externe,</w:t>
      </w:r>
      <w:r w:rsidR="00793C62">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ceea ce nu s-a efectuat în anul 2018.</w:t>
      </w:r>
      <w:r w:rsidR="00464C26">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 xml:space="preserve">Astfel, după </w:t>
      </w:r>
      <w:r w:rsidR="00D22EB5">
        <w:rPr>
          <w:rFonts w:asciiTheme="majorHAnsi" w:hAnsiTheme="majorHAnsi" w:cstheme="majorHAnsi"/>
          <w:sz w:val="24"/>
          <w:szCs w:val="24"/>
          <w:lang w:val="ro-MD"/>
        </w:rPr>
        <w:t>constatarea</w:t>
      </w:r>
      <w:r w:rsidR="00D22EB5" w:rsidRPr="00464C26">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 xml:space="preserve">neprezentării și, respectiv, </w:t>
      </w:r>
      <w:proofErr w:type="spellStart"/>
      <w:r w:rsidR="00464C26" w:rsidRPr="00464C26">
        <w:rPr>
          <w:rFonts w:asciiTheme="majorHAnsi" w:hAnsiTheme="majorHAnsi" w:cstheme="majorHAnsi"/>
          <w:sz w:val="24"/>
          <w:szCs w:val="24"/>
          <w:lang w:val="ro-MD"/>
        </w:rPr>
        <w:t>nereflectării</w:t>
      </w:r>
      <w:proofErr w:type="spellEnd"/>
      <w:r w:rsidR="00464C26" w:rsidRPr="00464C26">
        <w:rPr>
          <w:rFonts w:asciiTheme="majorHAnsi" w:hAnsiTheme="majorHAnsi" w:cstheme="majorHAnsi"/>
          <w:sz w:val="24"/>
          <w:szCs w:val="24"/>
          <w:lang w:val="ro-MD"/>
        </w:rPr>
        <w:t xml:space="preserve"> </w:t>
      </w:r>
      <w:r w:rsidR="00D22EB5" w:rsidRPr="00464C26">
        <w:rPr>
          <w:rFonts w:asciiTheme="majorHAnsi" w:hAnsiTheme="majorHAnsi" w:cstheme="majorHAnsi"/>
          <w:sz w:val="24"/>
          <w:szCs w:val="24"/>
          <w:lang w:val="ro-MD"/>
        </w:rPr>
        <w:t xml:space="preserve">de către MEI </w:t>
      </w:r>
      <w:r w:rsidR="00D22EB5">
        <w:rPr>
          <w:rFonts w:asciiTheme="majorHAnsi" w:hAnsiTheme="majorHAnsi" w:cstheme="majorHAnsi"/>
          <w:sz w:val="24"/>
          <w:szCs w:val="24"/>
          <w:lang w:val="ro-MD"/>
        </w:rPr>
        <w:t xml:space="preserve">a </w:t>
      </w:r>
      <w:r w:rsidR="00464C26" w:rsidRPr="00464C26">
        <w:rPr>
          <w:rFonts w:asciiTheme="majorHAnsi" w:hAnsiTheme="majorHAnsi" w:cstheme="majorHAnsi"/>
          <w:sz w:val="24"/>
          <w:szCs w:val="24"/>
          <w:lang w:val="ro-MD"/>
        </w:rPr>
        <w:t>mijloacelor financiare în mărime de 22,8 mil.</w:t>
      </w:r>
      <w:r w:rsidR="00464C26">
        <w:rPr>
          <w:rFonts w:asciiTheme="majorHAnsi" w:hAnsiTheme="majorHAnsi" w:cstheme="majorHAnsi"/>
          <w:sz w:val="24"/>
          <w:szCs w:val="24"/>
          <w:lang w:val="ro-MD"/>
        </w:rPr>
        <w:t xml:space="preserve"> </w:t>
      </w:r>
      <w:r w:rsidR="007160B9">
        <w:rPr>
          <w:rFonts w:asciiTheme="majorHAnsi" w:hAnsiTheme="majorHAnsi" w:cstheme="majorHAnsi"/>
          <w:sz w:val="24"/>
          <w:szCs w:val="24"/>
          <w:lang w:val="ro-MD"/>
        </w:rPr>
        <w:t>MDL</w:t>
      </w:r>
      <w:r w:rsidR="00464C26" w:rsidRPr="00464C26">
        <w:rPr>
          <w:rFonts w:asciiTheme="majorHAnsi" w:hAnsiTheme="majorHAnsi" w:cstheme="majorHAnsi"/>
          <w:sz w:val="24"/>
          <w:szCs w:val="24"/>
          <w:lang w:val="ro-MD"/>
        </w:rPr>
        <w:t xml:space="preserve"> debursate în calitate de grant</w:t>
      </w:r>
      <w:r w:rsidR="00793C62">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 xml:space="preserve">în sistemul </w:t>
      </w:r>
      <w:proofErr w:type="spellStart"/>
      <w:r w:rsidR="00464C26" w:rsidRPr="00464C26">
        <w:rPr>
          <w:rFonts w:asciiTheme="majorHAnsi" w:hAnsiTheme="majorHAnsi" w:cstheme="majorHAnsi"/>
          <w:sz w:val="24"/>
          <w:szCs w:val="24"/>
          <w:lang w:val="ro-MD"/>
        </w:rPr>
        <w:t>trezorerial</w:t>
      </w:r>
      <w:proofErr w:type="spellEnd"/>
      <w:r w:rsidR="00464C26" w:rsidRPr="00464C26">
        <w:rPr>
          <w:rFonts w:asciiTheme="majorHAnsi" w:hAnsiTheme="majorHAnsi" w:cstheme="majorHAnsi"/>
          <w:sz w:val="24"/>
          <w:szCs w:val="24"/>
          <w:lang w:val="ro-MD"/>
        </w:rPr>
        <w:t xml:space="preserve">, a fost solicitată completarea și </w:t>
      </w:r>
      <w:r w:rsidR="00464C26" w:rsidRPr="00464C26">
        <w:rPr>
          <w:rFonts w:asciiTheme="majorHAnsi" w:hAnsiTheme="majorHAnsi" w:cstheme="majorHAnsi"/>
          <w:sz w:val="24"/>
          <w:szCs w:val="24"/>
          <w:lang w:val="ro-MD"/>
        </w:rPr>
        <w:lastRenderedPageBreak/>
        <w:t xml:space="preserve">ajustarea </w:t>
      </w:r>
      <w:r w:rsidR="00D22EB5">
        <w:rPr>
          <w:rFonts w:asciiTheme="majorHAnsi" w:hAnsiTheme="majorHAnsi" w:cstheme="majorHAnsi"/>
          <w:sz w:val="24"/>
          <w:szCs w:val="24"/>
          <w:lang w:val="ro-MD"/>
        </w:rPr>
        <w:t>la situația reală a R</w:t>
      </w:r>
      <w:r w:rsidR="00464C26" w:rsidRPr="00464C26">
        <w:rPr>
          <w:rFonts w:asciiTheme="majorHAnsi" w:hAnsiTheme="majorHAnsi" w:cstheme="majorHAnsi"/>
          <w:sz w:val="24"/>
          <w:szCs w:val="24"/>
          <w:lang w:val="ro-MD"/>
        </w:rPr>
        <w:t xml:space="preserve">aportului de executare a </w:t>
      </w:r>
      <w:r w:rsidR="00B417B3">
        <w:rPr>
          <w:rFonts w:asciiTheme="majorHAnsi" w:hAnsiTheme="majorHAnsi" w:cstheme="majorHAnsi"/>
          <w:sz w:val="24"/>
          <w:szCs w:val="24"/>
          <w:lang w:val="ro-MD"/>
        </w:rPr>
        <w:t>bugetului de stat</w:t>
      </w:r>
      <w:r w:rsidR="00441B87">
        <w:rPr>
          <w:rFonts w:asciiTheme="majorHAnsi" w:hAnsiTheme="majorHAnsi" w:cstheme="majorHAnsi"/>
          <w:sz w:val="24"/>
          <w:szCs w:val="24"/>
          <w:lang w:val="ro-MD"/>
        </w:rPr>
        <w:t xml:space="preserve"> pe anul 2018, </w:t>
      </w:r>
      <w:r w:rsidR="00D22EB5">
        <w:rPr>
          <w:rFonts w:asciiTheme="majorHAnsi" w:hAnsiTheme="majorHAnsi" w:cstheme="majorHAnsi"/>
          <w:sz w:val="24"/>
          <w:szCs w:val="24"/>
          <w:lang w:val="ro-MD"/>
        </w:rPr>
        <w:t xml:space="preserve">ca </w:t>
      </w:r>
      <w:r w:rsidR="00441B87">
        <w:rPr>
          <w:rFonts w:asciiTheme="majorHAnsi" w:hAnsiTheme="majorHAnsi" w:cstheme="majorHAnsi"/>
          <w:sz w:val="24"/>
          <w:szCs w:val="24"/>
          <w:lang w:val="ro-MD"/>
        </w:rPr>
        <w:t xml:space="preserve">urmare </w:t>
      </w:r>
      <w:r w:rsidR="00D22EB5">
        <w:rPr>
          <w:rFonts w:asciiTheme="majorHAnsi" w:hAnsiTheme="majorHAnsi" w:cstheme="majorHAnsi"/>
          <w:sz w:val="24"/>
          <w:szCs w:val="24"/>
          <w:lang w:val="ro-MD"/>
        </w:rPr>
        <w:t xml:space="preserve">acest fapt </w:t>
      </w:r>
      <w:r w:rsidR="00441B87">
        <w:rPr>
          <w:rFonts w:asciiTheme="majorHAnsi" w:hAnsiTheme="majorHAnsi" w:cstheme="majorHAnsi"/>
          <w:sz w:val="24"/>
          <w:szCs w:val="24"/>
          <w:lang w:val="ro-MD"/>
        </w:rPr>
        <w:t>neavând impact asupra opiniei de audit.</w:t>
      </w:r>
      <w:r w:rsidR="00793C62">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 xml:space="preserve"> </w:t>
      </w:r>
    </w:p>
    <w:p w:rsidR="00464C26" w:rsidRDefault="00D22EB5" w:rsidP="00464C26">
      <w:pPr>
        <w:pStyle w:val="ListParagraph"/>
        <w:tabs>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Referitor la aceasta</w:t>
      </w:r>
      <w:r w:rsidR="00464C26">
        <w:rPr>
          <w:rFonts w:asciiTheme="majorHAnsi" w:hAnsiTheme="majorHAnsi" w:cstheme="majorHAnsi"/>
          <w:sz w:val="24"/>
          <w:szCs w:val="24"/>
          <w:lang w:val="ro-MD"/>
        </w:rPr>
        <w:t xml:space="preserve">, MF motivează că nu dispune </w:t>
      </w:r>
      <w:r w:rsidR="00464C26" w:rsidRPr="00464C26">
        <w:rPr>
          <w:rFonts w:asciiTheme="majorHAnsi" w:hAnsiTheme="majorHAnsi" w:cstheme="majorHAnsi"/>
          <w:sz w:val="24"/>
          <w:szCs w:val="24"/>
          <w:lang w:val="ro-MD"/>
        </w:rPr>
        <w:t>de posibilitate</w:t>
      </w:r>
      <w:r>
        <w:rPr>
          <w:rFonts w:asciiTheme="majorHAnsi" w:hAnsiTheme="majorHAnsi" w:cstheme="majorHAnsi"/>
          <w:sz w:val="24"/>
          <w:szCs w:val="24"/>
          <w:lang w:val="ro-MD"/>
        </w:rPr>
        <w:t>a</w:t>
      </w:r>
      <w:r w:rsidR="00464C26" w:rsidRPr="00464C26">
        <w:rPr>
          <w:rFonts w:asciiTheme="majorHAnsi" w:hAnsiTheme="majorHAnsi" w:cstheme="majorHAnsi"/>
          <w:sz w:val="24"/>
          <w:szCs w:val="24"/>
          <w:lang w:val="ro-MD"/>
        </w:rPr>
        <w:t xml:space="preserve"> de a urmări și a identifica de sine stătător</w:t>
      </w:r>
      <w:r w:rsidR="00793C62">
        <w:rPr>
          <w:rFonts w:asciiTheme="majorHAnsi" w:hAnsiTheme="majorHAnsi" w:cstheme="majorHAnsi"/>
          <w:sz w:val="24"/>
          <w:szCs w:val="24"/>
          <w:lang w:val="ro-MD"/>
        </w:rPr>
        <w:t xml:space="preserve"> </w:t>
      </w:r>
      <w:r w:rsidR="00464C26" w:rsidRPr="00464C26">
        <w:rPr>
          <w:rFonts w:asciiTheme="majorHAnsi" w:hAnsiTheme="majorHAnsi" w:cstheme="majorHAnsi"/>
          <w:sz w:val="24"/>
          <w:szCs w:val="24"/>
          <w:lang w:val="ro-MD"/>
        </w:rPr>
        <w:t xml:space="preserve">sumele debursate din granturi de către instituțiile din afara sistemului </w:t>
      </w:r>
      <w:proofErr w:type="spellStart"/>
      <w:r w:rsidR="00464C26" w:rsidRPr="00464C26">
        <w:rPr>
          <w:rFonts w:asciiTheme="majorHAnsi" w:hAnsiTheme="majorHAnsi" w:cstheme="majorHAnsi"/>
          <w:sz w:val="24"/>
          <w:szCs w:val="24"/>
          <w:lang w:val="ro-MD"/>
        </w:rPr>
        <w:t>trezorerial</w:t>
      </w:r>
      <w:proofErr w:type="spellEnd"/>
      <w:r w:rsidR="00464C26" w:rsidRPr="00464C26">
        <w:rPr>
          <w:rFonts w:asciiTheme="majorHAnsi" w:hAnsiTheme="majorHAnsi" w:cstheme="majorHAnsi"/>
          <w:sz w:val="24"/>
          <w:szCs w:val="24"/>
          <w:lang w:val="ro-MD"/>
        </w:rPr>
        <w:t>.</w:t>
      </w:r>
    </w:p>
    <w:p w:rsidR="00C644E0" w:rsidRPr="00464C26" w:rsidRDefault="00D22EB5" w:rsidP="00464C26">
      <w:pPr>
        <w:pStyle w:val="ListParagraph"/>
        <w:tabs>
          <w:tab w:val="left" w:pos="993"/>
        </w:tabs>
        <w:spacing w:line="276" w:lineRule="auto"/>
        <w:ind w:left="0" w:firstLine="709"/>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C644E0">
        <w:rPr>
          <w:rFonts w:asciiTheme="majorHAnsi" w:hAnsiTheme="majorHAnsi" w:cstheme="majorHAnsi"/>
          <w:sz w:val="24"/>
          <w:szCs w:val="24"/>
          <w:lang w:val="ro-MD"/>
        </w:rPr>
        <w:t>ircumstanțe</w:t>
      </w:r>
      <w:r>
        <w:rPr>
          <w:rFonts w:asciiTheme="majorHAnsi" w:hAnsiTheme="majorHAnsi" w:cstheme="majorHAnsi"/>
          <w:sz w:val="24"/>
          <w:szCs w:val="24"/>
          <w:lang w:val="ro-MD"/>
        </w:rPr>
        <w:t>le elucidate</w:t>
      </w:r>
      <w:r w:rsidR="00C644E0">
        <w:rPr>
          <w:rFonts w:asciiTheme="majorHAnsi" w:hAnsiTheme="majorHAnsi" w:cstheme="majorHAnsi"/>
          <w:sz w:val="24"/>
          <w:szCs w:val="24"/>
          <w:lang w:val="ro-MD"/>
        </w:rPr>
        <w:t xml:space="preserve"> </w:t>
      </w:r>
      <w:r>
        <w:rPr>
          <w:rFonts w:asciiTheme="majorHAnsi" w:hAnsiTheme="majorHAnsi" w:cstheme="majorHAnsi"/>
          <w:sz w:val="24"/>
          <w:szCs w:val="24"/>
          <w:lang w:val="ro-MD"/>
        </w:rPr>
        <w:t>denotă</w:t>
      </w:r>
      <w:r w:rsidR="00C644E0">
        <w:rPr>
          <w:rFonts w:asciiTheme="majorHAnsi" w:hAnsiTheme="majorHAnsi" w:cstheme="majorHAnsi"/>
          <w:sz w:val="24"/>
          <w:szCs w:val="24"/>
          <w:lang w:val="ro-MD"/>
        </w:rPr>
        <w:t xml:space="preserve"> necesitatea dezvoltării cadrului de reglementare </w:t>
      </w:r>
      <w:r>
        <w:rPr>
          <w:rFonts w:asciiTheme="majorHAnsi" w:hAnsiTheme="majorHAnsi" w:cstheme="majorHAnsi"/>
          <w:sz w:val="24"/>
          <w:szCs w:val="24"/>
          <w:lang w:val="ro-MD"/>
        </w:rPr>
        <w:t>privind</w:t>
      </w:r>
      <w:r w:rsidR="00C644E0">
        <w:rPr>
          <w:rFonts w:asciiTheme="majorHAnsi" w:hAnsiTheme="majorHAnsi" w:cstheme="majorHAnsi"/>
          <w:sz w:val="24"/>
          <w:szCs w:val="24"/>
          <w:lang w:val="ro-MD"/>
        </w:rPr>
        <w:t xml:space="preserve"> debursarea și executarea surselor de finanțare externă provenite din granturi exclusiv prin intermediul sistemului </w:t>
      </w:r>
      <w:proofErr w:type="spellStart"/>
      <w:r w:rsidR="00C644E0">
        <w:rPr>
          <w:rFonts w:asciiTheme="majorHAnsi" w:hAnsiTheme="majorHAnsi" w:cstheme="majorHAnsi"/>
          <w:sz w:val="24"/>
          <w:szCs w:val="24"/>
          <w:lang w:val="ro-MD"/>
        </w:rPr>
        <w:t>trezorerial</w:t>
      </w:r>
      <w:proofErr w:type="spellEnd"/>
      <w:r w:rsidR="00C644E0">
        <w:rPr>
          <w:rFonts w:asciiTheme="majorHAnsi" w:hAnsiTheme="majorHAnsi" w:cstheme="majorHAnsi"/>
          <w:sz w:val="24"/>
          <w:szCs w:val="24"/>
          <w:lang w:val="ro-MD"/>
        </w:rPr>
        <w:t>.</w:t>
      </w:r>
    </w:p>
    <w:p w:rsidR="00DC023D" w:rsidRPr="003C5E92" w:rsidRDefault="00453997" w:rsidP="00B51350">
      <w:pPr>
        <w:pStyle w:val="Heading3"/>
        <w:jc w:val="both"/>
        <w:rPr>
          <w:rFonts w:eastAsia="Times New Roman" w:cstheme="majorHAnsi"/>
          <w:b/>
          <w:color w:val="000000" w:themeColor="text1"/>
          <w:lang w:val="ro-MD"/>
        </w:rPr>
      </w:pPr>
      <w:bookmarkStart w:id="12" w:name="_Toc10126084"/>
      <w:r>
        <w:rPr>
          <w:rFonts w:eastAsia="Times New Roman" w:cstheme="majorHAnsi"/>
          <w:b/>
          <w:color w:val="000000" w:themeColor="text1"/>
          <w:lang w:val="ro-MD"/>
        </w:rPr>
        <w:t>3.2</w:t>
      </w:r>
      <w:r w:rsidR="005537C7">
        <w:rPr>
          <w:rFonts w:eastAsia="Times New Roman" w:cstheme="majorHAnsi"/>
          <w:b/>
          <w:color w:val="000000" w:themeColor="text1"/>
          <w:lang w:val="ro-MD"/>
        </w:rPr>
        <w:t>.4</w:t>
      </w:r>
      <w:r w:rsidR="00DC023D" w:rsidRPr="003C5E92">
        <w:rPr>
          <w:rFonts w:eastAsia="Times New Roman" w:cstheme="majorHAnsi"/>
          <w:b/>
          <w:color w:val="000000" w:themeColor="text1"/>
          <w:lang w:val="ro-MD"/>
        </w:rPr>
        <w:t xml:space="preserve"> </w:t>
      </w:r>
      <w:r w:rsidR="008E1CB3">
        <w:rPr>
          <w:rFonts w:eastAsia="Times New Roman" w:cstheme="majorHAnsi"/>
          <w:b/>
          <w:color w:val="000000" w:themeColor="text1"/>
          <w:lang w:val="ro-MD"/>
        </w:rPr>
        <w:t>Corectitudinea r</w:t>
      </w:r>
      <w:r w:rsidR="00D4665E">
        <w:rPr>
          <w:rFonts w:eastAsia="Times New Roman" w:cstheme="majorHAnsi"/>
          <w:b/>
          <w:color w:val="000000" w:themeColor="text1"/>
          <w:lang w:val="ro-MD"/>
        </w:rPr>
        <w:t>aportării sumelor provenite din p</w:t>
      </w:r>
      <w:r w:rsidR="00DC023D" w:rsidRPr="003C5E92">
        <w:rPr>
          <w:rFonts w:eastAsia="Times New Roman" w:cstheme="majorHAnsi"/>
          <w:b/>
          <w:color w:val="000000" w:themeColor="text1"/>
          <w:lang w:val="ro-MD"/>
        </w:rPr>
        <w:t>rivatizarea proprietății publice de stat</w:t>
      </w:r>
      <w:r w:rsidR="00F46955">
        <w:rPr>
          <w:rFonts w:eastAsia="Times New Roman" w:cstheme="majorHAnsi"/>
          <w:b/>
          <w:color w:val="000000" w:themeColor="text1"/>
          <w:lang w:val="ro-MD"/>
        </w:rPr>
        <w:t xml:space="preserve"> este afectată</w:t>
      </w:r>
      <w:r w:rsidR="00E63E49">
        <w:rPr>
          <w:rFonts w:eastAsia="Times New Roman" w:cstheme="majorHAnsi"/>
          <w:b/>
          <w:color w:val="000000" w:themeColor="text1"/>
          <w:lang w:val="ro-MD"/>
        </w:rPr>
        <w:t>.</w:t>
      </w:r>
      <w:bookmarkEnd w:id="12"/>
    </w:p>
    <w:p w:rsidR="00DC023D" w:rsidRPr="0074222F" w:rsidRDefault="00DC023D" w:rsidP="008012D7">
      <w:pPr>
        <w:widowControl w:val="0"/>
        <w:spacing w:after="0" w:line="276" w:lineRule="auto"/>
        <w:ind w:right="-1"/>
        <w:jc w:val="both"/>
        <w:rPr>
          <w:rFonts w:asciiTheme="majorHAnsi" w:eastAsia="Times New Roman" w:hAnsiTheme="majorHAnsi" w:cstheme="majorHAnsi"/>
          <w:color w:val="000000"/>
          <w:sz w:val="24"/>
          <w:szCs w:val="24"/>
          <w:lang w:eastAsia="ru-RU" w:bidi="ro-RO"/>
        </w:rPr>
      </w:pPr>
      <w:r>
        <w:rPr>
          <w:rFonts w:asciiTheme="majorHAnsi" w:eastAsia="Times New Roman" w:hAnsiTheme="majorHAnsi" w:cstheme="majorHAnsi"/>
          <w:color w:val="000000"/>
          <w:sz w:val="24"/>
          <w:szCs w:val="24"/>
          <w:lang w:eastAsia="ru-RU" w:bidi="ro-RO"/>
        </w:rPr>
        <w:t>P</w:t>
      </w:r>
      <w:r w:rsidRPr="00570364">
        <w:rPr>
          <w:rFonts w:asciiTheme="majorHAnsi" w:eastAsia="Times New Roman" w:hAnsiTheme="majorHAnsi" w:cstheme="majorHAnsi"/>
          <w:color w:val="000000"/>
          <w:sz w:val="24"/>
          <w:szCs w:val="24"/>
          <w:lang w:eastAsia="ru-RU" w:bidi="ro-RO"/>
        </w:rPr>
        <w:t>otrivit Legii bugetului de stat pe</w:t>
      </w:r>
      <w:r w:rsidR="00B417B3">
        <w:rPr>
          <w:rFonts w:asciiTheme="majorHAnsi" w:eastAsia="Times New Roman" w:hAnsiTheme="majorHAnsi" w:cstheme="majorHAnsi"/>
          <w:color w:val="000000"/>
          <w:sz w:val="24"/>
          <w:szCs w:val="24"/>
          <w:lang w:eastAsia="ru-RU" w:bidi="ro-RO"/>
        </w:rPr>
        <w:t>ntru</w:t>
      </w:r>
      <w:r w:rsidRPr="00570364">
        <w:rPr>
          <w:rFonts w:asciiTheme="majorHAnsi" w:eastAsia="Times New Roman" w:hAnsiTheme="majorHAnsi" w:cstheme="majorHAnsi"/>
          <w:color w:val="000000"/>
          <w:sz w:val="24"/>
          <w:szCs w:val="24"/>
          <w:lang w:eastAsia="ru-RU" w:bidi="ro-RO"/>
        </w:rPr>
        <w:t xml:space="preserve"> anul 2018, </w:t>
      </w:r>
      <w:r>
        <w:rPr>
          <w:rFonts w:asciiTheme="majorHAnsi" w:eastAsia="Times New Roman" w:hAnsiTheme="majorHAnsi" w:cstheme="majorHAnsi"/>
          <w:color w:val="000000"/>
          <w:sz w:val="24"/>
          <w:szCs w:val="24"/>
          <w:lang w:eastAsia="ru-RU" w:bidi="ro-RO"/>
        </w:rPr>
        <w:t>au fost prevăzute venituri ce</w:t>
      </w:r>
      <w:r w:rsidRPr="00570364">
        <w:rPr>
          <w:rFonts w:asciiTheme="majorHAnsi" w:eastAsia="Times New Roman" w:hAnsiTheme="majorHAnsi" w:cstheme="majorHAnsi"/>
          <w:color w:val="000000"/>
          <w:sz w:val="24"/>
          <w:szCs w:val="24"/>
          <w:lang w:eastAsia="ru-RU" w:bidi="ro-RO"/>
        </w:rPr>
        <w:t xml:space="preserve"> urmau a fi încasate</w:t>
      </w:r>
      <w:r w:rsidRPr="00570364">
        <w:rPr>
          <w:rFonts w:asciiTheme="majorHAnsi" w:eastAsia="Times New Roman" w:hAnsiTheme="majorHAnsi" w:cstheme="majorHAnsi"/>
          <w:b/>
          <w:color w:val="000000"/>
          <w:sz w:val="24"/>
          <w:szCs w:val="24"/>
          <w:lang w:eastAsia="ru-RU" w:bidi="ro-RO"/>
        </w:rPr>
        <w:t xml:space="preserve"> </w:t>
      </w:r>
      <w:r w:rsidR="00D22EB5">
        <w:rPr>
          <w:rFonts w:asciiTheme="majorHAnsi" w:eastAsia="Times New Roman" w:hAnsiTheme="majorHAnsi" w:cstheme="majorHAnsi"/>
          <w:color w:val="000000"/>
          <w:sz w:val="24"/>
          <w:szCs w:val="24"/>
          <w:lang w:eastAsia="ru-RU" w:bidi="ro-RO"/>
        </w:rPr>
        <w:t>în</w:t>
      </w:r>
      <w:r w:rsidRPr="00570364">
        <w:rPr>
          <w:rFonts w:asciiTheme="majorHAnsi" w:eastAsia="Times New Roman" w:hAnsiTheme="majorHAnsi" w:cstheme="majorHAnsi"/>
          <w:color w:val="000000"/>
          <w:sz w:val="24"/>
          <w:szCs w:val="24"/>
          <w:lang w:eastAsia="ru-RU" w:bidi="ro-RO"/>
        </w:rPr>
        <w:t xml:space="preserve"> </w:t>
      </w:r>
      <w:r>
        <w:rPr>
          <w:rFonts w:asciiTheme="majorHAnsi" w:eastAsia="Times New Roman" w:hAnsiTheme="majorHAnsi" w:cstheme="majorHAnsi"/>
          <w:color w:val="000000"/>
          <w:sz w:val="24"/>
          <w:szCs w:val="24"/>
          <w:lang w:eastAsia="ru-RU" w:bidi="ro-RO"/>
        </w:rPr>
        <w:t>BS</w:t>
      </w:r>
      <w:r w:rsidRPr="00570364">
        <w:rPr>
          <w:rFonts w:asciiTheme="majorHAnsi" w:eastAsia="Times New Roman" w:hAnsiTheme="majorHAnsi" w:cstheme="majorHAnsi"/>
          <w:color w:val="000000"/>
          <w:sz w:val="24"/>
          <w:szCs w:val="24"/>
          <w:lang w:eastAsia="ru-RU" w:bidi="ro-RO"/>
        </w:rPr>
        <w:t xml:space="preserve"> din privatizarea proprietății publice de stat, în mărime de 390,0 mil.</w:t>
      </w:r>
      <w:r>
        <w:rPr>
          <w:rFonts w:asciiTheme="majorHAnsi" w:eastAsia="Times New Roman" w:hAnsiTheme="majorHAnsi" w:cstheme="majorHAnsi"/>
          <w:color w:val="000000"/>
          <w:sz w:val="24"/>
          <w:szCs w:val="24"/>
          <w:lang w:eastAsia="ru-RU" w:bidi="ro-RO"/>
        </w:rPr>
        <w:t xml:space="preserve"> </w:t>
      </w:r>
      <w:r w:rsidR="007160B9">
        <w:rPr>
          <w:rFonts w:asciiTheme="majorHAnsi" w:eastAsia="Times New Roman" w:hAnsiTheme="majorHAnsi" w:cstheme="majorHAnsi"/>
          <w:color w:val="000000"/>
          <w:sz w:val="24"/>
          <w:szCs w:val="24"/>
          <w:lang w:eastAsia="ru-RU" w:bidi="ro-RO"/>
        </w:rPr>
        <w:t>MDL</w:t>
      </w:r>
      <w:r w:rsidRPr="00570364">
        <w:rPr>
          <w:rFonts w:asciiTheme="majorHAnsi" w:eastAsia="Times New Roman" w:hAnsiTheme="majorHAnsi" w:cstheme="majorHAnsi"/>
          <w:color w:val="000000"/>
          <w:sz w:val="24"/>
          <w:szCs w:val="24"/>
          <w:lang w:eastAsia="ru-RU" w:bidi="ro-RO"/>
        </w:rPr>
        <w:t>.</w:t>
      </w:r>
      <w:r>
        <w:rPr>
          <w:rFonts w:asciiTheme="majorHAnsi" w:eastAsia="Times New Roman" w:hAnsiTheme="majorHAnsi" w:cstheme="majorHAnsi"/>
          <w:color w:val="000000"/>
          <w:sz w:val="24"/>
          <w:szCs w:val="24"/>
          <w:lang w:eastAsia="ru-RU" w:bidi="ro-RO"/>
        </w:rPr>
        <w:t xml:space="preserve"> Astfel, î</w:t>
      </w:r>
      <w:r w:rsidRPr="00570364">
        <w:rPr>
          <w:rFonts w:asciiTheme="majorHAnsi" w:eastAsia="Times New Roman" w:hAnsiTheme="majorHAnsi" w:cstheme="majorHAnsi"/>
          <w:color w:val="000000"/>
          <w:sz w:val="24"/>
          <w:szCs w:val="24"/>
          <w:lang w:eastAsia="ru-RU" w:bidi="ro-RO"/>
        </w:rPr>
        <w:t xml:space="preserve">n bugetul de stat au fost încasate mijloace bănești </w:t>
      </w:r>
      <w:r w:rsidR="00830BB7">
        <w:rPr>
          <w:rFonts w:asciiTheme="majorHAnsi" w:eastAsia="Times New Roman" w:hAnsiTheme="majorHAnsi" w:cstheme="majorHAnsi"/>
          <w:color w:val="000000"/>
          <w:sz w:val="24"/>
          <w:szCs w:val="24"/>
          <w:lang w:eastAsia="ru-RU" w:bidi="ro-RO"/>
        </w:rPr>
        <w:t>ca</w:t>
      </w:r>
      <w:r w:rsidRPr="00570364">
        <w:rPr>
          <w:rFonts w:asciiTheme="majorHAnsi" w:eastAsia="Times New Roman" w:hAnsiTheme="majorHAnsi" w:cstheme="majorHAnsi"/>
          <w:color w:val="000000"/>
          <w:sz w:val="24"/>
          <w:szCs w:val="24"/>
          <w:lang w:eastAsia="ru-RU" w:bidi="ro-RO"/>
        </w:rPr>
        <w:t xml:space="preserve"> rezultat</w:t>
      </w:r>
      <w:r w:rsidR="00830BB7">
        <w:rPr>
          <w:rFonts w:asciiTheme="majorHAnsi" w:eastAsia="Times New Roman" w:hAnsiTheme="majorHAnsi" w:cstheme="majorHAnsi"/>
          <w:color w:val="000000"/>
          <w:sz w:val="24"/>
          <w:szCs w:val="24"/>
          <w:lang w:eastAsia="ru-RU" w:bidi="ro-RO"/>
        </w:rPr>
        <w:t xml:space="preserve"> a</w:t>
      </w:r>
      <w:r w:rsidRPr="00570364">
        <w:rPr>
          <w:rFonts w:asciiTheme="majorHAnsi" w:eastAsia="Times New Roman" w:hAnsiTheme="majorHAnsi" w:cstheme="majorHAnsi"/>
          <w:color w:val="000000"/>
          <w:sz w:val="24"/>
          <w:szCs w:val="24"/>
          <w:lang w:eastAsia="ru-RU" w:bidi="ro-RO"/>
        </w:rPr>
        <w:t xml:space="preserve">l privatizării proprietății statului în sumă totală de 350,4 mil. </w:t>
      </w:r>
      <w:r w:rsidR="007160B9">
        <w:rPr>
          <w:rFonts w:asciiTheme="majorHAnsi" w:eastAsia="Times New Roman" w:hAnsiTheme="majorHAnsi" w:cstheme="majorHAnsi"/>
          <w:color w:val="000000"/>
          <w:sz w:val="24"/>
          <w:szCs w:val="24"/>
          <w:lang w:eastAsia="ru-RU" w:bidi="ro-RO"/>
        </w:rPr>
        <w:t>MDL</w:t>
      </w:r>
      <w:r w:rsidR="00830BB7">
        <w:rPr>
          <w:rFonts w:asciiTheme="majorHAnsi" w:eastAsia="Times New Roman" w:hAnsiTheme="majorHAnsi" w:cstheme="majorHAnsi"/>
          <w:color w:val="000000"/>
          <w:sz w:val="24"/>
          <w:szCs w:val="24"/>
          <w:lang w:eastAsia="ru-RU" w:bidi="ro-RO"/>
        </w:rPr>
        <w:t>,</w:t>
      </w:r>
      <w:r w:rsidRPr="00570364">
        <w:rPr>
          <w:rFonts w:asciiTheme="majorHAnsi" w:eastAsia="Times New Roman" w:hAnsiTheme="majorHAnsi" w:cstheme="majorHAnsi"/>
          <w:color w:val="000000"/>
          <w:sz w:val="24"/>
          <w:szCs w:val="24"/>
          <w:lang w:eastAsia="ru-RU" w:bidi="ro-RO"/>
        </w:rPr>
        <w:t xml:space="preserve"> </w:t>
      </w:r>
      <w:r>
        <w:rPr>
          <w:rFonts w:asciiTheme="majorHAnsi" w:eastAsia="Times New Roman" w:hAnsiTheme="majorHAnsi" w:cstheme="majorHAnsi"/>
          <w:color w:val="000000"/>
          <w:sz w:val="24"/>
          <w:szCs w:val="24"/>
          <w:lang w:eastAsia="ru-RU" w:bidi="ro-RO"/>
        </w:rPr>
        <w:t xml:space="preserve">sau la nivel de 89,8% </w:t>
      </w:r>
      <w:r w:rsidRPr="00570364">
        <w:rPr>
          <w:rFonts w:asciiTheme="majorHAnsi" w:eastAsia="Times New Roman" w:hAnsiTheme="majorHAnsi" w:cstheme="majorHAnsi"/>
          <w:color w:val="000000"/>
          <w:sz w:val="24"/>
          <w:szCs w:val="24"/>
          <w:lang w:eastAsia="ru-RU" w:bidi="ro-RO"/>
        </w:rPr>
        <w:t>(cu excepția vânzării pachetului de acțiuni nou-emise de banca de importanță sistemică</w:t>
      </w:r>
      <w:r>
        <w:rPr>
          <w:rFonts w:asciiTheme="majorHAnsi" w:eastAsia="Times New Roman" w:hAnsiTheme="majorHAnsi" w:cstheme="majorHAnsi"/>
          <w:color w:val="000000"/>
          <w:sz w:val="24"/>
          <w:szCs w:val="24"/>
          <w:lang w:eastAsia="ru-RU" w:bidi="ro-RO"/>
        </w:rPr>
        <w:t xml:space="preserve"> </w:t>
      </w:r>
      <w:r w:rsidR="00830BB7">
        <w:rPr>
          <w:rFonts w:asciiTheme="majorHAnsi" w:eastAsia="Times New Roman" w:hAnsiTheme="majorHAnsi" w:cstheme="majorHAnsi"/>
          <w:color w:val="000000"/>
          <w:sz w:val="24"/>
          <w:szCs w:val="24"/>
          <w:lang w:eastAsia="ru-RU" w:bidi="ro-RO"/>
        </w:rPr>
        <w:t xml:space="preserve">în sumă de </w:t>
      </w:r>
      <w:r>
        <w:rPr>
          <w:rFonts w:asciiTheme="majorHAnsi" w:eastAsia="Times New Roman" w:hAnsiTheme="majorHAnsi" w:cstheme="majorHAnsi"/>
          <w:color w:val="000000"/>
          <w:sz w:val="24"/>
          <w:szCs w:val="24"/>
          <w:lang w:eastAsia="ru-RU" w:bidi="ro-RO"/>
        </w:rPr>
        <w:t xml:space="preserve">451,5 mil. </w:t>
      </w:r>
      <w:r w:rsidR="007160B9">
        <w:rPr>
          <w:rFonts w:asciiTheme="majorHAnsi" w:eastAsia="Times New Roman" w:hAnsiTheme="majorHAnsi" w:cstheme="majorHAnsi"/>
          <w:color w:val="000000"/>
          <w:sz w:val="24"/>
          <w:szCs w:val="24"/>
          <w:lang w:eastAsia="ru-RU" w:bidi="ro-RO"/>
        </w:rPr>
        <w:t>MDL</w:t>
      </w:r>
      <w:r>
        <w:rPr>
          <w:rFonts w:asciiTheme="majorHAnsi" w:eastAsia="Times New Roman" w:hAnsiTheme="majorHAnsi" w:cstheme="majorHAnsi"/>
          <w:color w:val="000000"/>
          <w:sz w:val="24"/>
          <w:szCs w:val="24"/>
          <w:lang w:eastAsia="ru-RU" w:bidi="ro-RO"/>
        </w:rPr>
        <w:t>).</w:t>
      </w:r>
      <w:r w:rsidR="0074222F">
        <w:rPr>
          <w:rFonts w:asciiTheme="majorHAnsi" w:eastAsia="Times New Roman" w:hAnsiTheme="majorHAnsi" w:cstheme="majorHAnsi"/>
          <w:color w:val="000000"/>
          <w:sz w:val="24"/>
          <w:szCs w:val="24"/>
          <w:lang w:eastAsia="ru-RU" w:bidi="ro-RO"/>
        </w:rPr>
        <w:t xml:space="preserve"> </w:t>
      </w:r>
      <w:r w:rsidRPr="005A04A7">
        <w:rPr>
          <w:rFonts w:asciiTheme="majorHAnsi" w:eastAsia="Times New Roman" w:hAnsiTheme="majorHAnsi" w:cstheme="majorHAnsi"/>
          <w:sz w:val="24"/>
          <w:szCs w:val="24"/>
          <w:lang w:val="ro-MD"/>
        </w:rPr>
        <w:t>Concomitent</w:t>
      </w:r>
      <w:r w:rsidR="00830BB7">
        <w:rPr>
          <w:rFonts w:asciiTheme="majorHAnsi" w:eastAsia="Times New Roman" w:hAnsiTheme="majorHAnsi" w:cstheme="majorHAnsi"/>
          <w:sz w:val="24"/>
          <w:szCs w:val="24"/>
          <w:lang w:val="ro-MD"/>
        </w:rPr>
        <w:t>,</w:t>
      </w:r>
      <w:r w:rsidRPr="005A04A7">
        <w:rPr>
          <w:rFonts w:asciiTheme="majorHAnsi" w:eastAsia="Times New Roman" w:hAnsiTheme="majorHAnsi" w:cstheme="majorHAnsi"/>
          <w:sz w:val="24"/>
          <w:szCs w:val="24"/>
          <w:lang w:val="ro-MD"/>
        </w:rPr>
        <w:t xml:space="preserve"> menționăm că, în BS au fost achitate mijloace financiare în sumă de 8,2 mil. </w:t>
      </w:r>
      <w:r w:rsidR="007160B9">
        <w:rPr>
          <w:rFonts w:asciiTheme="majorHAnsi" w:eastAsia="Times New Roman" w:hAnsiTheme="majorHAnsi" w:cstheme="majorHAnsi"/>
          <w:sz w:val="24"/>
          <w:szCs w:val="24"/>
          <w:lang w:val="ro-MD"/>
        </w:rPr>
        <w:t>MDL</w:t>
      </w:r>
      <w:r w:rsidRPr="005A04A7">
        <w:rPr>
          <w:rFonts w:asciiTheme="majorHAnsi" w:eastAsia="Times New Roman" w:hAnsiTheme="majorHAnsi" w:cstheme="majorHAnsi"/>
          <w:sz w:val="24"/>
          <w:szCs w:val="24"/>
          <w:lang w:val="ro-MD"/>
        </w:rPr>
        <w:t>, ce</w:t>
      </w:r>
      <w:r w:rsidR="00830BB7">
        <w:rPr>
          <w:rFonts w:asciiTheme="majorHAnsi" w:eastAsia="Times New Roman" w:hAnsiTheme="majorHAnsi" w:cstheme="majorHAnsi"/>
          <w:sz w:val="24"/>
          <w:szCs w:val="24"/>
          <w:lang w:val="ro-MD"/>
        </w:rPr>
        <w:t>e</w:t>
      </w:r>
      <w:r w:rsidRPr="005A04A7">
        <w:rPr>
          <w:rFonts w:asciiTheme="majorHAnsi" w:eastAsia="Times New Roman" w:hAnsiTheme="majorHAnsi" w:cstheme="majorHAnsi"/>
          <w:sz w:val="24"/>
          <w:szCs w:val="24"/>
          <w:lang w:val="ro-MD"/>
        </w:rPr>
        <w:t xml:space="preserve">a ce reprezintă 1% </w:t>
      </w:r>
      <w:r w:rsidR="00830BB7">
        <w:rPr>
          <w:rFonts w:asciiTheme="majorHAnsi" w:eastAsia="Times New Roman" w:hAnsiTheme="majorHAnsi" w:cstheme="majorHAnsi"/>
          <w:sz w:val="24"/>
          <w:szCs w:val="24"/>
          <w:lang w:val="ro-MD"/>
        </w:rPr>
        <w:t>din</w:t>
      </w:r>
      <w:r w:rsidRPr="005A04A7">
        <w:rPr>
          <w:rFonts w:asciiTheme="majorHAnsi" w:eastAsia="Times New Roman" w:hAnsiTheme="majorHAnsi" w:cstheme="majorHAnsi"/>
          <w:sz w:val="24"/>
          <w:szCs w:val="24"/>
          <w:lang w:val="ro-MD"/>
        </w:rPr>
        <w:t xml:space="preserve"> valoarea de achiziție a bunurilor proprietate </w:t>
      </w:r>
      <w:r w:rsidRPr="006526D1">
        <w:rPr>
          <w:rFonts w:asciiTheme="majorHAnsi" w:eastAsia="Times New Roman" w:hAnsiTheme="majorHAnsi" w:cstheme="majorHAnsi"/>
          <w:sz w:val="24"/>
          <w:szCs w:val="24"/>
          <w:lang w:val="ro-MD"/>
        </w:rPr>
        <w:t xml:space="preserve">publică în procesul privatizării </w:t>
      </w:r>
      <w:r w:rsidRPr="006526D1">
        <w:rPr>
          <w:rFonts w:asciiTheme="majorHAnsi" w:eastAsia="Times New Roman" w:hAnsiTheme="majorHAnsi" w:cstheme="majorHAnsi"/>
          <w:i/>
          <w:sz w:val="24"/>
          <w:szCs w:val="24"/>
          <w:lang w:val="ro-MD"/>
        </w:rPr>
        <w:t>(impozit privat</w:t>
      </w:r>
      <w:r w:rsidRPr="005A04A7">
        <w:rPr>
          <w:rFonts w:asciiTheme="majorHAnsi" w:eastAsia="Times New Roman" w:hAnsiTheme="majorHAnsi" w:cstheme="majorHAnsi"/>
          <w:i/>
          <w:sz w:val="24"/>
          <w:szCs w:val="24"/>
          <w:lang w:val="ro-MD"/>
        </w:rPr>
        <w:t>)</w:t>
      </w:r>
      <w:r w:rsidRPr="005A04A7">
        <w:rPr>
          <w:rFonts w:asciiTheme="majorHAnsi" w:eastAsia="Times New Roman" w:hAnsiTheme="majorHAnsi" w:cstheme="majorHAnsi"/>
          <w:sz w:val="24"/>
          <w:szCs w:val="24"/>
          <w:lang w:val="ro-MD"/>
        </w:rPr>
        <w:t>, prevăzut de Legea bugetului de stat pentru anul 2018.</w:t>
      </w:r>
      <w:r w:rsidR="00793C62">
        <w:rPr>
          <w:rFonts w:asciiTheme="majorHAnsi" w:eastAsia="Times New Roman" w:hAnsiTheme="majorHAnsi" w:cstheme="majorHAnsi"/>
          <w:sz w:val="24"/>
          <w:szCs w:val="24"/>
          <w:lang w:val="ro-MD"/>
        </w:rPr>
        <w:t xml:space="preserve"> </w:t>
      </w:r>
      <w:r w:rsidRPr="005A04A7">
        <w:rPr>
          <w:rFonts w:asciiTheme="majorHAnsi" w:eastAsia="Times New Roman" w:hAnsiTheme="majorHAnsi" w:cstheme="majorHAnsi"/>
          <w:sz w:val="24"/>
          <w:szCs w:val="24"/>
          <w:lang w:val="ro-MD"/>
        </w:rPr>
        <w:t xml:space="preserve"> </w:t>
      </w:r>
    </w:p>
    <w:p w:rsidR="00DC023D" w:rsidRDefault="00830BB7" w:rsidP="00DC023D">
      <w:pPr>
        <w:spacing w:after="0" w:line="276" w:lineRule="auto"/>
        <w:ind w:firstLine="709"/>
        <w:jc w:val="both"/>
        <w:rPr>
          <w:rFonts w:asciiTheme="majorHAnsi" w:eastAsia="Times New Roman" w:hAnsiTheme="majorHAnsi" w:cstheme="majorHAnsi"/>
          <w:i/>
          <w:iCs/>
          <w:sz w:val="24"/>
          <w:szCs w:val="24"/>
          <w:lang w:val="ro-MD"/>
        </w:rPr>
      </w:pPr>
      <w:r>
        <w:rPr>
          <w:rFonts w:asciiTheme="majorHAnsi" w:eastAsia="Times New Roman" w:hAnsiTheme="majorHAnsi" w:cstheme="majorHAnsi"/>
          <w:sz w:val="24"/>
          <w:szCs w:val="24"/>
          <w:lang w:val="ro-MD"/>
        </w:rPr>
        <w:t>Pentru</w:t>
      </w:r>
      <w:r w:rsidR="00DC023D" w:rsidRPr="005A04A7">
        <w:rPr>
          <w:rFonts w:asciiTheme="majorHAnsi" w:eastAsia="Times New Roman" w:hAnsiTheme="majorHAnsi" w:cstheme="majorHAnsi"/>
          <w:sz w:val="24"/>
          <w:szCs w:val="24"/>
          <w:lang w:val="ro-MD"/>
        </w:rPr>
        <w:t xml:space="preserve"> realizarea prevederilor Legii nr.121-XVI din 04</w:t>
      </w:r>
      <w:r w:rsidR="00F871FB">
        <w:rPr>
          <w:rFonts w:asciiTheme="majorHAnsi" w:eastAsia="Times New Roman" w:hAnsiTheme="majorHAnsi" w:cstheme="majorHAnsi"/>
          <w:sz w:val="24"/>
          <w:szCs w:val="24"/>
          <w:lang w:val="ro-MD"/>
        </w:rPr>
        <w:t>.05.</w:t>
      </w:r>
      <w:r w:rsidR="00DC023D" w:rsidRPr="005A04A7">
        <w:rPr>
          <w:rFonts w:asciiTheme="majorHAnsi" w:eastAsia="Times New Roman" w:hAnsiTheme="majorHAnsi" w:cstheme="majorHAnsi"/>
          <w:sz w:val="24"/>
          <w:szCs w:val="24"/>
          <w:lang w:val="ro-MD"/>
        </w:rPr>
        <w:t xml:space="preserve">2007 privind administrarea și </w:t>
      </w:r>
      <w:proofErr w:type="spellStart"/>
      <w:r w:rsidR="00DC023D" w:rsidRPr="005A04A7">
        <w:rPr>
          <w:rFonts w:asciiTheme="majorHAnsi" w:eastAsia="Times New Roman" w:hAnsiTheme="majorHAnsi" w:cstheme="majorHAnsi"/>
          <w:sz w:val="24"/>
          <w:szCs w:val="24"/>
          <w:lang w:val="ro-MD"/>
        </w:rPr>
        <w:t>deetatizarea</w:t>
      </w:r>
      <w:proofErr w:type="spellEnd"/>
      <w:r w:rsidR="00DC023D" w:rsidRPr="005A04A7">
        <w:rPr>
          <w:rFonts w:asciiTheme="majorHAnsi" w:eastAsia="Times New Roman" w:hAnsiTheme="majorHAnsi" w:cstheme="majorHAnsi"/>
          <w:sz w:val="24"/>
          <w:szCs w:val="24"/>
          <w:lang w:val="ro-MD"/>
        </w:rPr>
        <w:t xml:space="preserve"> proprietății publice și actelor normative aferente executării legii, pe parcursul anului 2018</w:t>
      </w:r>
      <w:r w:rsidR="008A1F26">
        <w:rPr>
          <w:rFonts w:asciiTheme="majorHAnsi" w:eastAsia="Times New Roman" w:hAnsiTheme="majorHAnsi" w:cstheme="majorHAnsi"/>
          <w:sz w:val="24"/>
          <w:szCs w:val="24"/>
          <w:lang w:val="ro-MD"/>
        </w:rPr>
        <w:t>,</w:t>
      </w:r>
      <w:r w:rsidR="00DC023D" w:rsidRPr="005A04A7">
        <w:rPr>
          <w:rFonts w:asciiTheme="majorHAnsi" w:eastAsia="Times New Roman" w:hAnsiTheme="majorHAnsi" w:cstheme="majorHAnsi"/>
          <w:sz w:val="24"/>
          <w:szCs w:val="24"/>
          <w:lang w:val="ro-MD"/>
        </w:rPr>
        <w:t xml:space="preserve"> APP a organizat și desfășurat </w:t>
      </w:r>
      <w:r w:rsidR="00107E07">
        <w:rPr>
          <w:rFonts w:asciiTheme="majorHAnsi" w:eastAsia="Times New Roman" w:hAnsiTheme="majorHAnsi" w:cstheme="majorHAnsi"/>
          <w:sz w:val="24"/>
          <w:szCs w:val="24"/>
          <w:lang w:val="ro-MD"/>
        </w:rPr>
        <w:t>concursuri comerciale, concursuri investiționale, licitații cu strigare,</w:t>
      </w:r>
      <w:r w:rsidR="00DC023D" w:rsidRPr="005A04A7">
        <w:rPr>
          <w:rFonts w:asciiTheme="majorHAnsi" w:eastAsia="Times New Roman" w:hAnsiTheme="majorHAnsi" w:cstheme="majorHAnsi"/>
          <w:sz w:val="24"/>
          <w:szCs w:val="24"/>
          <w:lang w:val="ro-MD"/>
        </w:rPr>
        <w:t xml:space="preserve"> runde de licitații</w:t>
      </w:r>
      <w:r w:rsidR="00793C62">
        <w:rPr>
          <w:rFonts w:asciiTheme="majorHAnsi" w:eastAsia="Times New Roman" w:hAnsiTheme="majorHAnsi" w:cstheme="majorHAnsi"/>
          <w:sz w:val="24"/>
          <w:szCs w:val="24"/>
          <w:lang w:val="ro-MD"/>
        </w:rPr>
        <w:t xml:space="preserve"> </w:t>
      </w:r>
      <w:r w:rsidR="00DC023D" w:rsidRPr="005A04A7">
        <w:rPr>
          <w:rFonts w:asciiTheme="majorHAnsi" w:eastAsia="Times New Roman" w:hAnsiTheme="majorHAnsi" w:cstheme="majorHAnsi"/>
          <w:sz w:val="24"/>
          <w:szCs w:val="24"/>
          <w:lang w:val="ro-MD"/>
        </w:rPr>
        <w:t>pe piața reglementată a Bursei de Valori, în cadrul cărora</w:t>
      </w:r>
      <w:r w:rsidR="00793C62">
        <w:rPr>
          <w:rFonts w:asciiTheme="majorHAnsi" w:eastAsia="Times New Roman" w:hAnsiTheme="majorHAnsi" w:cstheme="majorHAnsi"/>
          <w:sz w:val="24"/>
          <w:szCs w:val="24"/>
          <w:lang w:val="ro-MD"/>
        </w:rPr>
        <w:t xml:space="preserve"> </w:t>
      </w:r>
      <w:r w:rsidR="00DC023D" w:rsidRPr="005A04A7">
        <w:rPr>
          <w:rFonts w:asciiTheme="majorHAnsi" w:eastAsia="Times New Roman" w:hAnsiTheme="majorHAnsi" w:cstheme="majorHAnsi"/>
          <w:sz w:val="24"/>
          <w:szCs w:val="24"/>
          <w:lang w:val="ro-MD"/>
        </w:rPr>
        <w:t xml:space="preserve">au fost expuse la privatizare 70 </w:t>
      </w:r>
      <w:r>
        <w:rPr>
          <w:rFonts w:asciiTheme="majorHAnsi" w:eastAsia="Times New Roman" w:hAnsiTheme="majorHAnsi" w:cstheme="majorHAnsi"/>
          <w:sz w:val="24"/>
          <w:szCs w:val="24"/>
          <w:lang w:val="ro-MD"/>
        </w:rPr>
        <w:t xml:space="preserve">de </w:t>
      </w:r>
      <w:r w:rsidR="00DC023D" w:rsidRPr="005A04A7">
        <w:rPr>
          <w:rFonts w:asciiTheme="majorHAnsi" w:eastAsia="Times New Roman" w:hAnsiTheme="majorHAnsi" w:cstheme="majorHAnsi"/>
          <w:sz w:val="24"/>
          <w:szCs w:val="24"/>
          <w:lang w:val="ro-MD"/>
        </w:rPr>
        <w:t>bunuri proprietate publică de stat.</w:t>
      </w:r>
      <w:r w:rsidR="00DC023D" w:rsidRPr="005A04A7">
        <w:rPr>
          <w:rFonts w:asciiTheme="majorHAnsi" w:eastAsia="Times New Roman" w:hAnsiTheme="majorHAnsi" w:cstheme="majorHAnsi"/>
          <w:color w:val="3B3B3B"/>
          <w:sz w:val="24"/>
          <w:szCs w:val="24"/>
          <w:bdr w:val="none" w:sz="0" w:space="0" w:color="auto" w:frame="1"/>
          <w:lang w:val="ro-MD"/>
        </w:rPr>
        <w:t xml:space="preserve"> </w:t>
      </w:r>
      <w:r w:rsidR="00DC023D" w:rsidRPr="005A04A7">
        <w:rPr>
          <w:rFonts w:asciiTheme="majorHAnsi" w:eastAsia="Times New Roman" w:hAnsiTheme="majorHAnsi" w:cstheme="majorHAnsi"/>
          <w:sz w:val="24"/>
          <w:szCs w:val="24"/>
          <w:lang w:val="ro-MD"/>
        </w:rPr>
        <w:t xml:space="preserve">Drept rezultat, au fost privatizate: </w:t>
      </w:r>
      <w:r w:rsidR="00DC023D" w:rsidRPr="003D770E">
        <w:rPr>
          <w:rFonts w:asciiTheme="majorHAnsi" w:eastAsia="Times New Roman" w:hAnsiTheme="majorHAnsi" w:cstheme="majorHAnsi"/>
          <w:iCs/>
          <w:sz w:val="24"/>
          <w:szCs w:val="24"/>
          <w:lang w:val="ro-MD"/>
        </w:rPr>
        <w:t xml:space="preserve">5 pachete de acțiuni </w:t>
      </w:r>
      <w:r>
        <w:rPr>
          <w:rFonts w:asciiTheme="majorHAnsi" w:eastAsia="Times New Roman" w:hAnsiTheme="majorHAnsi" w:cstheme="majorHAnsi"/>
          <w:iCs/>
          <w:sz w:val="24"/>
          <w:szCs w:val="24"/>
          <w:lang w:val="ro-MD"/>
        </w:rPr>
        <w:t xml:space="preserve">în valoare de </w:t>
      </w:r>
      <w:r w:rsidR="00DC023D" w:rsidRPr="003D770E">
        <w:rPr>
          <w:rFonts w:asciiTheme="majorHAnsi" w:eastAsia="Times New Roman" w:hAnsiTheme="majorHAnsi" w:cstheme="majorHAnsi"/>
          <w:iCs/>
          <w:sz w:val="24"/>
          <w:szCs w:val="24"/>
          <w:lang w:val="ro-MD"/>
        </w:rPr>
        <w:t xml:space="preserve">47,5 mil. </w:t>
      </w:r>
      <w:r w:rsidR="007160B9">
        <w:rPr>
          <w:rFonts w:asciiTheme="majorHAnsi" w:eastAsia="Times New Roman" w:hAnsiTheme="majorHAnsi" w:cstheme="majorHAnsi"/>
          <w:iCs/>
          <w:sz w:val="24"/>
          <w:szCs w:val="24"/>
          <w:lang w:val="ro-MD"/>
        </w:rPr>
        <w:t>MDL</w:t>
      </w:r>
      <w:r w:rsidR="00DC023D" w:rsidRPr="003D770E">
        <w:rPr>
          <w:rFonts w:asciiTheme="majorHAnsi" w:eastAsia="Times New Roman" w:hAnsiTheme="majorHAnsi" w:cstheme="majorHAnsi"/>
          <w:iCs/>
          <w:sz w:val="24"/>
          <w:szCs w:val="24"/>
          <w:lang w:val="ro-MD"/>
        </w:rPr>
        <w:t xml:space="preserve"> și un pachet de acțiuni nou-emise de banca de importanță sistemică </w:t>
      </w:r>
      <w:r>
        <w:rPr>
          <w:rFonts w:asciiTheme="majorHAnsi" w:eastAsia="Times New Roman" w:hAnsiTheme="majorHAnsi" w:cstheme="majorHAnsi"/>
          <w:iCs/>
          <w:sz w:val="24"/>
          <w:szCs w:val="24"/>
          <w:lang w:val="ro-MD"/>
        </w:rPr>
        <w:t xml:space="preserve">în valoare de </w:t>
      </w:r>
      <w:r w:rsidR="00DC023D" w:rsidRPr="003D770E">
        <w:rPr>
          <w:rFonts w:asciiTheme="majorHAnsi" w:eastAsia="Times New Roman" w:hAnsiTheme="majorHAnsi" w:cstheme="majorHAnsi"/>
          <w:iCs/>
          <w:sz w:val="24"/>
          <w:szCs w:val="24"/>
          <w:lang w:val="ro-MD"/>
        </w:rPr>
        <w:t xml:space="preserve">451,5 mil. </w:t>
      </w:r>
      <w:r w:rsidR="007160B9">
        <w:rPr>
          <w:rFonts w:asciiTheme="majorHAnsi" w:eastAsia="Times New Roman" w:hAnsiTheme="majorHAnsi" w:cstheme="majorHAnsi"/>
          <w:iCs/>
          <w:sz w:val="24"/>
          <w:szCs w:val="24"/>
          <w:lang w:val="ro-MD"/>
        </w:rPr>
        <w:t>MDL</w:t>
      </w:r>
      <w:r w:rsidR="00DC023D" w:rsidRPr="003D770E">
        <w:rPr>
          <w:rFonts w:asciiTheme="majorHAnsi" w:eastAsia="Times New Roman" w:hAnsiTheme="majorHAnsi" w:cstheme="majorHAnsi"/>
          <w:iCs/>
          <w:sz w:val="24"/>
          <w:szCs w:val="24"/>
          <w:lang w:val="ro-MD"/>
        </w:rPr>
        <w:t>, 7 întreprinderi de stat (complexe patrimoniale unice</w:t>
      </w:r>
      <w:r>
        <w:rPr>
          <w:rFonts w:asciiTheme="majorHAnsi" w:eastAsia="Times New Roman" w:hAnsiTheme="majorHAnsi" w:cstheme="majorHAnsi"/>
          <w:iCs/>
          <w:sz w:val="24"/>
          <w:szCs w:val="24"/>
          <w:lang w:val="ro-MD"/>
        </w:rPr>
        <w:t>)</w:t>
      </w:r>
      <w:r w:rsidR="00DC023D" w:rsidRPr="003D770E">
        <w:rPr>
          <w:rFonts w:asciiTheme="majorHAnsi" w:eastAsia="Times New Roman" w:hAnsiTheme="majorHAnsi" w:cstheme="majorHAnsi"/>
          <w:iCs/>
          <w:sz w:val="24"/>
          <w:szCs w:val="24"/>
          <w:lang w:val="ro-MD"/>
        </w:rPr>
        <w:t xml:space="preserve"> </w:t>
      </w:r>
      <w:r>
        <w:rPr>
          <w:rFonts w:asciiTheme="majorHAnsi" w:eastAsia="Times New Roman" w:hAnsiTheme="majorHAnsi" w:cstheme="majorHAnsi"/>
          <w:iCs/>
          <w:sz w:val="24"/>
          <w:szCs w:val="24"/>
          <w:lang w:val="ro-MD"/>
        </w:rPr>
        <w:t xml:space="preserve">în valoare de </w:t>
      </w:r>
      <w:r w:rsidR="00DC023D" w:rsidRPr="003D770E">
        <w:rPr>
          <w:rFonts w:asciiTheme="majorHAnsi" w:eastAsia="Times New Roman" w:hAnsiTheme="majorHAnsi" w:cstheme="majorHAnsi"/>
          <w:iCs/>
          <w:sz w:val="24"/>
          <w:szCs w:val="24"/>
          <w:lang w:val="ro-MD"/>
        </w:rPr>
        <w:t xml:space="preserve">289,4 mil. </w:t>
      </w:r>
      <w:r w:rsidR="007160B9">
        <w:rPr>
          <w:rFonts w:asciiTheme="majorHAnsi" w:eastAsia="Times New Roman" w:hAnsiTheme="majorHAnsi" w:cstheme="majorHAnsi"/>
          <w:iCs/>
          <w:sz w:val="24"/>
          <w:szCs w:val="24"/>
          <w:lang w:val="ro-MD"/>
        </w:rPr>
        <w:t>MDL</w:t>
      </w:r>
      <w:r w:rsidR="00DC023D" w:rsidRPr="003D770E">
        <w:rPr>
          <w:rFonts w:asciiTheme="majorHAnsi" w:eastAsia="Times New Roman" w:hAnsiTheme="majorHAnsi" w:cstheme="majorHAnsi"/>
          <w:iCs/>
          <w:sz w:val="24"/>
          <w:szCs w:val="24"/>
          <w:lang w:val="ro-MD"/>
        </w:rPr>
        <w:t xml:space="preserve">, 7 complexe de bunuri imobile </w:t>
      </w:r>
      <w:r>
        <w:rPr>
          <w:rFonts w:asciiTheme="majorHAnsi" w:eastAsia="Times New Roman" w:hAnsiTheme="majorHAnsi" w:cstheme="majorHAnsi"/>
          <w:iCs/>
          <w:sz w:val="24"/>
          <w:szCs w:val="24"/>
          <w:lang w:val="ro-MD"/>
        </w:rPr>
        <w:t xml:space="preserve">în valoare </w:t>
      </w:r>
      <w:r w:rsidRPr="00720158">
        <w:rPr>
          <w:rFonts w:asciiTheme="majorHAnsi" w:eastAsia="Times New Roman" w:hAnsiTheme="majorHAnsi" w:cstheme="majorHAnsi"/>
          <w:iCs/>
          <w:sz w:val="24"/>
          <w:szCs w:val="24"/>
          <w:lang w:val="ro-MD"/>
        </w:rPr>
        <w:t xml:space="preserve">de </w:t>
      </w:r>
      <w:r w:rsidR="00DC023D" w:rsidRPr="00720158">
        <w:rPr>
          <w:rFonts w:asciiTheme="majorHAnsi" w:eastAsia="Times New Roman" w:hAnsiTheme="majorHAnsi" w:cstheme="majorHAnsi"/>
          <w:iCs/>
          <w:sz w:val="24"/>
          <w:szCs w:val="24"/>
          <w:lang w:val="ro-MD"/>
        </w:rPr>
        <w:t>2,8</w:t>
      </w:r>
      <w:r w:rsidR="00720158">
        <w:rPr>
          <w:rFonts w:asciiTheme="majorHAnsi" w:eastAsia="Times New Roman" w:hAnsiTheme="majorHAnsi" w:cstheme="majorHAnsi"/>
          <w:iCs/>
          <w:sz w:val="24"/>
          <w:szCs w:val="24"/>
          <w:lang w:val="ro-MD"/>
        </w:rPr>
        <w:t xml:space="preserve"> mil. MDL</w:t>
      </w:r>
      <w:r w:rsidR="00DC023D" w:rsidRPr="00720158">
        <w:rPr>
          <w:rFonts w:asciiTheme="majorHAnsi" w:eastAsia="Times New Roman" w:hAnsiTheme="majorHAnsi" w:cstheme="majorHAnsi"/>
          <w:iCs/>
          <w:sz w:val="24"/>
          <w:szCs w:val="24"/>
          <w:lang w:val="ro-MD"/>
        </w:rPr>
        <w:t>, 11</w:t>
      </w:r>
      <w:r w:rsidR="00DC023D" w:rsidRPr="003D770E">
        <w:rPr>
          <w:rFonts w:asciiTheme="majorHAnsi" w:eastAsia="Times New Roman" w:hAnsiTheme="majorHAnsi" w:cstheme="majorHAnsi"/>
          <w:iCs/>
          <w:sz w:val="24"/>
          <w:szCs w:val="24"/>
          <w:lang w:val="ro-MD"/>
        </w:rPr>
        <w:t xml:space="preserve"> încăperi nelocuibile </w:t>
      </w:r>
      <w:r>
        <w:rPr>
          <w:rFonts w:asciiTheme="majorHAnsi" w:eastAsia="Times New Roman" w:hAnsiTheme="majorHAnsi" w:cstheme="majorHAnsi"/>
          <w:iCs/>
          <w:sz w:val="24"/>
          <w:szCs w:val="24"/>
          <w:lang w:val="ro-MD"/>
        </w:rPr>
        <w:t xml:space="preserve">în valoare de </w:t>
      </w:r>
      <w:r w:rsidR="00DC023D" w:rsidRPr="003D770E">
        <w:rPr>
          <w:rFonts w:asciiTheme="majorHAnsi" w:eastAsia="Times New Roman" w:hAnsiTheme="majorHAnsi" w:cstheme="majorHAnsi"/>
          <w:iCs/>
          <w:sz w:val="24"/>
          <w:szCs w:val="24"/>
          <w:lang w:val="ro-MD"/>
        </w:rPr>
        <w:t xml:space="preserve">18,8 mil. </w:t>
      </w:r>
      <w:r w:rsidR="007160B9">
        <w:rPr>
          <w:rFonts w:asciiTheme="majorHAnsi" w:eastAsia="Times New Roman" w:hAnsiTheme="majorHAnsi" w:cstheme="majorHAnsi"/>
          <w:iCs/>
          <w:sz w:val="24"/>
          <w:szCs w:val="24"/>
          <w:lang w:val="ro-MD"/>
        </w:rPr>
        <w:t>MDL</w:t>
      </w:r>
      <w:r w:rsidR="00DC023D" w:rsidRPr="003D770E">
        <w:rPr>
          <w:rFonts w:asciiTheme="majorHAnsi" w:eastAsia="Times New Roman" w:hAnsiTheme="majorHAnsi" w:cstheme="majorHAnsi"/>
          <w:iCs/>
          <w:sz w:val="24"/>
          <w:szCs w:val="24"/>
          <w:lang w:val="ro-MD"/>
        </w:rPr>
        <w:t xml:space="preserve">, 11 terenuri aferente bunurilor imobile proprietate privată </w:t>
      </w:r>
      <w:r>
        <w:rPr>
          <w:rFonts w:asciiTheme="majorHAnsi" w:eastAsia="Times New Roman" w:hAnsiTheme="majorHAnsi" w:cstheme="majorHAnsi"/>
          <w:iCs/>
          <w:sz w:val="24"/>
          <w:szCs w:val="24"/>
          <w:lang w:val="ro-MD"/>
        </w:rPr>
        <w:t xml:space="preserve">în valoarea de </w:t>
      </w:r>
      <w:r w:rsidR="00DC023D" w:rsidRPr="003D770E">
        <w:rPr>
          <w:rFonts w:asciiTheme="majorHAnsi" w:eastAsia="Times New Roman" w:hAnsiTheme="majorHAnsi" w:cstheme="majorHAnsi"/>
          <w:iCs/>
          <w:sz w:val="24"/>
          <w:szCs w:val="24"/>
          <w:lang w:val="ro-MD"/>
        </w:rPr>
        <w:t xml:space="preserve">3,7 mil. </w:t>
      </w:r>
      <w:r w:rsidR="007160B9">
        <w:rPr>
          <w:rFonts w:asciiTheme="majorHAnsi" w:eastAsia="Times New Roman" w:hAnsiTheme="majorHAnsi" w:cstheme="majorHAnsi"/>
          <w:iCs/>
          <w:sz w:val="24"/>
          <w:szCs w:val="24"/>
          <w:lang w:val="ro-MD"/>
        </w:rPr>
        <w:t>MDL</w:t>
      </w:r>
      <w:r w:rsidR="00DC023D" w:rsidRPr="003D770E">
        <w:rPr>
          <w:rFonts w:asciiTheme="majorHAnsi" w:eastAsia="Times New Roman" w:hAnsiTheme="majorHAnsi" w:cstheme="majorHAnsi"/>
          <w:iCs/>
          <w:sz w:val="24"/>
          <w:szCs w:val="24"/>
          <w:lang w:val="ro-MD"/>
        </w:rPr>
        <w:t>.</w:t>
      </w:r>
      <w:r w:rsidR="00DC023D" w:rsidRPr="005A04A7">
        <w:rPr>
          <w:rFonts w:asciiTheme="majorHAnsi" w:eastAsia="Times New Roman" w:hAnsiTheme="majorHAnsi" w:cstheme="majorHAnsi"/>
          <w:i/>
          <w:iCs/>
          <w:sz w:val="24"/>
          <w:szCs w:val="24"/>
          <w:lang w:val="ro-MD"/>
        </w:rPr>
        <w:t xml:space="preserve"> </w:t>
      </w:r>
    </w:p>
    <w:p w:rsidR="00DC023D" w:rsidRPr="005A04A7" w:rsidRDefault="00E1338C" w:rsidP="00DC023D">
      <w:pPr>
        <w:spacing w:after="0" w:line="276" w:lineRule="auto"/>
        <w:ind w:firstLine="709"/>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Verificările auditului</w:t>
      </w:r>
      <w:r w:rsidR="008D0D82">
        <w:rPr>
          <w:rFonts w:asciiTheme="majorHAnsi" w:eastAsia="Times New Roman" w:hAnsiTheme="majorHAnsi" w:cstheme="majorHAnsi"/>
          <w:iCs/>
          <w:sz w:val="24"/>
          <w:szCs w:val="24"/>
          <w:lang w:val="ro-MD"/>
        </w:rPr>
        <w:t xml:space="preserve"> au</w:t>
      </w:r>
      <w:r w:rsidR="00DC023D" w:rsidRPr="005A04A7">
        <w:rPr>
          <w:rFonts w:asciiTheme="majorHAnsi" w:eastAsia="Times New Roman" w:hAnsiTheme="majorHAnsi" w:cstheme="majorHAnsi"/>
          <w:iCs/>
          <w:sz w:val="24"/>
          <w:szCs w:val="24"/>
          <w:lang w:val="ro-MD"/>
        </w:rPr>
        <w:t xml:space="preserve"> constatat</w:t>
      </w:r>
      <w:r w:rsidR="00DC023D">
        <w:rPr>
          <w:rFonts w:asciiTheme="majorHAnsi" w:eastAsia="Times New Roman" w:hAnsiTheme="majorHAnsi" w:cstheme="majorHAnsi"/>
          <w:iCs/>
          <w:sz w:val="24"/>
          <w:szCs w:val="24"/>
          <w:lang w:val="ro-MD"/>
        </w:rPr>
        <w:t xml:space="preserve"> </w:t>
      </w:r>
      <w:r w:rsidR="00D96B07">
        <w:rPr>
          <w:rFonts w:asciiTheme="majorHAnsi" w:eastAsia="Times New Roman" w:hAnsiTheme="majorHAnsi" w:cstheme="majorHAnsi"/>
          <w:iCs/>
          <w:sz w:val="24"/>
          <w:szCs w:val="24"/>
          <w:lang w:val="ro-MD"/>
        </w:rPr>
        <w:t>devieri</w:t>
      </w:r>
      <w:r w:rsidR="00DC023D">
        <w:rPr>
          <w:rFonts w:asciiTheme="majorHAnsi" w:eastAsia="Times New Roman" w:hAnsiTheme="majorHAnsi" w:cstheme="majorHAnsi"/>
          <w:iCs/>
          <w:sz w:val="24"/>
          <w:szCs w:val="24"/>
          <w:lang w:val="ro-MD"/>
        </w:rPr>
        <w:t xml:space="preserve"> între datele prezentate de APP și MF</w:t>
      </w:r>
      <w:r w:rsidR="0001736A">
        <w:rPr>
          <w:rFonts w:asciiTheme="majorHAnsi" w:eastAsia="Times New Roman" w:hAnsiTheme="majorHAnsi" w:cstheme="majorHAnsi"/>
          <w:iCs/>
          <w:sz w:val="24"/>
          <w:szCs w:val="24"/>
          <w:lang w:val="ro-MD"/>
        </w:rPr>
        <w:t>.</w:t>
      </w:r>
      <w:r w:rsidR="00DC023D">
        <w:rPr>
          <w:rFonts w:asciiTheme="majorHAnsi" w:eastAsia="Times New Roman" w:hAnsiTheme="majorHAnsi" w:cstheme="majorHAnsi"/>
          <w:iCs/>
          <w:sz w:val="24"/>
          <w:szCs w:val="24"/>
          <w:lang w:val="ro-MD"/>
        </w:rPr>
        <w:t xml:space="preserve"> </w:t>
      </w:r>
      <w:r w:rsidR="0001736A">
        <w:rPr>
          <w:rFonts w:asciiTheme="majorHAnsi" w:eastAsia="Times New Roman" w:hAnsiTheme="majorHAnsi" w:cstheme="majorHAnsi"/>
          <w:iCs/>
          <w:sz w:val="24"/>
          <w:szCs w:val="24"/>
          <w:lang w:val="ro-MD"/>
        </w:rPr>
        <w:t>A</w:t>
      </w:r>
      <w:r w:rsidR="00DC023D">
        <w:rPr>
          <w:rFonts w:asciiTheme="majorHAnsi" w:eastAsia="Times New Roman" w:hAnsiTheme="majorHAnsi" w:cstheme="majorHAnsi"/>
          <w:iCs/>
          <w:sz w:val="24"/>
          <w:szCs w:val="24"/>
          <w:lang w:val="ro-MD"/>
        </w:rPr>
        <w:t>stfel, conform informației prezentate de către APP</w:t>
      </w:r>
      <w:r w:rsidR="00DC023D" w:rsidRPr="005A04A7">
        <w:rPr>
          <w:rFonts w:asciiTheme="majorHAnsi" w:eastAsia="Times New Roman" w:hAnsiTheme="majorHAnsi" w:cstheme="majorHAnsi"/>
          <w:iCs/>
          <w:sz w:val="24"/>
          <w:szCs w:val="24"/>
          <w:lang w:val="ro-MD"/>
        </w:rPr>
        <w:t xml:space="preserve"> la contul </w:t>
      </w:r>
      <w:r w:rsidR="0001736A">
        <w:rPr>
          <w:rFonts w:asciiTheme="majorHAnsi" w:eastAsia="Times New Roman" w:hAnsiTheme="majorHAnsi" w:cstheme="majorHAnsi"/>
          <w:i/>
          <w:iCs/>
          <w:sz w:val="24"/>
          <w:szCs w:val="24"/>
          <w:lang w:val="ro-MD"/>
        </w:rPr>
        <w:t>„</w:t>
      </w:r>
      <w:r w:rsidR="00DC023D" w:rsidRPr="005A04A7">
        <w:rPr>
          <w:rFonts w:asciiTheme="majorHAnsi" w:eastAsia="Times New Roman" w:hAnsiTheme="majorHAnsi" w:cstheme="majorHAnsi"/>
          <w:i/>
          <w:iCs/>
          <w:sz w:val="24"/>
          <w:szCs w:val="24"/>
        </w:rPr>
        <w:t>Privatizarea obiectelor nefinalizate, complexelor de bunuri, bunurilor imobile și mobile, încăperilor nelocuibile”</w:t>
      </w:r>
      <w:r w:rsidR="00DC023D" w:rsidRPr="005A04A7">
        <w:rPr>
          <w:rFonts w:asciiTheme="majorHAnsi" w:eastAsia="Times New Roman" w:hAnsiTheme="majorHAnsi" w:cstheme="majorHAnsi"/>
          <w:i/>
          <w:iCs/>
          <w:sz w:val="24"/>
          <w:szCs w:val="24"/>
          <w:lang w:val="ro-MD"/>
        </w:rPr>
        <w:t xml:space="preserve"> (ECO 415234)</w:t>
      </w:r>
      <w:r w:rsidR="0001736A">
        <w:rPr>
          <w:rFonts w:asciiTheme="majorHAnsi" w:eastAsia="Times New Roman" w:hAnsiTheme="majorHAnsi" w:cstheme="majorHAnsi"/>
          <w:i/>
          <w:iCs/>
          <w:sz w:val="24"/>
          <w:szCs w:val="24"/>
          <w:lang w:val="ro-MD"/>
        </w:rPr>
        <w:t>,</w:t>
      </w:r>
      <w:r w:rsidR="00DC023D" w:rsidRPr="005A04A7">
        <w:rPr>
          <w:rFonts w:asciiTheme="majorHAnsi" w:eastAsia="Times New Roman" w:hAnsiTheme="majorHAnsi" w:cstheme="majorHAnsi"/>
          <w:iCs/>
          <w:sz w:val="24"/>
          <w:szCs w:val="24"/>
          <w:lang w:val="ro-MD"/>
        </w:rPr>
        <w:t xml:space="preserve"> au fost încasate venituri în sumă de 21,6 mil. </w:t>
      </w:r>
      <w:r w:rsidR="007160B9">
        <w:rPr>
          <w:rFonts w:asciiTheme="majorHAnsi" w:eastAsia="Times New Roman" w:hAnsiTheme="majorHAnsi" w:cstheme="majorHAnsi"/>
          <w:iCs/>
          <w:sz w:val="24"/>
          <w:szCs w:val="24"/>
          <w:lang w:val="ro-MD"/>
        </w:rPr>
        <w:t>MDL</w:t>
      </w:r>
      <w:r w:rsidR="00332192">
        <w:rPr>
          <w:rFonts w:asciiTheme="majorHAnsi" w:eastAsia="Times New Roman" w:hAnsiTheme="majorHAnsi" w:cstheme="majorHAnsi"/>
          <w:iCs/>
          <w:sz w:val="24"/>
          <w:szCs w:val="24"/>
          <w:lang w:val="ro-MD"/>
        </w:rPr>
        <w:t>,</w:t>
      </w:r>
      <w:r w:rsidR="00DC023D" w:rsidRPr="005A04A7">
        <w:rPr>
          <w:rFonts w:asciiTheme="majorHAnsi" w:eastAsia="Times New Roman" w:hAnsiTheme="majorHAnsi" w:cstheme="majorHAnsi"/>
          <w:iCs/>
          <w:sz w:val="24"/>
          <w:szCs w:val="24"/>
          <w:lang w:val="ro-MD"/>
        </w:rPr>
        <w:t xml:space="preserve"> iar MF </w:t>
      </w:r>
      <w:r w:rsidR="0001736A">
        <w:rPr>
          <w:rFonts w:asciiTheme="majorHAnsi" w:eastAsia="Times New Roman" w:hAnsiTheme="majorHAnsi" w:cstheme="majorHAnsi"/>
          <w:iCs/>
          <w:sz w:val="24"/>
          <w:szCs w:val="24"/>
          <w:lang w:val="ro-MD"/>
        </w:rPr>
        <w:t xml:space="preserve">a </w:t>
      </w:r>
      <w:r w:rsidR="00DC023D" w:rsidRPr="005A04A7">
        <w:rPr>
          <w:rFonts w:asciiTheme="majorHAnsi" w:eastAsia="Times New Roman" w:hAnsiTheme="majorHAnsi" w:cstheme="majorHAnsi"/>
          <w:iCs/>
          <w:sz w:val="24"/>
          <w:szCs w:val="24"/>
          <w:lang w:val="ro-MD"/>
        </w:rPr>
        <w:t>raporta</w:t>
      </w:r>
      <w:r w:rsidR="0001736A">
        <w:rPr>
          <w:rFonts w:asciiTheme="majorHAnsi" w:eastAsia="Times New Roman" w:hAnsiTheme="majorHAnsi" w:cstheme="majorHAnsi"/>
          <w:iCs/>
          <w:sz w:val="24"/>
          <w:szCs w:val="24"/>
          <w:lang w:val="ro-MD"/>
        </w:rPr>
        <w:t>t</w:t>
      </w:r>
      <w:r w:rsidR="00DC023D" w:rsidRPr="005A04A7">
        <w:rPr>
          <w:rFonts w:asciiTheme="majorHAnsi" w:eastAsia="Times New Roman" w:hAnsiTheme="majorHAnsi" w:cstheme="majorHAnsi"/>
          <w:iCs/>
          <w:sz w:val="24"/>
          <w:szCs w:val="24"/>
          <w:lang w:val="ro-MD"/>
        </w:rPr>
        <w:t xml:space="preserve"> doar 9,8 mil. </w:t>
      </w:r>
      <w:r w:rsidR="007160B9">
        <w:rPr>
          <w:rFonts w:asciiTheme="majorHAnsi" w:eastAsia="Times New Roman" w:hAnsiTheme="majorHAnsi" w:cstheme="majorHAnsi"/>
          <w:iCs/>
          <w:sz w:val="24"/>
          <w:szCs w:val="24"/>
          <w:lang w:val="ro-MD"/>
        </w:rPr>
        <w:t>MDL</w:t>
      </w:r>
      <w:r w:rsidR="00DC023D" w:rsidRPr="005A04A7">
        <w:rPr>
          <w:rFonts w:asciiTheme="majorHAnsi" w:eastAsia="Times New Roman" w:hAnsiTheme="majorHAnsi" w:cstheme="majorHAnsi"/>
          <w:iCs/>
          <w:sz w:val="24"/>
          <w:szCs w:val="24"/>
          <w:lang w:val="ro-MD"/>
        </w:rPr>
        <w:t>,</w:t>
      </w:r>
      <w:r w:rsidR="00DC023D">
        <w:rPr>
          <w:rFonts w:asciiTheme="majorHAnsi" w:eastAsia="Times New Roman" w:hAnsiTheme="majorHAnsi" w:cstheme="majorHAnsi"/>
          <w:iCs/>
          <w:sz w:val="24"/>
          <w:szCs w:val="24"/>
          <w:lang w:val="ro-MD"/>
        </w:rPr>
        <w:t xml:space="preserve"> sau cu 11,8 mil. </w:t>
      </w:r>
      <w:r w:rsidR="007160B9">
        <w:rPr>
          <w:rFonts w:asciiTheme="majorHAnsi" w:eastAsia="Times New Roman" w:hAnsiTheme="majorHAnsi" w:cstheme="majorHAnsi"/>
          <w:iCs/>
          <w:sz w:val="24"/>
          <w:szCs w:val="24"/>
          <w:lang w:val="ro-MD"/>
        </w:rPr>
        <w:t>MDL</w:t>
      </w:r>
      <w:r w:rsidR="00DC023D">
        <w:rPr>
          <w:rFonts w:asciiTheme="majorHAnsi" w:eastAsia="Times New Roman" w:hAnsiTheme="majorHAnsi" w:cstheme="majorHAnsi"/>
          <w:iCs/>
          <w:sz w:val="24"/>
          <w:szCs w:val="24"/>
          <w:lang w:val="ro-MD"/>
        </w:rPr>
        <w:t xml:space="preserve"> mai puțin. </w:t>
      </w:r>
      <w:r w:rsidR="00112CAB">
        <w:rPr>
          <w:rFonts w:asciiTheme="majorHAnsi" w:eastAsia="Times New Roman" w:hAnsiTheme="majorHAnsi" w:cstheme="majorHAnsi"/>
          <w:iCs/>
          <w:sz w:val="24"/>
          <w:szCs w:val="24"/>
          <w:lang w:val="ro-MD"/>
        </w:rPr>
        <w:t xml:space="preserve">Această diferență este motivată de </w:t>
      </w:r>
      <w:r w:rsidR="00332192">
        <w:rPr>
          <w:rFonts w:asciiTheme="majorHAnsi" w:eastAsia="Times New Roman" w:hAnsiTheme="majorHAnsi" w:cstheme="majorHAnsi"/>
          <w:iCs/>
          <w:sz w:val="24"/>
          <w:szCs w:val="24"/>
          <w:lang w:val="ro-MD"/>
        </w:rPr>
        <w:t xml:space="preserve">MF </w:t>
      </w:r>
      <w:r w:rsidR="00112CAB">
        <w:rPr>
          <w:rFonts w:asciiTheme="majorHAnsi" w:eastAsia="Times New Roman" w:hAnsiTheme="majorHAnsi" w:cstheme="majorHAnsi"/>
          <w:iCs/>
          <w:sz w:val="24"/>
          <w:szCs w:val="24"/>
          <w:lang w:val="ro-MD"/>
        </w:rPr>
        <w:t>ca</w:t>
      </w:r>
      <w:r w:rsidR="0001736A">
        <w:rPr>
          <w:rFonts w:asciiTheme="majorHAnsi" w:eastAsia="Times New Roman" w:hAnsiTheme="majorHAnsi" w:cstheme="majorHAnsi"/>
          <w:iCs/>
          <w:sz w:val="24"/>
          <w:szCs w:val="24"/>
          <w:lang w:val="ro-MD"/>
        </w:rPr>
        <w:t xml:space="preserve"> fiind</w:t>
      </w:r>
      <w:r w:rsidR="00112CAB">
        <w:rPr>
          <w:rFonts w:asciiTheme="majorHAnsi" w:eastAsia="Times New Roman" w:hAnsiTheme="majorHAnsi" w:cstheme="majorHAnsi"/>
          <w:iCs/>
          <w:sz w:val="24"/>
          <w:szCs w:val="24"/>
          <w:lang w:val="ro-MD"/>
        </w:rPr>
        <w:t xml:space="preserve"> </w:t>
      </w:r>
      <w:r w:rsidR="0001736A">
        <w:rPr>
          <w:rFonts w:asciiTheme="majorHAnsi" w:eastAsia="Times New Roman" w:hAnsiTheme="majorHAnsi" w:cstheme="majorHAnsi"/>
          <w:iCs/>
          <w:sz w:val="24"/>
          <w:szCs w:val="24"/>
          <w:lang w:val="ro-MD"/>
        </w:rPr>
        <w:t xml:space="preserve">suma </w:t>
      </w:r>
      <w:r w:rsidR="00112CAB">
        <w:rPr>
          <w:rFonts w:asciiTheme="majorHAnsi" w:eastAsia="Times New Roman" w:hAnsiTheme="majorHAnsi" w:cstheme="majorHAnsi"/>
          <w:iCs/>
          <w:sz w:val="24"/>
          <w:szCs w:val="24"/>
          <w:lang w:val="ro-MD"/>
        </w:rPr>
        <w:t>restitui</w:t>
      </w:r>
      <w:r w:rsidR="0001736A">
        <w:rPr>
          <w:rFonts w:asciiTheme="majorHAnsi" w:eastAsia="Times New Roman" w:hAnsiTheme="majorHAnsi" w:cstheme="majorHAnsi"/>
          <w:iCs/>
          <w:sz w:val="24"/>
          <w:szCs w:val="24"/>
          <w:lang w:val="ro-MD"/>
        </w:rPr>
        <w:t>tă</w:t>
      </w:r>
      <w:r w:rsidR="00DC023D" w:rsidRPr="005A04A7">
        <w:rPr>
          <w:rFonts w:asciiTheme="majorHAnsi" w:eastAsia="Times New Roman" w:hAnsiTheme="majorHAnsi" w:cstheme="majorHAnsi"/>
          <w:iCs/>
          <w:sz w:val="24"/>
          <w:szCs w:val="24"/>
          <w:lang w:val="ro-MD"/>
        </w:rPr>
        <w:t xml:space="preserve"> din BS pentru răscumpăra</w:t>
      </w:r>
      <w:r w:rsidR="0001736A">
        <w:rPr>
          <w:rFonts w:asciiTheme="majorHAnsi" w:eastAsia="Times New Roman" w:hAnsiTheme="majorHAnsi" w:cstheme="majorHAnsi"/>
          <w:iCs/>
          <w:sz w:val="24"/>
          <w:szCs w:val="24"/>
          <w:lang w:val="ro-MD"/>
        </w:rPr>
        <w:t>rea</w:t>
      </w:r>
      <w:r w:rsidR="00DC023D" w:rsidRPr="005A04A7">
        <w:rPr>
          <w:rFonts w:asciiTheme="majorHAnsi" w:eastAsia="Times New Roman" w:hAnsiTheme="majorHAnsi" w:cstheme="majorHAnsi"/>
          <w:iCs/>
          <w:sz w:val="24"/>
          <w:szCs w:val="24"/>
          <w:lang w:val="ro-MD"/>
        </w:rPr>
        <w:t xml:space="preserve"> </w:t>
      </w:r>
      <w:r w:rsidR="000955D4">
        <w:rPr>
          <w:rFonts w:asciiTheme="majorHAnsi" w:eastAsia="Times New Roman" w:hAnsiTheme="majorHAnsi" w:cstheme="majorHAnsi"/>
          <w:iCs/>
          <w:sz w:val="24"/>
          <w:szCs w:val="24"/>
          <w:lang w:val="ro-MD"/>
        </w:rPr>
        <w:t>un</w:t>
      </w:r>
      <w:r w:rsidR="0001736A">
        <w:rPr>
          <w:rFonts w:asciiTheme="majorHAnsi" w:eastAsia="Times New Roman" w:hAnsiTheme="majorHAnsi" w:cstheme="majorHAnsi"/>
          <w:iCs/>
          <w:sz w:val="24"/>
          <w:szCs w:val="24"/>
          <w:lang w:val="ro-MD"/>
        </w:rPr>
        <w:t>or</w:t>
      </w:r>
      <w:r w:rsidR="000955D4">
        <w:rPr>
          <w:rFonts w:asciiTheme="majorHAnsi" w:eastAsia="Times New Roman" w:hAnsiTheme="majorHAnsi" w:cstheme="majorHAnsi"/>
          <w:iCs/>
          <w:sz w:val="24"/>
          <w:szCs w:val="24"/>
          <w:lang w:val="ro-MD"/>
        </w:rPr>
        <w:t xml:space="preserve"> </w:t>
      </w:r>
      <w:r w:rsidR="00DC023D" w:rsidRPr="005A04A7">
        <w:rPr>
          <w:rFonts w:asciiTheme="majorHAnsi" w:eastAsia="Times New Roman" w:hAnsiTheme="majorHAnsi" w:cstheme="majorHAnsi"/>
          <w:iCs/>
          <w:sz w:val="24"/>
          <w:szCs w:val="24"/>
          <w:lang w:val="ro-MD"/>
        </w:rPr>
        <w:t>bunuri proprietate publică.</w:t>
      </w:r>
      <w:r w:rsidR="00AB4202" w:rsidRPr="00AB4202">
        <w:rPr>
          <w:rFonts w:asciiTheme="majorHAnsi" w:eastAsia="Times New Roman" w:hAnsiTheme="majorHAnsi" w:cstheme="majorHAnsi"/>
          <w:i/>
          <w:iCs/>
          <w:sz w:val="24"/>
          <w:szCs w:val="24"/>
          <w:lang w:val="ro-MD"/>
        </w:rPr>
        <w:t xml:space="preserve"> </w:t>
      </w:r>
      <w:r w:rsidR="00AB4202" w:rsidRPr="005A04A7">
        <w:rPr>
          <w:rFonts w:asciiTheme="majorHAnsi" w:eastAsia="Times New Roman" w:hAnsiTheme="majorHAnsi" w:cstheme="majorHAnsi"/>
          <w:i/>
          <w:iCs/>
          <w:sz w:val="24"/>
          <w:szCs w:val="24"/>
          <w:lang w:val="ro-MD"/>
        </w:rPr>
        <w:t xml:space="preserve">Sinteza încasărilor pe anul 2018 </w:t>
      </w:r>
      <w:r w:rsidR="0001736A">
        <w:rPr>
          <w:rFonts w:asciiTheme="majorHAnsi" w:eastAsia="Times New Roman" w:hAnsiTheme="majorHAnsi" w:cstheme="majorHAnsi"/>
          <w:i/>
          <w:iCs/>
          <w:sz w:val="24"/>
          <w:szCs w:val="24"/>
          <w:lang w:val="ro-MD"/>
        </w:rPr>
        <w:t>din</w:t>
      </w:r>
      <w:r w:rsidR="00AB4202" w:rsidRPr="005A04A7">
        <w:rPr>
          <w:rFonts w:asciiTheme="majorHAnsi" w:eastAsia="Times New Roman" w:hAnsiTheme="majorHAnsi" w:cstheme="majorHAnsi"/>
          <w:i/>
          <w:iCs/>
          <w:sz w:val="24"/>
          <w:szCs w:val="24"/>
          <w:lang w:val="ro-MD"/>
        </w:rPr>
        <w:t xml:space="preserve"> vânzarea și privatizarea bunurilor proprietate publică este prezentată în Anexa nr.</w:t>
      </w:r>
      <w:r w:rsidR="00844680">
        <w:rPr>
          <w:rFonts w:asciiTheme="majorHAnsi" w:eastAsia="Times New Roman" w:hAnsiTheme="majorHAnsi" w:cstheme="majorHAnsi"/>
          <w:i/>
          <w:iCs/>
          <w:sz w:val="24"/>
          <w:szCs w:val="24"/>
          <w:lang w:val="ro-MD"/>
        </w:rPr>
        <w:t>5</w:t>
      </w:r>
      <w:r w:rsidR="00AB4202">
        <w:rPr>
          <w:rFonts w:asciiTheme="majorHAnsi" w:eastAsia="Times New Roman" w:hAnsiTheme="majorHAnsi" w:cstheme="majorHAnsi"/>
          <w:i/>
          <w:iCs/>
          <w:sz w:val="24"/>
          <w:szCs w:val="24"/>
          <w:lang w:val="ro-MD"/>
        </w:rPr>
        <w:t xml:space="preserve"> la prezentul Raport de audit.</w:t>
      </w:r>
    </w:p>
    <w:p w:rsidR="00471819" w:rsidRDefault="00DC023D" w:rsidP="00B53270">
      <w:pPr>
        <w:tabs>
          <w:tab w:val="left" w:pos="0"/>
        </w:tabs>
        <w:spacing w:after="0" w:line="276" w:lineRule="auto"/>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ab/>
      </w:r>
      <w:r w:rsidR="00112CAB">
        <w:rPr>
          <w:rFonts w:asciiTheme="majorHAnsi" w:eastAsia="Times New Roman" w:hAnsiTheme="majorHAnsi" w:cstheme="majorHAnsi"/>
          <w:iCs/>
          <w:sz w:val="24"/>
          <w:szCs w:val="24"/>
          <w:lang w:val="ro-MD"/>
        </w:rPr>
        <w:t>Astfel, în anul 2018</w:t>
      </w:r>
      <w:r w:rsidR="0001736A">
        <w:rPr>
          <w:rFonts w:asciiTheme="majorHAnsi" w:eastAsia="Times New Roman" w:hAnsiTheme="majorHAnsi" w:cstheme="majorHAnsi"/>
          <w:iCs/>
          <w:sz w:val="24"/>
          <w:szCs w:val="24"/>
          <w:lang w:val="ro-MD"/>
        </w:rPr>
        <w:t>,</w:t>
      </w:r>
      <w:r w:rsidR="00112CAB">
        <w:rPr>
          <w:rFonts w:asciiTheme="majorHAnsi" w:eastAsia="Times New Roman" w:hAnsiTheme="majorHAnsi" w:cstheme="majorHAnsi"/>
          <w:iCs/>
          <w:sz w:val="24"/>
          <w:szCs w:val="24"/>
          <w:lang w:val="ro-MD"/>
        </w:rPr>
        <w:t xml:space="preserve"> </w:t>
      </w:r>
      <w:r w:rsidRPr="005A04A7">
        <w:rPr>
          <w:rFonts w:asciiTheme="majorHAnsi" w:eastAsia="Times New Roman" w:hAnsiTheme="majorHAnsi" w:cstheme="majorHAnsi"/>
          <w:iCs/>
          <w:sz w:val="24"/>
          <w:szCs w:val="24"/>
          <w:lang w:val="ro-MD"/>
        </w:rPr>
        <w:t>APP</w:t>
      </w:r>
      <w:r w:rsidR="001F35D6">
        <w:rPr>
          <w:rFonts w:asciiTheme="majorHAnsi" w:eastAsia="Times New Roman" w:hAnsiTheme="majorHAnsi" w:cstheme="majorHAnsi"/>
          <w:iCs/>
          <w:sz w:val="24"/>
          <w:szCs w:val="24"/>
          <w:lang w:val="ro-MD"/>
        </w:rPr>
        <w:t>,</w:t>
      </w:r>
      <w:r w:rsidRPr="005A04A7">
        <w:rPr>
          <w:rFonts w:asciiTheme="majorHAnsi" w:eastAsia="Times New Roman" w:hAnsiTheme="majorHAnsi" w:cstheme="majorHAnsi"/>
          <w:iCs/>
          <w:sz w:val="24"/>
          <w:szCs w:val="24"/>
          <w:lang w:val="ro-MD"/>
        </w:rPr>
        <w:t xml:space="preserve"> </w:t>
      </w:r>
      <w:r w:rsidR="004D5D01">
        <w:rPr>
          <w:rFonts w:asciiTheme="majorHAnsi" w:eastAsia="Times New Roman" w:hAnsiTheme="majorHAnsi" w:cstheme="majorHAnsi"/>
          <w:iCs/>
          <w:sz w:val="24"/>
          <w:szCs w:val="24"/>
          <w:lang w:val="ro-MD"/>
        </w:rPr>
        <w:t>la solicitarea agenților economici succesori de drepturi</w:t>
      </w:r>
      <w:r w:rsidR="004D5D01" w:rsidRPr="005A04A7">
        <w:rPr>
          <w:rFonts w:asciiTheme="majorHAnsi" w:eastAsia="Times New Roman" w:hAnsiTheme="majorHAnsi" w:cstheme="majorHAnsi"/>
          <w:iCs/>
          <w:sz w:val="24"/>
          <w:szCs w:val="24"/>
          <w:lang w:val="ro-MD"/>
        </w:rPr>
        <w:t>,</w:t>
      </w:r>
      <w:r w:rsidR="004D5D01">
        <w:rPr>
          <w:rFonts w:asciiTheme="majorHAnsi" w:eastAsia="Times New Roman" w:hAnsiTheme="majorHAnsi" w:cstheme="majorHAnsi"/>
          <w:iCs/>
          <w:sz w:val="24"/>
          <w:szCs w:val="24"/>
          <w:lang w:val="ro-MD"/>
        </w:rPr>
        <w:t xml:space="preserve"> </w:t>
      </w:r>
      <w:r w:rsidRPr="005A04A7">
        <w:rPr>
          <w:rFonts w:asciiTheme="majorHAnsi" w:eastAsia="Times New Roman" w:hAnsiTheme="majorHAnsi" w:cstheme="majorHAnsi"/>
          <w:iCs/>
          <w:sz w:val="24"/>
          <w:szCs w:val="24"/>
          <w:lang w:val="ro-MD"/>
        </w:rPr>
        <w:t>a efectuat procedura de rezoluțiune, pe cale amiabilă</w:t>
      </w:r>
      <w:r w:rsidR="0001736A">
        <w:rPr>
          <w:rFonts w:asciiTheme="majorHAnsi" w:eastAsia="Times New Roman" w:hAnsiTheme="majorHAnsi" w:cstheme="majorHAnsi"/>
          <w:iCs/>
          <w:sz w:val="24"/>
          <w:szCs w:val="24"/>
          <w:lang w:val="ro-MD"/>
        </w:rPr>
        <w:t>,</w:t>
      </w:r>
      <w:r w:rsidR="00471819">
        <w:rPr>
          <w:rFonts w:asciiTheme="majorHAnsi" w:eastAsia="Times New Roman" w:hAnsiTheme="majorHAnsi" w:cstheme="majorHAnsi"/>
          <w:iCs/>
          <w:sz w:val="24"/>
          <w:szCs w:val="24"/>
          <w:lang w:val="ro-MD"/>
        </w:rPr>
        <w:t xml:space="preserve"> </w:t>
      </w:r>
      <w:r w:rsidRPr="005A04A7">
        <w:rPr>
          <w:rFonts w:asciiTheme="majorHAnsi" w:eastAsia="Times New Roman" w:hAnsiTheme="majorHAnsi" w:cstheme="majorHAnsi"/>
          <w:iCs/>
          <w:sz w:val="24"/>
          <w:szCs w:val="24"/>
          <w:lang w:val="ro-MD"/>
        </w:rPr>
        <w:t xml:space="preserve">a </w:t>
      </w:r>
      <w:r w:rsidR="00373509">
        <w:rPr>
          <w:rFonts w:asciiTheme="majorHAnsi" w:eastAsia="Times New Roman" w:hAnsiTheme="majorHAnsi" w:cstheme="majorHAnsi"/>
          <w:iCs/>
          <w:sz w:val="24"/>
          <w:szCs w:val="24"/>
          <w:lang w:val="ro-MD"/>
        </w:rPr>
        <w:t>15 contracte</w:t>
      </w:r>
      <w:r w:rsidRPr="005A04A7">
        <w:rPr>
          <w:rFonts w:asciiTheme="majorHAnsi" w:eastAsia="Times New Roman" w:hAnsiTheme="majorHAnsi" w:cstheme="majorHAnsi"/>
          <w:iCs/>
          <w:sz w:val="24"/>
          <w:szCs w:val="24"/>
          <w:lang w:val="ro-MD"/>
        </w:rPr>
        <w:t xml:space="preserve"> de vânzare-cumpărare a unor încăperi nelocuibile, în </w:t>
      </w:r>
      <w:r w:rsidR="00471819">
        <w:rPr>
          <w:rFonts w:asciiTheme="majorHAnsi" w:eastAsia="Times New Roman" w:hAnsiTheme="majorHAnsi" w:cstheme="majorHAnsi"/>
          <w:iCs/>
          <w:sz w:val="24"/>
          <w:szCs w:val="24"/>
          <w:lang w:val="ro-MD"/>
        </w:rPr>
        <w:t>valoare</w:t>
      </w:r>
      <w:r w:rsidR="00A0639D">
        <w:rPr>
          <w:rFonts w:asciiTheme="majorHAnsi" w:eastAsia="Times New Roman" w:hAnsiTheme="majorHAnsi" w:cstheme="majorHAnsi"/>
          <w:iCs/>
          <w:sz w:val="24"/>
          <w:szCs w:val="24"/>
          <w:lang w:val="ro-MD"/>
        </w:rPr>
        <w:t xml:space="preserve"> totală </w:t>
      </w:r>
      <w:r w:rsidR="00A0639D" w:rsidRPr="00901246">
        <w:rPr>
          <w:rFonts w:asciiTheme="majorHAnsi" w:eastAsia="Times New Roman" w:hAnsiTheme="majorHAnsi" w:cstheme="majorHAnsi"/>
          <w:iCs/>
          <w:sz w:val="24"/>
          <w:szCs w:val="24"/>
          <w:lang w:val="ro-MD"/>
        </w:rPr>
        <w:t xml:space="preserve">de 10,2 mil. </w:t>
      </w:r>
      <w:r w:rsidR="007160B9">
        <w:rPr>
          <w:rFonts w:asciiTheme="majorHAnsi" w:eastAsia="Times New Roman" w:hAnsiTheme="majorHAnsi" w:cstheme="majorHAnsi"/>
          <w:iCs/>
          <w:sz w:val="24"/>
          <w:szCs w:val="24"/>
          <w:lang w:val="ro-MD"/>
        </w:rPr>
        <w:t>MDL</w:t>
      </w:r>
      <w:r w:rsidR="0001736A">
        <w:rPr>
          <w:rFonts w:asciiTheme="majorHAnsi" w:eastAsia="Times New Roman" w:hAnsiTheme="majorHAnsi" w:cstheme="majorHAnsi"/>
          <w:iCs/>
          <w:sz w:val="24"/>
          <w:szCs w:val="24"/>
          <w:lang w:val="ro-MD"/>
        </w:rPr>
        <w:t>,</w:t>
      </w:r>
      <w:r w:rsidR="00793C62">
        <w:rPr>
          <w:rFonts w:asciiTheme="majorHAnsi" w:eastAsia="Times New Roman" w:hAnsiTheme="majorHAnsi" w:cstheme="majorHAnsi"/>
          <w:iCs/>
          <w:sz w:val="24"/>
          <w:szCs w:val="24"/>
          <w:lang w:val="ro-MD"/>
        </w:rPr>
        <w:t xml:space="preserve"> </w:t>
      </w:r>
      <w:r w:rsidR="00A0639D" w:rsidRPr="00901246">
        <w:rPr>
          <w:rFonts w:asciiTheme="majorHAnsi" w:eastAsia="Times New Roman" w:hAnsiTheme="majorHAnsi" w:cstheme="majorHAnsi"/>
          <w:iCs/>
          <w:sz w:val="24"/>
          <w:szCs w:val="24"/>
          <w:lang w:val="ro-MD"/>
        </w:rPr>
        <w:t>pentru</w:t>
      </w:r>
      <w:r w:rsidR="00A0639D">
        <w:rPr>
          <w:rFonts w:asciiTheme="majorHAnsi" w:eastAsia="Times New Roman" w:hAnsiTheme="majorHAnsi" w:cstheme="majorHAnsi"/>
          <w:iCs/>
          <w:sz w:val="24"/>
          <w:szCs w:val="24"/>
          <w:lang w:val="ro-MD"/>
        </w:rPr>
        <w:t xml:space="preserve"> </w:t>
      </w:r>
      <w:r w:rsidR="00295BDA">
        <w:rPr>
          <w:rFonts w:asciiTheme="majorHAnsi" w:eastAsia="Times New Roman" w:hAnsiTheme="majorHAnsi" w:cstheme="majorHAnsi"/>
          <w:iCs/>
          <w:sz w:val="24"/>
          <w:szCs w:val="24"/>
          <w:lang w:val="ro-MD"/>
        </w:rPr>
        <w:t>1</w:t>
      </w:r>
      <w:r w:rsidR="000955D4">
        <w:rPr>
          <w:rFonts w:asciiTheme="majorHAnsi" w:eastAsia="Times New Roman" w:hAnsiTheme="majorHAnsi" w:cstheme="majorHAnsi"/>
          <w:iCs/>
          <w:sz w:val="24"/>
          <w:szCs w:val="24"/>
          <w:lang w:val="ro-MD"/>
        </w:rPr>
        <w:t xml:space="preserve"> </w:t>
      </w:r>
      <w:r w:rsidR="00295BDA">
        <w:rPr>
          <w:rFonts w:asciiTheme="majorHAnsi" w:eastAsia="Times New Roman" w:hAnsiTheme="majorHAnsi" w:cstheme="majorHAnsi"/>
          <w:iCs/>
          <w:sz w:val="24"/>
          <w:szCs w:val="24"/>
          <w:lang w:val="ro-MD"/>
        </w:rPr>
        <w:t>601,9</w:t>
      </w:r>
      <w:r w:rsidRPr="005A04A7">
        <w:rPr>
          <w:rFonts w:asciiTheme="majorHAnsi" w:eastAsia="Times New Roman" w:hAnsiTheme="majorHAnsi" w:cstheme="majorHAnsi"/>
          <w:iCs/>
          <w:sz w:val="24"/>
          <w:szCs w:val="24"/>
          <w:lang w:val="ro-MD"/>
        </w:rPr>
        <w:t xml:space="preserve"> m.</w:t>
      </w:r>
      <w:r w:rsidR="00A0639D">
        <w:rPr>
          <w:rFonts w:asciiTheme="majorHAnsi" w:eastAsia="Times New Roman" w:hAnsiTheme="majorHAnsi" w:cstheme="majorHAnsi"/>
          <w:iCs/>
          <w:sz w:val="24"/>
          <w:szCs w:val="24"/>
          <w:lang w:val="ro-MD"/>
        </w:rPr>
        <w:t>p.</w:t>
      </w:r>
      <w:r w:rsidR="00163262">
        <w:rPr>
          <w:rFonts w:asciiTheme="majorHAnsi" w:eastAsia="Times New Roman" w:hAnsiTheme="majorHAnsi" w:cstheme="majorHAnsi"/>
          <w:iCs/>
          <w:sz w:val="24"/>
          <w:szCs w:val="24"/>
          <w:lang w:val="ro-MD"/>
        </w:rPr>
        <w:t xml:space="preserve"> (suprafața totală a clădirii este de 3398,9 m.p.)</w:t>
      </w:r>
      <w:r w:rsidR="00A0639D">
        <w:rPr>
          <w:rFonts w:asciiTheme="majorHAnsi" w:eastAsia="Times New Roman" w:hAnsiTheme="majorHAnsi" w:cstheme="majorHAnsi"/>
          <w:iCs/>
          <w:sz w:val="24"/>
          <w:szCs w:val="24"/>
          <w:lang w:val="ro-MD"/>
        </w:rPr>
        <w:t xml:space="preserve"> situate în mun. Chișinău, bd.</w:t>
      </w:r>
      <w:r w:rsidR="00793C62">
        <w:rPr>
          <w:rFonts w:asciiTheme="majorHAnsi" w:eastAsia="Times New Roman" w:hAnsiTheme="majorHAnsi" w:cstheme="majorHAnsi"/>
          <w:iCs/>
          <w:sz w:val="24"/>
          <w:szCs w:val="24"/>
          <w:lang w:val="ro-MD"/>
        </w:rPr>
        <w:t xml:space="preserve"> </w:t>
      </w:r>
      <w:r w:rsidR="00A0639D">
        <w:rPr>
          <w:rFonts w:asciiTheme="majorHAnsi" w:eastAsia="Times New Roman" w:hAnsiTheme="majorHAnsi" w:cstheme="majorHAnsi"/>
          <w:iCs/>
          <w:sz w:val="24"/>
          <w:szCs w:val="24"/>
          <w:lang w:val="ro-MD"/>
        </w:rPr>
        <w:t>Ștefan cel Mare și Sfânt nr.73, lit. A (ac</w:t>
      </w:r>
      <w:r w:rsidR="004D5D01">
        <w:rPr>
          <w:rFonts w:asciiTheme="majorHAnsi" w:eastAsia="Times New Roman" w:hAnsiTheme="majorHAnsi" w:cstheme="majorHAnsi"/>
          <w:iCs/>
          <w:sz w:val="24"/>
          <w:szCs w:val="24"/>
          <w:lang w:val="ro-MD"/>
        </w:rPr>
        <w:t>tualmente Procuratura Generală), cu aducerea părților în poziția inițială și restituirea spațiilor în proprietatea statului.</w:t>
      </w:r>
    </w:p>
    <w:p w:rsidR="00901246" w:rsidRDefault="00901246" w:rsidP="00712EF1">
      <w:pPr>
        <w:tabs>
          <w:tab w:val="left" w:pos="0"/>
        </w:tabs>
        <w:spacing w:after="0" w:line="276" w:lineRule="auto"/>
        <w:ind w:firstLine="709"/>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lastRenderedPageBreak/>
        <w:t>Totodată, APP a anulat rezultatele unei licitații cu strigare desfășurat</w:t>
      </w:r>
      <w:r w:rsidR="00420075">
        <w:rPr>
          <w:rFonts w:asciiTheme="majorHAnsi" w:eastAsia="Times New Roman" w:hAnsiTheme="majorHAnsi" w:cstheme="majorHAnsi"/>
          <w:iCs/>
          <w:sz w:val="24"/>
          <w:szCs w:val="24"/>
          <w:lang w:val="ro-MD"/>
        </w:rPr>
        <w:t>e</w:t>
      </w:r>
      <w:r>
        <w:rPr>
          <w:rFonts w:asciiTheme="majorHAnsi" w:eastAsia="Times New Roman" w:hAnsiTheme="majorHAnsi" w:cstheme="majorHAnsi"/>
          <w:iCs/>
          <w:sz w:val="24"/>
          <w:szCs w:val="24"/>
          <w:lang w:val="ro-MD"/>
        </w:rPr>
        <w:t xml:space="preserve"> la 22.11.2017, cu restituirea mijloacelor financiare achitate în BS (scrisoarea </w:t>
      </w:r>
      <w:r w:rsidRPr="00901246">
        <w:rPr>
          <w:rFonts w:asciiTheme="majorHAnsi" w:eastAsia="Times New Roman" w:hAnsiTheme="majorHAnsi" w:cstheme="majorHAnsi"/>
          <w:iCs/>
          <w:sz w:val="24"/>
          <w:szCs w:val="24"/>
          <w:lang w:val="ro-MD"/>
        </w:rPr>
        <w:t>APP nr.04-04-494 din 30.03.</w:t>
      </w:r>
      <w:r>
        <w:rPr>
          <w:rFonts w:asciiTheme="majorHAnsi" w:eastAsia="Times New Roman" w:hAnsiTheme="majorHAnsi" w:cstheme="majorHAnsi"/>
          <w:iCs/>
          <w:sz w:val="24"/>
          <w:szCs w:val="24"/>
          <w:lang w:val="ro-MD"/>
        </w:rPr>
        <w:t>20</w:t>
      </w:r>
      <w:r w:rsidRPr="00901246">
        <w:rPr>
          <w:rFonts w:asciiTheme="majorHAnsi" w:eastAsia="Times New Roman" w:hAnsiTheme="majorHAnsi" w:cstheme="majorHAnsi"/>
          <w:iCs/>
          <w:sz w:val="24"/>
          <w:szCs w:val="24"/>
          <w:lang w:val="ro-MD"/>
        </w:rPr>
        <w:t>18</w:t>
      </w:r>
      <w:r>
        <w:rPr>
          <w:rFonts w:asciiTheme="majorHAnsi" w:eastAsia="Times New Roman" w:hAnsiTheme="majorHAnsi" w:cstheme="majorHAnsi"/>
          <w:iCs/>
          <w:sz w:val="24"/>
          <w:szCs w:val="24"/>
          <w:lang w:val="ro-MD"/>
        </w:rPr>
        <w:t>)</w:t>
      </w:r>
      <w:r w:rsidRPr="00901246">
        <w:rPr>
          <w:rFonts w:asciiTheme="majorHAnsi" w:eastAsia="Times New Roman" w:hAnsiTheme="majorHAnsi" w:cstheme="majorHAnsi"/>
          <w:iCs/>
          <w:sz w:val="24"/>
          <w:szCs w:val="24"/>
          <w:lang w:val="ro-MD"/>
        </w:rPr>
        <w:t xml:space="preserve"> </w:t>
      </w:r>
      <w:r>
        <w:rPr>
          <w:rFonts w:asciiTheme="majorHAnsi" w:eastAsia="Times New Roman" w:hAnsiTheme="majorHAnsi" w:cstheme="majorHAnsi"/>
          <w:iCs/>
          <w:sz w:val="24"/>
          <w:szCs w:val="24"/>
          <w:lang w:val="ro-MD"/>
        </w:rPr>
        <w:t xml:space="preserve">în sumă de 1,6 mil. </w:t>
      </w:r>
      <w:r w:rsidR="007160B9">
        <w:rPr>
          <w:rFonts w:asciiTheme="majorHAnsi" w:eastAsia="Times New Roman" w:hAnsiTheme="majorHAnsi" w:cstheme="majorHAnsi"/>
          <w:iCs/>
          <w:sz w:val="24"/>
          <w:szCs w:val="24"/>
          <w:lang w:val="ro-MD"/>
        </w:rPr>
        <w:t>MDL</w:t>
      </w:r>
      <w:r w:rsidRPr="00901246">
        <w:rPr>
          <w:rFonts w:asciiTheme="majorHAnsi" w:eastAsia="Times New Roman" w:hAnsiTheme="majorHAnsi" w:cstheme="majorHAnsi"/>
          <w:iCs/>
          <w:sz w:val="24"/>
          <w:szCs w:val="24"/>
          <w:lang w:val="ro-MD"/>
        </w:rPr>
        <w:t xml:space="preserve"> </w:t>
      </w:r>
      <w:r w:rsidR="00A47412">
        <w:rPr>
          <w:rFonts w:asciiTheme="majorHAnsi" w:eastAsia="Times New Roman" w:hAnsiTheme="majorHAnsi" w:cstheme="majorHAnsi"/>
          <w:iCs/>
          <w:sz w:val="24"/>
          <w:szCs w:val="24"/>
          <w:lang w:val="ro-MD"/>
        </w:rPr>
        <w:t xml:space="preserve">pentru privatizarea </w:t>
      </w:r>
      <w:r w:rsidR="0001736A">
        <w:rPr>
          <w:rFonts w:asciiTheme="majorHAnsi" w:eastAsia="Times New Roman" w:hAnsiTheme="majorHAnsi" w:cstheme="majorHAnsi"/>
          <w:iCs/>
          <w:sz w:val="24"/>
          <w:szCs w:val="24"/>
          <w:lang w:val="ro-MD"/>
        </w:rPr>
        <w:t>B</w:t>
      </w:r>
      <w:r w:rsidR="00A47412">
        <w:rPr>
          <w:rFonts w:asciiTheme="majorHAnsi" w:eastAsia="Times New Roman" w:hAnsiTheme="majorHAnsi" w:cstheme="majorHAnsi"/>
          <w:iCs/>
          <w:sz w:val="24"/>
          <w:szCs w:val="24"/>
          <w:lang w:val="ro-MD"/>
        </w:rPr>
        <w:t>azei de odihnă</w:t>
      </w:r>
      <w:r w:rsidRPr="00901246">
        <w:rPr>
          <w:rFonts w:asciiTheme="majorHAnsi" w:eastAsia="Times New Roman" w:hAnsiTheme="majorHAnsi" w:cstheme="majorHAnsi"/>
          <w:iCs/>
          <w:sz w:val="24"/>
          <w:szCs w:val="24"/>
          <w:lang w:val="ro-MD"/>
        </w:rPr>
        <w:t xml:space="preserve"> </w:t>
      </w:r>
      <w:proofErr w:type="spellStart"/>
      <w:r w:rsidRPr="00901246">
        <w:rPr>
          <w:rFonts w:asciiTheme="majorHAnsi" w:eastAsia="Times New Roman" w:hAnsiTheme="majorHAnsi" w:cstheme="majorHAnsi"/>
          <w:iCs/>
          <w:sz w:val="24"/>
          <w:szCs w:val="24"/>
          <w:lang w:val="ro-MD"/>
        </w:rPr>
        <w:t>Mecita</w:t>
      </w:r>
      <w:proofErr w:type="spellEnd"/>
      <w:r w:rsidRPr="00901246">
        <w:rPr>
          <w:rFonts w:asciiTheme="majorHAnsi" w:eastAsia="Times New Roman" w:hAnsiTheme="majorHAnsi" w:cstheme="majorHAnsi"/>
          <w:iCs/>
          <w:sz w:val="24"/>
          <w:szCs w:val="24"/>
          <w:lang w:val="ro-MD"/>
        </w:rPr>
        <w:t xml:space="preserve"> </w:t>
      </w:r>
      <w:r w:rsidR="002155E3">
        <w:rPr>
          <w:rFonts w:asciiTheme="majorHAnsi" w:eastAsia="Times New Roman" w:hAnsiTheme="majorHAnsi" w:cstheme="majorHAnsi"/>
          <w:iCs/>
          <w:sz w:val="24"/>
          <w:szCs w:val="24"/>
          <w:lang w:val="ro-MD"/>
        </w:rPr>
        <w:t>(</w:t>
      </w:r>
      <w:r w:rsidRPr="00901246">
        <w:rPr>
          <w:rFonts w:asciiTheme="majorHAnsi" w:eastAsia="Times New Roman" w:hAnsiTheme="majorHAnsi" w:cstheme="majorHAnsi"/>
          <w:iCs/>
          <w:sz w:val="24"/>
          <w:szCs w:val="24"/>
          <w:lang w:val="ro-MD"/>
        </w:rPr>
        <w:t>Ucraina, or.</w:t>
      </w:r>
      <w:r w:rsidR="00A47412">
        <w:rPr>
          <w:rFonts w:asciiTheme="majorHAnsi" w:eastAsia="Times New Roman" w:hAnsiTheme="majorHAnsi" w:cstheme="majorHAnsi"/>
          <w:iCs/>
          <w:sz w:val="24"/>
          <w:szCs w:val="24"/>
          <w:lang w:val="ro-MD"/>
        </w:rPr>
        <w:t xml:space="preserve"> </w:t>
      </w:r>
      <w:proofErr w:type="spellStart"/>
      <w:r w:rsidRPr="00901246">
        <w:rPr>
          <w:rFonts w:asciiTheme="majorHAnsi" w:eastAsia="Times New Roman" w:hAnsiTheme="majorHAnsi" w:cstheme="majorHAnsi"/>
          <w:iCs/>
          <w:sz w:val="24"/>
          <w:szCs w:val="24"/>
          <w:lang w:val="ro-MD"/>
        </w:rPr>
        <w:t>Zatoka</w:t>
      </w:r>
      <w:proofErr w:type="spellEnd"/>
      <w:r w:rsidR="002155E3">
        <w:rPr>
          <w:rFonts w:asciiTheme="majorHAnsi" w:eastAsia="Times New Roman" w:hAnsiTheme="majorHAnsi" w:cstheme="majorHAnsi"/>
          <w:iCs/>
          <w:sz w:val="24"/>
          <w:szCs w:val="24"/>
          <w:lang w:val="ro-MD"/>
        </w:rPr>
        <w:t>)</w:t>
      </w:r>
      <w:r w:rsidR="00A47412">
        <w:rPr>
          <w:rFonts w:asciiTheme="majorHAnsi" w:eastAsia="Times New Roman" w:hAnsiTheme="majorHAnsi" w:cstheme="majorHAnsi"/>
          <w:iCs/>
          <w:sz w:val="24"/>
          <w:szCs w:val="24"/>
          <w:lang w:val="ro-MD"/>
        </w:rPr>
        <w:t xml:space="preserve"> și a impozitului privat în sumă de 17,6 mii </w:t>
      </w:r>
      <w:r w:rsidR="007160B9">
        <w:rPr>
          <w:rFonts w:asciiTheme="majorHAnsi" w:eastAsia="Times New Roman" w:hAnsiTheme="majorHAnsi" w:cstheme="majorHAnsi"/>
          <w:iCs/>
          <w:sz w:val="24"/>
          <w:szCs w:val="24"/>
          <w:lang w:val="ro-MD"/>
        </w:rPr>
        <w:t>MDL</w:t>
      </w:r>
      <w:r w:rsidRPr="00901246">
        <w:rPr>
          <w:rFonts w:asciiTheme="majorHAnsi" w:eastAsia="Times New Roman" w:hAnsiTheme="majorHAnsi" w:cstheme="majorHAnsi"/>
          <w:iCs/>
          <w:sz w:val="24"/>
          <w:szCs w:val="24"/>
          <w:lang w:val="ro-MD"/>
        </w:rPr>
        <w:t>.</w:t>
      </w:r>
    </w:p>
    <w:p w:rsidR="00293D03" w:rsidRDefault="00653FC6" w:rsidP="004E103D">
      <w:pPr>
        <w:tabs>
          <w:tab w:val="left" w:pos="0"/>
        </w:tabs>
        <w:spacing w:after="0" w:line="276" w:lineRule="auto"/>
        <w:ind w:firstLine="709"/>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 xml:space="preserve">Examinările auditului atestă că </w:t>
      </w:r>
      <w:r w:rsidR="00310F49">
        <w:rPr>
          <w:rFonts w:asciiTheme="majorHAnsi" w:eastAsia="Times New Roman" w:hAnsiTheme="majorHAnsi" w:cstheme="majorHAnsi"/>
          <w:iCs/>
          <w:sz w:val="24"/>
          <w:szCs w:val="24"/>
          <w:lang w:val="ro-MD"/>
        </w:rPr>
        <w:t>tranzacțiile menționate poartă caracter de răscumpărare a bunurilor privatizate în perioadele precedente (</w:t>
      </w:r>
      <w:r w:rsidR="00310F49" w:rsidRPr="00977324">
        <w:rPr>
          <w:rFonts w:asciiTheme="majorHAnsi" w:eastAsia="Times New Roman" w:hAnsiTheme="majorHAnsi" w:cstheme="majorHAnsi"/>
          <w:iCs/>
          <w:sz w:val="24"/>
          <w:szCs w:val="24"/>
          <w:lang w:val="ro-MD"/>
        </w:rPr>
        <w:t xml:space="preserve">anii </w:t>
      </w:r>
      <w:r w:rsidR="00977324">
        <w:rPr>
          <w:rFonts w:asciiTheme="majorHAnsi" w:eastAsia="Times New Roman" w:hAnsiTheme="majorHAnsi" w:cstheme="majorHAnsi"/>
          <w:iCs/>
          <w:sz w:val="24"/>
          <w:szCs w:val="24"/>
          <w:lang w:val="ro-MD"/>
        </w:rPr>
        <w:t>2010-2017</w:t>
      </w:r>
      <w:r w:rsidR="00310F49" w:rsidRPr="00977324">
        <w:rPr>
          <w:rFonts w:asciiTheme="majorHAnsi" w:eastAsia="Times New Roman" w:hAnsiTheme="majorHAnsi" w:cstheme="majorHAnsi"/>
          <w:iCs/>
          <w:sz w:val="24"/>
          <w:szCs w:val="24"/>
          <w:lang w:val="ro-MD"/>
        </w:rPr>
        <w:t>)</w:t>
      </w:r>
      <w:r w:rsidR="006D035B" w:rsidRPr="00977324">
        <w:rPr>
          <w:rFonts w:asciiTheme="majorHAnsi" w:eastAsia="Times New Roman" w:hAnsiTheme="majorHAnsi" w:cstheme="majorHAnsi"/>
          <w:iCs/>
          <w:sz w:val="24"/>
          <w:szCs w:val="24"/>
          <w:lang w:val="ro-MD"/>
        </w:rPr>
        <w:t>, care</w:t>
      </w:r>
      <w:r w:rsidR="006D035B">
        <w:rPr>
          <w:rFonts w:asciiTheme="majorHAnsi" w:eastAsia="Times New Roman" w:hAnsiTheme="majorHAnsi" w:cstheme="majorHAnsi"/>
          <w:iCs/>
          <w:sz w:val="24"/>
          <w:szCs w:val="24"/>
          <w:lang w:val="ro-MD"/>
        </w:rPr>
        <w:t xml:space="preserve"> întrunesc prevederile</w:t>
      </w:r>
      <w:r w:rsidR="00793C62">
        <w:rPr>
          <w:rFonts w:asciiTheme="majorHAnsi" w:eastAsia="Times New Roman" w:hAnsiTheme="majorHAnsi" w:cstheme="majorHAnsi"/>
          <w:iCs/>
          <w:sz w:val="24"/>
          <w:szCs w:val="24"/>
          <w:lang w:val="ro-MD"/>
        </w:rPr>
        <w:t xml:space="preserve"> </w:t>
      </w:r>
      <w:r w:rsidR="006D035B">
        <w:rPr>
          <w:rFonts w:asciiTheme="majorHAnsi" w:eastAsia="Times New Roman" w:hAnsiTheme="majorHAnsi" w:cstheme="majorHAnsi"/>
          <w:iCs/>
          <w:sz w:val="24"/>
          <w:szCs w:val="24"/>
          <w:lang w:val="ro-MD"/>
        </w:rPr>
        <w:t>cadrului legal</w:t>
      </w:r>
      <w:r w:rsidR="006D035B">
        <w:rPr>
          <w:rStyle w:val="FootnoteReference"/>
          <w:rFonts w:asciiTheme="majorHAnsi" w:eastAsia="Times New Roman" w:hAnsiTheme="majorHAnsi" w:cstheme="majorHAnsi"/>
          <w:iCs/>
          <w:sz w:val="24"/>
          <w:szCs w:val="24"/>
          <w:lang w:val="ro-MD"/>
        </w:rPr>
        <w:footnoteReference w:id="25"/>
      </w:r>
      <w:r w:rsidR="006D035B">
        <w:rPr>
          <w:rFonts w:asciiTheme="majorHAnsi" w:eastAsia="Times New Roman" w:hAnsiTheme="majorHAnsi" w:cstheme="majorHAnsi"/>
          <w:iCs/>
          <w:sz w:val="24"/>
          <w:szCs w:val="24"/>
          <w:lang w:val="ro-MD"/>
        </w:rPr>
        <w:t xml:space="preserve"> și poartă caracter de obiect de expropriere de interes național.</w:t>
      </w:r>
      <w:r w:rsidR="004E103D">
        <w:rPr>
          <w:rFonts w:asciiTheme="majorHAnsi" w:eastAsia="Times New Roman" w:hAnsiTheme="majorHAnsi" w:cstheme="majorHAnsi"/>
          <w:iCs/>
          <w:sz w:val="24"/>
          <w:szCs w:val="24"/>
          <w:lang w:val="ro-MD"/>
        </w:rPr>
        <w:t xml:space="preserve"> </w:t>
      </w:r>
    </w:p>
    <w:p w:rsidR="006D035B" w:rsidRDefault="004E103D" w:rsidP="004E103D">
      <w:pPr>
        <w:tabs>
          <w:tab w:val="left" w:pos="0"/>
        </w:tabs>
        <w:spacing w:after="0" w:line="276" w:lineRule="auto"/>
        <w:ind w:firstLine="709"/>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 xml:space="preserve">Astfel, </w:t>
      </w:r>
      <w:r w:rsidR="00DC023D" w:rsidRPr="005A04A7">
        <w:rPr>
          <w:rFonts w:asciiTheme="majorHAnsi" w:eastAsia="Times New Roman" w:hAnsiTheme="majorHAnsi" w:cstheme="majorHAnsi"/>
          <w:iCs/>
          <w:sz w:val="24"/>
          <w:szCs w:val="24"/>
          <w:lang w:val="ro-MD"/>
        </w:rPr>
        <w:t xml:space="preserve">în </w:t>
      </w:r>
      <w:r w:rsidR="00293D03">
        <w:rPr>
          <w:rFonts w:asciiTheme="majorHAnsi" w:eastAsia="Times New Roman" w:hAnsiTheme="majorHAnsi" w:cstheme="majorHAnsi"/>
          <w:iCs/>
          <w:sz w:val="24"/>
          <w:szCs w:val="24"/>
          <w:lang w:val="ro-MD"/>
        </w:rPr>
        <w:t>viziunea auditului</w:t>
      </w:r>
      <w:r w:rsidR="00420075">
        <w:rPr>
          <w:rFonts w:asciiTheme="majorHAnsi" w:eastAsia="Times New Roman" w:hAnsiTheme="majorHAnsi" w:cstheme="majorHAnsi"/>
          <w:iCs/>
          <w:sz w:val="24"/>
          <w:szCs w:val="24"/>
          <w:lang w:val="ro-MD"/>
        </w:rPr>
        <w:t>,</w:t>
      </w:r>
      <w:r w:rsidR="00293D03">
        <w:rPr>
          <w:rFonts w:asciiTheme="majorHAnsi" w:eastAsia="Times New Roman" w:hAnsiTheme="majorHAnsi" w:cstheme="majorHAnsi"/>
          <w:iCs/>
          <w:sz w:val="24"/>
          <w:szCs w:val="24"/>
          <w:lang w:val="ro-MD"/>
        </w:rPr>
        <w:t xml:space="preserve"> cheltuielile pentru scopurile menționate (efectuarea</w:t>
      </w:r>
      <w:r w:rsidR="00DC023D" w:rsidRPr="005A04A7">
        <w:rPr>
          <w:rFonts w:asciiTheme="majorHAnsi" w:eastAsia="Times New Roman" w:hAnsiTheme="majorHAnsi" w:cstheme="majorHAnsi"/>
          <w:iCs/>
          <w:sz w:val="24"/>
          <w:szCs w:val="24"/>
          <w:lang w:val="ro-MD"/>
        </w:rPr>
        <w:t xml:space="preserve"> lucrări</w:t>
      </w:r>
      <w:r w:rsidR="00293D03">
        <w:rPr>
          <w:rFonts w:asciiTheme="majorHAnsi" w:eastAsia="Times New Roman" w:hAnsiTheme="majorHAnsi" w:cstheme="majorHAnsi"/>
          <w:iCs/>
          <w:sz w:val="24"/>
          <w:szCs w:val="24"/>
          <w:lang w:val="ro-MD"/>
        </w:rPr>
        <w:t>lor</w:t>
      </w:r>
      <w:r w:rsidR="003845A9">
        <w:rPr>
          <w:rFonts w:asciiTheme="majorHAnsi" w:eastAsia="Times New Roman" w:hAnsiTheme="majorHAnsi" w:cstheme="majorHAnsi"/>
          <w:iCs/>
          <w:sz w:val="24"/>
          <w:szCs w:val="24"/>
          <w:lang w:val="ro-MD"/>
        </w:rPr>
        <w:t>/cheltuielilor</w:t>
      </w:r>
      <w:r w:rsidR="00DC023D" w:rsidRPr="005A04A7">
        <w:rPr>
          <w:rFonts w:asciiTheme="majorHAnsi" w:eastAsia="Times New Roman" w:hAnsiTheme="majorHAnsi" w:cstheme="majorHAnsi"/>
          <w:iCs/>
          <w:sz w:val="24"/>
          <w:szCs w:val="24"/>
          <w:lang w:val="ro-MD"/>
        </w:rPr>
        <w:t xml:space="preserve"> pentru cauz</w:t>
      </w:r>
      <w:r w:rsidR="00420075">
        <w:rPr>
          <w:rFonts w:asciiTheme="majorHAnsi" w:eastAsia="Times New Roman" w:hAnsiTheme="majorHAnsi" w:cstheme="majorHAnsi"/>
          <w:iCs/>
          <w:sz w:val="24"/>
          <w:szCs w:val="24"/>
          <w:lang w:val="ro-MD"/>
        </w:rPr>
        <w:t>a</w:t>
      </w:r>
      <w:r w:rsidR="00DC023D" w:rsidRPr="005A04A7">
        <w:rPr>
          <w:rFonts w:asciiTheme="majorHAnsi" w:eastAsia="Times New Roman" w:hAnsiTheme="majorHAnsi" w:cstheme="majorHAnsi"/>
          <w:iCs/>
          <w:sz w:val="24"/>
          <w:szCs w:val="24"/>
          <w:lang w:val="ro-MD"/>
        </w:rPr>
        <w:t xml:space="preserve"> de utilitate publică de interes național</w:t>
      </w:r>
      <w:r w:rsidR="00293D03">
        <w:rPr>
          <w:rFonts w:asciiTheme="majorHAnsi" w:eastAsia="Times New Roman" w:hAnsiTheme="majorHAnsi" w:cstheme="majorHAnsi"/>
          <w:iCs/>
          <w:sz w:val="24"/>
          <w:szCs w:val="24"/>
          <w:lang w:val="ro-MD"/>
        </w:rPr>
        <w:t>)</w:t>
      </w:r>
      <w:r w:rsidR="00DC023D" w:rsidRPr="005A04A7">
        <w:rPr>
          <w:rFonts w:asciiTheme="majorHAnsi" w:eastAsia="Times New Roman" w:hAnsiTheme="majorHAnsi" w:cstheme="majorHAnsi"/>
          <w:iCs/>
          <w:sz w:val="24"/>
          <w:szCs w:val="24"/>
          <w:lang w:val="ro-MD"/>
        </w:rPr>
        <w:t xml:space="preserve"> urmau a fi apr</w:t>
      </w:r>
      <w:r w:rsidR="003845A9">
        <w:rPr>
          <w:rFonts w:asciiTheme="majorHAnsi" w:eastAsia="Times New Roman" w:hAnsiTheme="majorHAnsi" w:cstheme="majorHAnsi"/>
          <w:iCs/>
          <w:sz w:val="24"/>
          <w:szCs w:val="24"/>
          <w:lang w:val="ro-MD"/>
        </w:rPr>
        <w:t>obate prin legea bugetară anuală</w:t>
      </w:r>
      <w:r w:rsidR="00DC023D" w:rsidRPr="005A04A7">
        <w:rPr>
          <w:rFonts w:asciiTheme="majorHAnsi" w:eastAsia="Times New Roman" w:hAnsiTheme="majorHAnsi" w:cstheme="majorHAnsi"/>
          <w:iCs/>
          <w:sz w:val="24"/>
          <w:szCs w:val="24"/>
          <w:lang w:val="ro-MD"/>
        </w:rPr>
        <w:t xml:space="preserve">. </w:t>
      </w:r>
    </w:p>
    <w:p w:rsidR="00C808C6" w:rsidRDefault="003845A9" w:rsidP="00C808C6">
      <w:pPr>
        <w:tabs>
          <w:tab w:val="left" w:pos="0"/>
        </w:tabs>
        <w:spacing w:after="0" w:line="276" w:lineRule="auto"/>
        <w:ind w:firstLine="709"/>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Concomitent, MF</w:t>
      </w:r>
      <w:r w:rsidR="00420075">
        <w:rPr>
          <w:rFonts w:asciiTheme="majorHAnsi" w:eastAsia="Times New Roman" w:hAnsiTheme="majorHAnsi" w:cstheme="majorHAnsi"/>
          <w:iCs/>
          <w:sz w:val="24"/>
          <w:szCs w:val="24"/>
          <w:lang w:val="ro-MD"/>
        </w:rPr>
        <w:t>,</w:t>
      </w:r>
      <w:r>
        <w:rPr>
          <w:rFonts w:asciiTheme="majorHAnsi" w:eastAsia="Times New Roman" w:hAnsiTheme="majorHAnsi" w:cstheme="majorHAnsi"/>
          <w:iCs/>
          <w:sz w:val="24"/>
          <w:szCs w:val="24"/>
          <w:lang w:val="ro-MD"/>
        </w:rPr>
        <w:t xml:space="preserve"> la solicitarea APP</w:t>
      </w:r>
      <w:r w:rsidR="00420075">
        <w:rPr>
          <w:rFonts w:asciiTheme="majorHAnsi" w:eastAsia="Times New Roman" w:hAnsiTheme="majorHAnsi" w:cstheme="majorHAnsi"/>
          <w:iCs/>
          <w:sz w:val="24"/>
          <w:szCs w:val="24"/>
          <w:lang w:val="ro-MD"/>
        </w:rPr>
        <w:t>,</w:t>
      </w:r>
      <w:r>
        <w:rPr>
          <w:rFonts w:asciiTheme="majorHAnsi" w:eastAsia="Times New Roman" w:hAnsiTheme="majorHAnsi" w:cstheme="majorHAnsi"/>
          <w:iCs/>
          <w:sz w:val="24"/>
          <w:szCs w:val="24"/>
          <w:lang w:val="ro-MD"/>
        </w:rPr>
        <w:t xml:space="preserve"> a restituit</w:t>
      </w:r>
      <w:r w:rsidR="00793C62">
        <w:rPr>
          <w:rFonts w:asciiTheme="majorHAnsi" w:eastAsia="Times New Roman" w:hAnsiTheme="majorHAnsi" w:cstheme="majorHAnsi"/>
          <w:iCs/>
          <w:sz w:val="24"/>
          <w:szCs w:val="24"/>
          <w:lang w:val="ro-MD"/>
        </w:rPr>
        <w:t xml:space="preserve"> </w:t>
      </w:r>
      <w:r>
        <w:rPr>
          <w:rFonts w:asciiTheme="majorHAnsi" w:eastAsia="Times New Roman" w:hAnsiTheme="majorHAnsi" w:cstheme="majorHAnsi"/>
          <w:iCs/>
          <w:sz w:val="24"/>
          <w:szCs w:val="24"/>
          <w:lang w:val="ro-MD"/>
        </w:rPr>
        <w:t>și impozitul privat achitat la semnarea contractului de vânzare-cumpărare de către agenți</w:t>
      </w:r>
      <w:r w:rsidR="00420075">
        <w:rPr>
          <w:rFonts w:asciiTheme="majorHAnsi" w:eastAsia="Times New Roman" w:hAnsiTheme="majorHAnsi" w:cstheme="majorHAnsi"/>
          <w:iCs/>
          <w:sz w:val="24"/>
          <w:szCs w:val="24"/>
          <w:lang w:val="ro-MD"/>
        </w:rPr>
        <w:t>i</w:t>
      </w:r>
      <w:r>
        <w:rPr>
          <w:rFonts w:asciiTheme="majorHAnsi" w:eastAsia="Times New Roman" w:hAnsiTheme="majorHAnsi" w:cstheme="majorHAnsi"/>
          <w:iCs/>
          <w:sz w:val="24"/>
          <w:szCs w:val="24"/>
          <w:lang w:val="ro-MD"/>
        </w:rPr>
        <w:t xml:space="preserve"> economici la privatizarea bunurilor menționate în perioadele precedente (anii </w:t>
      </w:r>
      <w:r w:rsidR="00977324">
        <w:rPr>
          <w:rFonts w:asciiTheme="majorHAnsi" w:eastAsia="Times New Roman" w:hAnsiTheme="majorHAnsi" w:cstheme="majorHAnsi"/>
          <w:iCs/>
          <w:sz w:val="24"/>
          <w:szCs w:val="24"/>
          <w:lang w:val="ro-MD"/>
        </w:rPr>
        <w:t>2010</w:t>
      </w:r>
      <w:r w:rsidR="008243A3">
        <w:rPr>
          <w:rFonts w:asciiTheme="majorHAnsi" w:eastAsia="Times New Roman" w:hAnsiTheme="majorHAnsi" w:cstheme="majorHAnsi"/>
          <w:iCs/>
          <w:sz w:val="24"/>
          <w:szCs w:val="24"/>
          <w:lang w:val="ro-MD"/>
        </w:rPr>
        <w:t xml:space="preserve"> </w:t>
      </w:r>
      <w:r w:rsidR="00977324">
        <w:rPr>
          <w:rFonts w:asciiTheme="majorHAnsi" w:eastAsia="Times New Roman" w:hAnsiTheme="majorHAnsi" w:cstheme="majorHAnsi"/>
          <w:iCs/>
          <w:sz w:val="24"/>
          <w:szCs w:val="24"/>
          <w:lang w:val="ro-MD"/>
        </w:rPr>
        <w:t>-</w:t>
      </w:r>
      <w:r w:rsidR="008243A3">
        <w:rPr>
          <w:rFonts w:asciiTheme="majorHAnsi" w:eastAsia="Times New Roman" w:hAnsiTheme="majorHAnsi" w:cstheme="majorHAnsi"/>
          <w:iCs/>
          <w:sz w:val="24"/>
          <w:szCs w:val="24"/>
          <w:lang w:val="ro-MD"/>
        </w:rPr>
        <w:t xml:space="preserve"> </w:t>
      </w:r>
      <w:r w:rsidR="00977324">
        <w:rPr>
          <w:rFonts w:asciiTheme="majorHAnsi" w:eastAsia="Times New Roman" w:hAnsiTheme="majorHAnsi" w:cstheme="majorHAnsi"/>
          <w:iCs/>
          <w:sz w:val="24"/>
          <w:szCs w:val="24"/>
          <w:lang w:val="ro-MD"/>
        </w:rPr>
        <w:t>2017</w:t>
      </w:r>
      <w:r w:rsidRPr="00977324">
        <w:rPr>
          <w:rFonts w:asciiTheme="majorHAnsi" w:eastAsia="Times New Roman" w:hAnsiTheme="majorHAnsi" w:cstheme="majorHAnsi"/>
          <w:iCs/>
          <w:sz w:val="24"/>
          <w:szCs w:val="24"/>
          <w:lang w:val="ro-MD"/>
        </w:rPr>
        <w:t>)</w:t>
      </w:r>
      <w:r w:rsidR="00420075">
        <w:rPr>
          <w:rFonts w:asciiTheme="majorHAnsi" w:eastAsia="Times New Roman" w:hAnsiTheme="majorHAnsi" w:cstheme="majorHAnsi"/>
          <w:iCs/>
          <w:sz w:val="24"/>
          <w:szCs w:val="24"/>
          <w:lang w:val="ro-MD"/>
        </w:rPr>
        <w:t>,</w:t>
      </w:r>
      <w:r>
        <w:rPr>
          <w:rFonts w:asciiTheme="majorHAnsi" w:eastAsia="Times New Roman" w:hAnsiTheme="majorHAnsi" w:cstheme="majorHAnsi"/>
          <w:iCs/>
          <w:sz w:val="24"/>
          <w:szCs w:val="24"/>
          <w:lang w:val="ro-MD"/>
        </w:rPr>
        <w:t xml:space="preserve"> în sumă totală </w:t>
      </w:r>
      <w:r w:rsidRPr="00385BE6">
        <w:rPr>
          <w:rFonts w:asciiTheme="majorHAnsi" w:eastAsia="Times New Roman" w:hAnsiTheme="majorHAnsi" w:cstheme="majorHAnsi"/>
          <w:iCs/>
          <w:sz w:val="24"/>
          <w:szCs w:val="24"/>
          <w:lang w:val="ro-MD"/>
        </w:rPr>
        <w:t xml:space="preserve">de </w:t>
      </w:r>
      <w:r w:rsidR="00E527ED" w:rsidRPr="00385BE6">
        <w:rPr>
          <w:rFonts w:asciiTheme="majorHAnsi" w:eastAsia="Times New Roman" w:hAnsiTheme="majorHAnsi" w:cstheme="majorHAnsi"/>
          <w:iCs/>
          <w:sz w:val="24"/>
          <w:szCs w:val="24"/>
          <w:lang w:val="ro-MD"/>
        </w:rPr>
        <w:t>101,8</w:t>
      </w:r>
      <w:r w:rsidR="003B6ADE" w:rsidRPr="00385BE6">
        <w:rPr>
          <w:rFonts w:asciiTheme="majorHAnsi" w:eastAsia="Times New Roman" w:hAnsiTheme="majorHAnsi" w:cstheme="majorHAnsi"/>
          <w:iCs/>
          <w:sz w:val="24"/>
          <w:szCs w:val="24"/>
          <w:lang w:val="ro-MD"/>
        </w:rPr>
        <w:t xml:space="preserve"> mii </w:t>
      </w:r>
      <w:r w:rsidR="007160B9" w:rsidRPr="00385BE6">
        <w:rPr>
          <w:rFonts w:asciiTheme="majorHAnsi" w:eastAsia="Times New Roman" w:hAnsiTheme="majorHAnsi" w:cstheme="majorHAnsi"/>
          <w:iCs/>
          <w:sz w:val="24"/>
          <w:szCs w:val="24"/>
          <w:lang w:val="ro-MD"/>
        </w:rPr>
        <w:t>MDL</w:t>
      </w:r>
      <w:r w:rsidR="003B6ADE" w:rsidRPr="00385BE6">
        <w:rPr>
          <w:rFonts w:asciiTheme="majorHAnsi" w:eastAsia="Times New Roman" w:hAnsiTheme="majorHAnsi" w:cstheme="majorHAnsi"/>
          <w:iCs/>
          <w:sz w:val="24"/>
          <w:szCs w:val="24"/>
          <w:lang w:val="ro-MD"/>
        </w:rPr>
        <w:t>.</w:t>
      </w:r>
    </w:p>
    <w:p w:rsidR="00FF0F0F" w:rsidRDefault="00420075" w:rsidP="00FF0F0F">
      <w:pPr>
        <w:tabs>
          <w:tab w:val="left" w:pos="0"/>
        </w:tabs>
        <w:spacing w:after="0" w:line="276" w:lineRule="auto"/>
        <w:jc w:val="both"/>
        <w:rPr>
          <w:rFonts w:asciiTheme="majorHAnsi" w:eastAsia="Times New Roman" w:hAnsiTheme="majorHAnsi" w:cstheme="majorHAnsi"/>
          <w:iCs/>
          <w:sz w:val="24"/>
          <w:szCs w:val="24"/>
          <w:lang w:val="ro-MD"/>
        </w:rPr>
      </w:pPr>
      <w:r>
        <w:rPr>
          <w:rFonts w:asciiTheme="majorHAnsi" w:eastAsia="Times New Roman" w:hAnsiTheme="majorHAnsi" w:cstheme="majorHAnsi"/>
          <w:iCs/>
          <w:sz w:val="24"/>
          <w:szCs w:val="24"/>
          <w:lang w:val="ro-MD"/>
        </w:rPr>
        <w:tab/>
      </w:r>
      <w:r w:rsidR="008F080E">
        <w:rPr>
          <w:rFonts w:asciiTheme="majorHAnsi" w:eastAsia="Times New Roman" w:hAnsiTheme="majorHAnsi" w:cstheme="majorHAnsi"/>
          <w:iCs/>
          <w:sz w:val="24"/>
          <w:szCs w:val="24"/>
          <w:lang w:val="ro-MD"/>
        </w:rPr>
        <w:t>Situația constatată</w:t>
      </w:r>
      <w:r w:rsidR="00C808C6">
        <w:rPr>
          <w:rFonts w:asciiTheme="majorHAnsi" w:eastAsia="Times New Roman" w:hAnsiTheme="majorHAnsi" w:cstheme="majorHAnsi"/>
          <w:iCs/>
          <w:sz w:val="24"/>
          <w:szCs w:val="24"/>
          <w:lang w:val="ro-MD"/>
        </w:rPr>
        <w:t xml:space="preserve"> de audit</w:t>
      </w:r>
      <w:r w:rsidR="00DC023D" w:rsidRPr="005A04A7">
        <w:rPr>
          <w:rFonts w:asciiTheme="majorHAnsi" w:eastAsia="Times New Roman" w:hAnsiTheme="majorHAnsi" w:cstheme="majorHAnsi"/>
          <w:iCs/>
          <w:sz w:val="24"/>
          <w:szCs w:val="24"/>
          <w:lang w:val="ro-MD"/>
        </w:rPr>
        <w:t xml:space="preserve"> a condus la: </w:t>
      </w:r>
      <w:r w:rsidR="00C808C6" w:rsidRPr="00C808C6">
        <w:rPr>
          <w:rFonts w:asciiTheme="majorHAnsi" w:eastAsia="Times New Roman" w:hAnsiTheme="majorHAnsi" w:cstheme="majorHAnsi"/>
          <w:i/>
          <w:iCs/>
          <w:sz w:val="24"/>
          <w:szCs w:val="24"/>
          <w:lang w:val="ro-MD"/>
        </w:rPr>
        <w:t xml:space="preserve">(i) </w:t>
      </w:r>
      <w:r w:rsidR="00DC023D" w:rsidRPr="005A04A7">
        <w:rPr>
          <w:rFonts w:asciiTheme="majorHAnsi" w:eastAsia="Times New Roman" w:hAnsiTheme="majorHAnsi" w:cstheme="majorHAnsi"/>
          <w:iCs/>
          <w:sz w:val="24"/>
          <w:szCs w:val="24"/>
          <w:lang w:val="ro-MD"/>
        </w:rPr>
        <w:t>micșorarea veniturilor</w:t>
      </w:r>
      <w:r w:rsidR="00793C62">
        <w:rPr>
          <w:rFonts w:asciiTheme="majorHAnsi" w:eastAsia="Times New Roman" w:hAnsiTheme="majorHAnsi" w:cstheme="majorHAnsi"/>
          <w:iCs/>
          <w:sz w:val="24"/>
          <w:szCs w:val="24"/>
          <w:lang w:val="ro-MD"/>
        </w:rPr>
        <w:t xml:space="preserve"> </w:t>
      </w:r>
      <w:r w:rsidR="00DC023D" w:rsidRPr="005A04A7">
        <w:rPr>
          <w:rFonts w:asciiTheme="majorHAnsi" w:eastAsia="Times New Roman" w:hAnsiTheme="majorHAnsi" w:cstheme="majorHAnsi"/>
          <w:iCs/>
          <w:sz w:val="24"/>
          <w:szCs w:val="24"/>
          <w:lang w:val="ro-MD"/>
        </w:rPr>
        <w:t xml:space="preserve">executate </w:t>
      </w:r>
      <w:r w:rsidR="00393738">
        <w:rPr>
          <w:rFonts w:asciiTheme="majorHAnsi" w:eastAsia="Times New Roman" w:hAnsiTheme="majorHAnsi" w:cstheme="majorHAnsi"/>
          <w:iCs/>
          <w:sz w:val="24"/>
          <w:szCs w:val="24"/>
          <w:lang w:val="ro-MD"/>
        </w:rPr>
        <w:t>de către APP</w:t>
      </w:r>
      <w:r w:rsidR="00C808C6">
        <w:rPr>
          <w:rFonts w:asciiTheme="majorHAnsi" w:eastAsia="Times New Roman" w:hAnsiTheme="majorHAnsi" w:cstheme="majorHAnsi"/>
          <w:iCs/>
          <w:sz w:val="24"/>
          <w:szCs w:val="24"/>
          <w:lang w:val="ro-MD"/>
        </w:rPr>
        <w:t xml:space="preserve"> </w:t>
      </w:r>
      <w:r w:rsidR="00DC023D" w:rsidRPr="005A04A7">
        <w:rPr>
          <w:rFonts w:asciiTheme="majorHAnsi" w:eastAsia="Times New Roman" w:hAnsiTheme="majorHAnsi" w:cstheme="majorHAnsi"/>
          <w:iCs/>
          <w:sz w:val="24"/>
          <w:szCs w:val="24"/>
          <w:lang w:val="ro-MD"/>
        </w:rPr>
        <w:t>de la privatizarea bunurilor proprietate publică</w:t>
      </w:r>
      <w:r w:rsidR="00C808C6">
        <w:rPr>
          <w:rFonts w:asciiTheme="majorHAnsi" w:eastAsia="Times New Roman" w:hAnsiTheme="majorHAnsi" w:cstheme="majorHAnsi"/>
          <w:iCs/>
          <w:sz w:val="24"/>
          <w:szCs w:val="24"/>
          <w:lang w:val="ro-MD"/>
        </w:rPr>
        <w:t xml:space="preserve"> în anul 2018</w:t>
      </w:r>
      <w:r>
        <w:rPr>
          <w:rFonts w:asciiTheme="majorHAnsi" w:eastAsia="Times New Roman" w:hAnsiTheme="majorHAnsi" w:cstheme="majorHAnsi"/>
          <w:iCs/>
          <w:sz w:val="24"/>
          <w:szCs w:val="24"/>
          <w:lang w:val="ro-MD"/>
        </w:rPr>
        <w:t>,</w:t>
      </w:r>
      <w:r w:rsidR="00C808C6">
        <w:rPr>
          <w:rFonts w:asciiTheme="majorHAnsi" w:eastAsia="Times New Roman" w:hAnsiTheme="majorHAnsi" w:cstheme="majorHAnsi"/>
          <w:iCs/>
          <w:sz w:val="24"/>
          <w:szCs w:val="24"/>
          <w:lang w:val="ro-MD"/>
        </w:rPr>
        <w:t xml:space="preserve"> cu 11,8 mil. </w:t>
      </w:r>
      <w:r w:rsidR="007160B9">
        <w:rPr>
          <w:rFonts w:asciiTheme="majorHAnsi" w:eastAsia="Times New Roman" w:hAnsiTheme="majorHAnsi" w:cstheme="majorHAnsi"/>
          <w:iCs/>
          <w:sz w:val="24"/>
          <w:szCs w:val="24"/>
          <w:lang w:val="ro-MD"/>
        </w:rPr>
        <w:t>MDL</w:t>
      </w:r>
      <w:r w:rsidR="00DC023D" w:rsidRPr="005A04A7">
        <w:rPr>
          <w:rFonts w:asciiTheme="majorHAnsi" w:eastAsia="Times New Roman" w:hAnsiTheme="majorHAnsi" w:cstheme="majorHAnsi"/>
          <w:iCs/>
          <w:sz w:val="24"/>
          <w:szCs w:val="24"/>
          <w:lang w:val="ro-MD"/>
        </w:rPr>
        <w:t xml:space="preserve">, </w:t>
      </w:r>
      <w:r w:rsidR="00B23288" w:rsidRPr="00B23288">
        <w:rPr>
          <w:rFonts w:asciiTheme="majorHAnsi" w:eastAsia="Times New Roman" w:hAnsiTheme="majorHAnsi" w:cstheme="majorHAnsi"/>
          <w:i/>
          <w:iCs/>
          <w:sz w:val="24"/>
          <w:szCs w:val="24"/>
          <w:lang w:val="ro-MD"/>
        </w:rPr>
        <w:t>(ii)</w:t>
      </w:r>
      <w:r w:rsidR="00B23288">
        <w:rPr>
          <w:rFonts w:asciiTheme="majorHAnsi" w:eastAsia="Times New Roman" w:hAnsiTheme="majorHAnsi" w:cstheme="majorHAnsi"/>
          <w:iCs/>
          <w:sz w:val="24"/>
          <w:szCs w:val="24"/>
          <w:lang w:val="ro-MD"/>
        </w:rPr>
        <w:t xml:space="preserve"> </w:t>
      </w:r>
      <w:r w:rsidR="00FB0303">
        <w:rPr>
          <w:rFonts w:asciiTheme="majorHAnsi" w:eastAsia="Times New Roman" w:hAnsiTheme="majorHAnsi" w:cstheme="majorHAnsi"/>
          <w:iCs/>
          <w:sz w:val="24"/>
          <w:szCs w:val="24"/>
          <w:lang w:val="ro-MD"/>
        </w:rPr>
        <w:t>diminuarea surselor de finanțare a deficitului BS</w:t>
      </w:r>
      <w:r>
        <w:rPr>
          <w:rFonts w:asciiTheme="majorHAnsi" w:eastAsia="Times New Roman" w:hAnsiTheme="majorHAnsi" w:cstheme="majorHAnsi"/>
          <w:iCs/>
          <w:sz w:val="24"/>
          <w:szCs w:val="24"/>
          <w:lang w:val="ro-MD"/>
        </w:rPr>
        <w:t>,</w:t>
      </w:r>
      <w:r w:rsidR="00FB0303">
        <w:rPr>
          <w:rFonts w:asciiTheme="majorHAnsi" w:eastAsia="Times New Roman" w:hAnsiTheme="majorHAnsi" w:cstheme="majorHAnsi"/>
          <w:iCs/>
          <w:sz w:val="24"/>
          <w:szCs w:val="24"/>
          <w:lang w:val="ro-MD"/>
        </w:rPr>
        <w:t xml:space="preserve"> cu 11,8 mil. </w:t>
      </w:r>
      <w:r w:rsidR="007160B9">
        <w:rPr>
          <w:rFonts w:asciiTheme="majorHAnsi" w:eastAsia="Times New Roman" w:hAnsiTheme="majorHAnsi" w:cstheme="majorHAnsi"/>
          <w:iCs/>
          <w:sz w:val="24"/>
          <w:szCs w:val="24"/>
          <w:lang w:val="ro-MD"/>
        </w:rPr>
        <w:t>MDL</w:t>
      </w:r>
      <w:r w:rsidR="00DC023D" w:rsidRPr="005A04A7">
        <w:rPr>
          <w:rFonts w:asciiTheme="majorHAnsi" w:eastAsia="Times New Roman" w:hAnsiTheme="majorHAnsi" w:cstheme="majorHAnsi"/>
          <w:iCs/>
          <w:sz w:val="24"/>
          <w:szCs w:val="24"/>
          <w:lang w:val="ro-MD"/>
        </w:rPr>
        <w:t xml:space="preserve">, </w:t>
      </w:r>
      <w:r w:rsidR="00AB707F" w:rsidRPr="00AB707F">
        <w:rPr>
          <w:rFonts w:asciiTheme="majorHAnsi" w:eastAsia="Times New Roman" w:hAnsiTheme="majorHAnsi" w:cstheme="majorHAnsi"/>
          <w:i/>
          <w:iCs/>
          <w:sz w:val="24"/>
          <w:szCs w:val="24"/>
          <w:lang w:val="ro-MD"/>
        </w:rPr>
        <w:t>(iii)</w:t>
      </w:r>
      <w:r w:rsidR="00AB707F">
        <w:rPr>
          <w:rFonts w:asciiTheme="majorHAnsi" w:eastAsia="Times New Roman" w:hAnsiTheme="majorHAnsi" w:cstheme="majorHAnsi"/>
          <w:iCs/>
          <w:sz w:val="24"/>
          <w:szCs w:val="24"/>
          <w:lang w:val="ro-MD"/>
        </w:rPr>
        <w:t xml:space="preserve"> </w:t>
      </w:r>
      <w:proofErr w:type="spellStart"/>
      <w:r w:rsidR="00FF0F0F">
        <w:rPr>
          <w:rFonts w:asciiTheme="majorHAnsi" w:eastAsia="Times New Roman" w:hAnsiTheme="majorHAnsi" w:cstheme="majorHAnsi"/>
          <w:iCs/>
          <w:sz w:val="24"/>
          <w:szCs w:val="24"/>
          <w:lang w:val="ro-MD"/>
        </w:rPr>
        <w:t>nereflectarea</w:t>
      </w:r>
      <w:proofErr w:type="spellEnd"/>
      <w:r w:rsidR="00FF0F0F">
        <w:rPr>
          <w:rFonts w:asciiTheme="majorHAnsi" w:eastAsia="Times New Roman" w:hAnsiTheme="majorHAnsi" w:cstheme="majorHAnsi"/>
          <w:iCs/>
          <w:sz w:val="24"/>
          <w:szCs w:val="24"/>
          <w:lang w:val="ro-MD"/>
        </w:rPr>
        <w:t xml:space="preserve"> (micșorarea) cheltuielilor pentru răscumpărarea bunurilor pent</w:t>
      </w:r>
      <w:r w:rsidR="00E31E9B">
        <w:rPr>
          <w:rFonts w:asciiTheme="majorHAnsi" w:eastAsia="Times New Roman" w:hAnsiTheme="majorHAnsi" w:cstheme="majorHAnsi"/>
          <w:iCs/>
          <w:sz w:val="24"/>
          <w:szCs w:val="24"/>
          <w:lang w:val="ro-MD"/>
        </w:rPr>
        <w:t>ru cauz</w:t>
      </w:r>
      <w:r>
        <w:rPr>
          <w:rFonts w:asciiTheme="majorHAnsi" w:eastAsia="Times New Roman" w:hAnsiTheme="majorHAnsi" w:cstheme="majorHAnsi"/>
          <w:iCs/>
          <w:sz w:val="24"/>
          <w:szCs w:val="24"/>
          <w:lang w:val="ro-MD"/>
        </w:rPr>
        <w:t>a</w:t>
      </w:r>
      <w:r w:rsidR="00E31E9B">
        <w:rPr>
          <w:rFonts w:asciiTheme="majorHAnsi" w:eastAsia="Times New Roman" w:hAnsiTheme="majorHAnsi" w:cstheme="majorHAnsi"/>
          <w:iCs/>
          <w:sz w:val="24"/>
          <w:szCs w:val="24"/>
          <w:lang w:val="ro-MD"/>
        </w:rPr>
        <w:t xml:space="preserve"> de utilitate publică,</w:t>
      </w:r>
      <w:r w:rsidR="00DC023D" w:rsidRPr="005A04A7">
        <w:rPr>
          <w:rFonts w:asciiTheme="majorHAnsi" w:eastAsia="Times New Roman" w:hAnsiTheme="majorHAnsi" w:cstheme="majorHAnsi"/>
          <w:iCs/>
          <w:sz w:val="24"/>
          <w:szCs w:val="24"/>
          <w:lang w:val="ro-MD"/>
        </w:rPr>
        <w:t xml:space="preserve"> </w:t>
      </w:r>
      <w:r w:rsidR="00FF0F0F" w:rsidRPr="00FB186A">
        <w:rPr>
          <w:rFonts w:asciiTheme="majorHAnsi" w:eastAsia="Times New Roman" w:hAnsiTheme="majorHAnsi" w:cstheme="majorHAnsi"/>
          <w:i/>
          <w:iCs/>
          <w:sz w:val="24"/>
          <w:szCs w:val="24"/>
          <w:lang w:val="ro-MD"/>
        </w:rPr>
        <w:t>(iv)</w:t>
      </w:r>
      <w:r w:rsidR="00FF0F0F">
        <w:rPr>
          <w:rFonts w:asciiTheme="majorHAnsi" w:eastAsia="Times New Roman" w:hAnsiTheme="majorHAnsi" w:cstheme="majorHAnsi"/>
          <w:iCs/>
          <w:sz w:val="24"/>
          <w:szCs w:val="24"/>
          <w:lang w:val="ro-MD"/>
        </w:rPr>
        <w:t xml:space="preserve"> neasigurarea și </w:t>
      </w:r>
      <w:proofErr w:type="spellStart"/>
      <w:r>
        <w:rPr>
          <w:rFonts w:asciiTheme="majorHAnsi" w:eastAsia="Times New Roman" w:hAnsiTheme="majorHAnsi" w:cstheme="majorHAnsi"/>
          <w:iCs/>
          <w:sz w:val="24"/>
          <w:szCs w:val="24"/>
          <w:lang w:val="ro-MD"/>
        </w:rPr>
        <w:t>ne</w:t>
      </w:r>
      <w:r w:rsidR="00FF0F0F">
        <w:rPr>
          <w:rFonts w:asciiTheme="majorHAnsi" w:eastAsia="Times New Roman" w:hAnsiTheme="majorHAnsi" w:cstheme="majorHAnsi"/>
          <w:iCs/>
          <w:sz w:val="24"/>
          <w:szCs w:val="24"/>
          <w:lang w:val="ro-MD"/>
        </w:rPr>
        <w:t>monitorizarea</w:t>
      </w:r>
      <w:proofErr w:type="spellEnd"/>
      <w:r w:rsidR="00FF0F0F">
        <w:rPr>
          <w:rFonts w:asciiTheme="majorHAnsi" w:eastAsia="Times New Roman" w:hAnsiTheme="majorHAnsi" w:cstheme="majorHAnsi"/>
          <w:iCs/>
          <w:sz w:val="24"/>
          <w:szCs w:val="24"/>
          <w:lang w:val="ro-MD"/>
        </w:rPr>
        <w:t xml:space="preserve"> majorării</w:t>
      </w:r>
      <w:r w:rsidR="00DC023D" w:rsidRPr="005A04A7">
        <w:rPr>
          <w:rFonts w:asciiTheme="majorHAnsi" w:eastAsia="Times New Roman" w:hAnsiTheme="majorHAnsi" w:cstheme="majorHAnsi"/>
          <w:iCs/>
          <w:sz w:val="24"/>
          <w:szCs w:val="24"/>
          <w:lang w:val="ro-MD"/>
        </w:rPr>
        <w:t xml:space="preserve"> valorii clădirii cu suma răscumpărată</w:t>
      </w:r>
      <w:r>
        <w:rPr>
          <w:rFonts w:asciiTheme="majorHAnsi" w:eastAsia="Times New Roman" w:hAnsiTheme="majorHAnsi" w:cstheme="majorHAnsi"/>
          <w:iCs/>
          <w:sz w:val="24"/>
          <w:szCs w:val="24"/>
          <w:lang w:val="ro-MD"/>
        </w:rPr>
        <w:t>,</w:t>
      </w:r>
      <w:r w:rsidR="00FF0F0F">
        <w:rPr>
          <w:rFonts w:asciiTheme="majorHAnsi" w:eastAsia="Times New Roman" w:hAnsiTheme="majorHAnsi" w:cstheme="majorHAnsi"/>
          <w:iCs/>
          <w:sz w:val="24"/>
          <w:szCs w:val="24"/>
          <w:lang w:val="ro-MD"/>
        </w:rPr>
        <w:t xml:space="preserve"> </w:t>
      </w:r>
      <w:r w:rsidR="00FF0F0F" w:rsidRPr="005A04A7">
        <w:rPr>
          <w:rFonts w:asciiTheme="majorHAnsi" w:eastAsia="Times New Roman" w:hAnsiTheme="majorHAnsi" w:cstheme="majorHAnsi"/>
          <w:iCs/>
          <w:sz w:val="24"/>
          <w:szCs w:val="24"/>
          <w:lang w:val="ro-MD"/>
        </w:rPr>
        <w:t xml:space="preserve">în </w:t>
      </w:r>
      <w:r w:rsidR="00FF0F0F">
        <w:rPr>
          <w:rFonts w:asciiTheme="majorHAnsi" w:eastAsia="Times New Roman" w:hAnsiTheme="majorHAnsi" w:cstheme="majorHAnsi"/>
          <w:iCs/>
          <w:sz w:val="24"/>
          <w:szCs w:val="24"/>
          <w:lang w:val="ro-MD"/>
        </w:rPr>
        <w:t xml:space="preserve">valoare totală </w:t>
      </w:r>
      <w:r w:rsidR="00CB1515">
        <w:rPr>
          <w:rFonts w:asciiTheme="majorHAnsi" w:eastAsia="Times New Roman" w:hAnsiTheme="majorHAnsi" w:cstheme="majorHAnsi"/>
          <w:iCs/>
          <w:sz w:val="24"/>
          <w:szCs w:val="24"/>
          <w:lang w:val="ro-MD"/>
        </w:rPr>
        <w:t>de 11,8</w:t>
      </w:r>
      <w:r w:rsidR="00FF0F0F" w:rsidRPr="00CB1515">
        <w:rPr>
          <w:rFonts w:asciiTheme="majorHAnsi" w:eastAsia="Times New Roman" w:hAnsiTheme="majorHAnsi" w:cstheme="majorHAnsi"/>
          <w:iCs/>
          <w:sz w:val="24"/>
          <w:szCs w:val="24"/>
          <w:lang w:val="ro-MD"/>
        </w:rPr>
        <w:t xml:space="preserve"> mil. </w:t>
      </w:r>
      <w:r w:rsidR="007160B9">
        <w:rPr>
          <w:rFonts w:asciiTheme="majorHAnsi" w:eastAsia="Times New Roman" w:hAnsiTheme="majorHAnsi" w:cstheme="majorHAnsi"/>
          <w:iCs/>
          <w:sz w:val="24"/>
          <w:szCs w:val="24"/>
          <w:lang w:val="ro-MD"/>
        </w:rPr>
        <w:t>MDL</w:t>
      </w:r>
      <w:r w:rsidR="00793C62">
        <w:rPr>
          <w:rFonts w:asciiTheme="majorHAnsi" w:eastAsia="Times New Roman" w:hAnsiTheme="majorHAnsi" w:cstheme="majorHAnsi"/>
          <w:iCs/>
          <w:sz w:val="24"/>
          <w:szCs w:val="24"/>
          <w:lang w:val="ro-MD"/>
        </w:rPr>
        <w:t xml:space="preserve"> </w:t>
      </w:r>
      <w:r w:rsidR="00FF0F0F" w:rsidRPr="00CB1515">
        <w:rPr>
          <w:rFonts w:asciiTheme="majorHAnsi" w:eastAsia="Times New Roman" w:hAnsiTheme="majorHAnsi" w:cstheme="majorHAnsi"/>
          <w:iCs/>
          <w:sz w:val="24"/>
          <w:szCs w:val="24"/>
          <w:lang w:val="ro-MD"/>
        </w:rPr>
        <w:t>pentru</w:t>
      </w:r>
      <w:r w:rsidR="00CB1515">
        <w:rPr>
          <w:rFonts w:asciiTheme="majorHAnsi" w:eastAsia="Times New Roman" w:hAnsiTheme="majorHAnsi" w:cstheme="majorHAnsi"/>
          <w:iCs/>
          <w:sz w:val="24"/>
          <w:szCs w:val="24"/>
          <w:lang w:val="ro-MD"/>
        </w:rPr>
        <w:t xml:space="preserve"> încăperile cu suprafața de</w:t>
      </w:r>
      <w:r w:rsidR="00FF0F0F">
        <w:rPr>
          <w:rFonts w:asciiTheme="majorHAnsi" w:eastAsia="Times New Roman" w:hAnsiTheme="majorHAnsi" w:cstheme="majorHAnsi"/>
          <w:iCs/>
          <w:sz w:val="24"/>
          <w:szCs w:val="24"/>
          <w:lang w:val="ro-MD"/>
        </w:rPr>
        <w:t xml:space="preserve"> </w:t>
      </w:r>
      <w:r w:rsidR="002735A5">
        <w:rPr>
          <w:rFonts w:asciiTheme="majorHAnsi" w:eastAsia="Times New Roman" w:hAnsiTheme="majorHAnsi" w:cstheme="majorHAnsi"/>
          <w:iCs/>
          <w:sz w:val="24"/>
          <w:szCs w:val="24"/>
          <w:lang w:val="ro-MD"/>
        </w:rPr>
        <w:t>1601,9</w:t>
      </w:r>
      <w:r w:rsidR="00FF0F0F" w:rsidRPr="005A04A7">
        <w:rPr>
          <w:rFonts w:asciiTheme="majorHAnsi" w:eastAsia="Times New Roman" w:hAnsiTheme="majorHAnsi" w:cstheme="majorHAnsi"/>
          <w:iCs/>
          <w:sz w:val="24"/>
          <w:szCs w:val="24"/>
          <w:lang w:val="ro-MD"/>
        </w:rPr>
        <w:t xml:space="preserve"> m.</w:t>
      </w:r>
      <w:r w:rsidR="00FF0F0F">
        <w:rPr>
          <w:rFonts w:asciiTheme="majorHAnsi" w:eastAsia="Times New Roman" w:hAnsiTheme="majorHAnsi" w:cstheme="majorHAnsi"/>
          <w:iCs/>
          <w:sz w:val="24"/>
          <w:szCs w:val="24"/>
          <w:lang w:val="ro-MD"/>
        </w:rPr>
        <w:t>p. situate în mun. Chișinău, bd.</w:t>
      </w:r>
      <w:r w:rsidR="00793C62">
        <w:rPr>
          <w:rFonts w:asciiTheme="majorHAnsi" w:eastAsia="Times New Roman" w:hAnsiTheme="majorHAnsi" w:cstheme="majorHAnsi"/>
          <w:iCs/>
          <w:sz w:val="24"/>
          <w:szCs w:val="24"/>
          <w:lang w:val="ro-MD"/>
        </w:rPr>
        <w:t xml:space="preserve"> </w:t>
      </w:r>
      <w:r w:rsidR="00FF0F0F">
        <w:rPr>
          <w:rFonts w:asciiTheme="majorHAnsi" w:eastAsia="Times New Roman" w:hAnsiTheme="majorHAnsi" w:cstheme="majorHAnsi"/>
          <w:iCs/>
          <w:sz w:val="24"/>
          <w:szCs w:val="24"/>
          <w:lang w:val="ro-MD"/>
        </w:rPr>
        <w:t>Ștefan cel Mare și Sfânt nr.73, lit. A (actualmente Procuratura Generală).</w:t>
      </w:r>
    </w:p>
    <w:p w:rsidR="00BE17F4" w:rsidRDefault="00BE17F4" w:rsidP="00152D63">
      <w:pPr>
        <w:tabs>
          <w:tab w:val="left" w:pos="0"/>
        </w:tabs>
        <w:spacing w:after="0" w:line="276" w:lineRule="auto"/>
        <w:ind w:firstLine="709"/>
        <w:jc w:val="both"/>
        <w:rPr>
          <w:rFonts w:asciiTheme="majorHAnsi" w:eastAsia="Times New Roman" w:hAnsiTheme="majorHAnsi" w:cstheme="majorHAnsi"/>
          <w:iCs/>
          <w:sz w:val="24"/>
          <w:szCs w:val="24"/>
          <w:lang w:val="ro-MD"/>
        </w:rPr>
      </w:pPr>
      <w:r w:rsidRPr="00EC3437">
        <w:rPr>
          <w:rFonts w:asciiTheme="majorHAnsi" w:eastAsia="Times New Roman" w:hAnsiTheme="majorHAnsi" w:cstheme="majorHAnsi"/>
          <w:iCs/>
          <w:sz w:val="24"/>
          <w:szCs w:val="24"/>
          <w:lang w:val="ro-MD"/>
        </w:rPr>
        <w:t xml:space="preserve">Totodată, auditul menționează că </w:t>
      </w:r>
      <w:r w:rsidR="00EC3437" w:rsidRPr="00EC3437">
        <w:rPr>
          <w:rFonts w:asciiTheme="majorHAnsi" w:eastAsia="Times New Roman" w:hAnsiTheme="majorHAnsi" w:cstheme="majorHAnsi"/>
          <w:iCs/>
          <w:sz w:val="24"/>
          <w:szCs w:val="24"/>
          <w:lang w:val="ro-MD"/>
        </w:rPr>
        <w:t>nu au fost</w:t>
      </w:r>
      <w:r w:rsidRPr="00EC3437">
        <w:rPr>
          <w:rFonts w:asciiTheme="majorHAnsi" w:eastAsia="Times New Roman" w:hAnsiTheme="majorHAnsi" w:cstheme="majorHAnsi"/>
          <w:iCs/>
          <w:sz w:val="24"/>
          <w:szCs w:val="24"/>
          <w:lang w:val="ro-MD"/>
        </w:rPr>
        <w:t xml:space="preserve"> </w:t>
      </w:r>
      <w:r w:rsidR="00EC3437" w:rsidRPr="00EC3437">
        <w:rPr>
          <w:rFonts w:asciiTheme="majorHAnsi" w:eastAsia="Times New Roman" w:hAnsiTheme="majorHAnsi" w:cstheme="majorHAnsi"/>
          <w:iCs/>
          <w:sz w:val="24"/>
          <w:szCs w:val="24"/>
          <w:lang w:val="ro-MD"/>
        </w:rPr>
        <w:t>încheiate acorduri</w:t>
      </w:r>
      <w:r w:rsidRPr="00EC3437">
        <w:rPr>
          <w:rFonts w:asciiTheme="majorHAnsi" w:eastAsia="Times New Roman" w:hAnsiTheme="majorHAnsi" w:cstheme="majorHAnsi"/>
          <w:iCs/>
          <w:sz w:val="24"/>
          <w:szCs w:val="24"/>
          <w:lang w:val="ro-MD"/>
        </w:rPr>
        <w:t xml:space="preserve"> de rezoluțiune cu toți proprietarii spațiilor nelocuibile</w:t>
      </w:r>
      <w:r w:rsidR="00420075">
        <w:rPr>
          <w:rFonts w:asciiTheme="majorHAnsi" w:eastAsia="Times New Roman" w:hAnsiTheme="majorHAnsi" w:cstheme="majorHAnsi"/>
          <w:iCs/>
          <w:sz w:val="24"/>
          <w:szCs w:val="24"/>
          <w:lang w:val="ro-MD"/>
        </w:rPr>
        <w:t xml:space="preserve"> din</w:t>
      </w:r>
      <w:r w:rsidR="00152D63" w:rsidRPr="00EC3437">
        <w:rPr>
          <w:rFonts w:asciiTheme="majorHAnsi" w:eastAsia="Times New Roman" w:hAnsiTheme="majorHAnsi" w:cstheme="majorHAnsi"/>
          <w:iCs/>
          <w:sz w:val="24"/>
          <w:szCs w:val="24"/>
          <w:lang w:val="ro-MD"/>
        </w:rPr>
        <w:t xml:space="preserve"> </w:t>
      </w:r>
      <w:r w:rsidR="00420075">
        <w:rPr>
          <w:rFonts w:asciiTheme="majorHAnsi" w:eastAsia="Times New Roman" w:hAnsiTheme="majorHAnsi" w:cstheme="majorHAnsi"/>
          <w:iCs/>
          <w:sz w:val="24"/>
          <w:szCs w:val="24"/>
          <w:lang w:val="ro-MD"/>
        </w:rPr>
        <w:t xml:space="preserve">cauza </w:t>
      </w:r>
      <w:r w:rsidR="00152D63" w:rsidRPr="00EC3437">
        <w:rPr>
          <w:rFonts w:asciiTheme="majorHAnsi" w:eastAsia="Times New Roman" w:hAnsiTheme="majorHAnsi" w:cstheme="majorHAnsi"/>
          <w:iCs/>
          <w:sz w:val="24"/>
          <w:szCs w:val="24"/>
          <w:lang w:val="ro-MD"/>
        </w:rPr>
        <w:t>dezacordul</w:t>
      </w:r>
      <w:r w:rsidR="00EC3437" w:rsidRPr="00EC3437">
        <w:rPr>
          <w:rFonts w:asciiTheme="majorHAnsi" w:eastAsia="Times New Roman" w:hAnsiTheme="majorHAnsi" w:cstheme="majorHAnsi"/>
          <w:iCs/>
          <w:sz w:val="24"/>
          <w:szCs w:val="24"/>
          <w:lang w:val="ro-MD"/>
        </w:rPr>
        <w:t>ui</w:t>
      </w:r>
      <w:r w:rsidR="00152D63" w:rsidRPr="00EC3437">
        <w:rPr>
          <w:rFonts w:asciiTheme="majorHAnsi" w:eastAsia="Times New Roman" w:hAnsiTheme="majorHAnsi" w:cstheme="majorHAnsi"/>
          <w:iCs/>
          <w:sz w:val="24"/>
          <w:szCs w:val="24"/>
          <w:lang w:val="ro-MD"/>
        </w:rPr>
        <w:t xml:space="preserve"> unor proprietari asupra prețului obținut urmare </w:t>
      </w:r>
      <w:r w:rsidR="00420075">
        <w:rPr>
          <w:rFonts w:asciiTheme="majorHAnsi" w:eastAsia="Times New Roman" w:hAnsiTheme="majorHAnsi" w:cstheme="majorHAnsi"/>
          <w:iCs/>
          <w:sz w:val="24"/>
          <w:szCs w:val="24"/>
          <w:lang w:val="ro-MD"/>
        </w:rPr>
        <w:t xml:space="preserve">a </w:t>
      </w:r>
      <w:r w:rsidR="00152D63" w:rsidRPr="00EC3437">
        <w:rPr>
          <w:rFonts w:asciiTheme="majorHAnsi" w:eastAsia="Times New Roman" w:hAnsiTheme="majorHAnsi" w:cstheme="majorHAnsi"/>
          <w:iCs/>
          <w:sz w:val="24"/>
          <w:szCs w:val="24"/>
          <w:lang w:val="ro-MD"/>
        </w:rPr>
        <w:t>rezoluțiunii contractelor, care nu acoperă investițiile efectuate, precum și înstrăinării de către cumpărătorii inițiali a încăperilor procurate.</w:t>
      </w:r>
    </w:p>
    <w:p w:rsidR="00CC05D7" w:rsidRDefault="00CC05D7" w:rsidP="00FF0F0F">
      <w:pPr>
        <w:tabs>
          <w:tab w:val="left" w:pos="0"/>
        </w:tabs>
        <w:spacing w:after="0" w:line="276" w:lineRule="auto"/>
        <w:jc w:val="both"/>
        <w:rPr>
          <w:rFonts w:asciiTheme="majorHAnsi" w:eastAsia="Times New Roman" w:hAnsiTheme="majorHAnsi" w:cstheme="majorHAnsi"/>
          <w:iCs/>
          <w:sz w:val="24"/>
          <w:szCs w:val="24"/>
          <w:lang w:val="ro-MD"/>
        </w:rPr>
      </w:pPr>
    </w:p>
    <w:p w:rsidR="007E62CB" w:rsidRDefault="00C22DF8" w:rsidP="00314F2C">
      <w:pPr>
        <w:pStyle w:val="Heading3"/>
        <w:tabs>
          <w:tab w:val="left" w:pos="567"/>
        </w:tabs>
        <w:jc w:val="both"/>
        <w:rPr>
          <w:rFonts w:eastAsia="Times New Roman" w:cstheme="majorHAnsi"/>
          <w:b/>
          <w:iCs/>
          <w:color w:val="000000" w:themeColor="text1"/>
          <w:lang w:val="ro-MD"/>
        </w:rPr>
      </w:pPr>
      <w:bookmarkStart w:id="13" w:name="_Toc10126085"/>
      <w:r>
        <w:rPr>
          <w:rFonts w:eastAsia="Times New Roman" w:cstheme="majorHAnsi"/>
          <w:b/>
          <w:iCs/>
          <w:color w:val="000000" w:themeColor="text1"/>
          <w:lang w:val="ro-MD"/>
        </w:rPr>
        <w:t>3.2</w:t>
      </w:r>
      <w:r w:rsidR="005537C7">
        <w:rPr>
          <w:rFonts w:eastAsia="Times New Roman" w:cstheme="majorHAnsi"/>
          <w:b/>
          <w:iCs/>
          <w:color w:val="000000" w:themeColor="text1"/>
          <w:lang w:val="ro-MD"/>
        </w:rPr>
        <w:t>.5</w:t>
      </w:r>
      <w:r w:rsidR="00CC05D7" w:rsidRPr="003C5E92">
        <w:rPr>
          <w:rFonts w:eastAsia="Times New Roman" w:cstheme="majorHAnsi"/>
          <w:b/>
          <w:iCs/>
          <w:color w:val="000000" w:themeColor="text1"/>
          <w:lang w:val="ro-MD"/>
        </w:rPr>
        <w:tab/>
      </w:r>
      <w:r w:rsidR="00A956F1">
        <w:rPr>
          <w:rFonts w:eastAsia="Times New Roman" w:cstheme="majorHAnsi"/>
          <w:b/>
          <w:iCs/>
          <w:color w:val="000000" w:themeColor="text1"/>
          <w:lang w:val="ro-MD"/>
        </w:rPr>
        <w:t>Cheltuiel</w:t>
      </w:r>
      <w:r w:rsidR="008E04F8">
        <w:rPr>
          <w:rFonts w:eastAsia="Times New Roman" w:cstheme="majorHAnsi"/>
          <w:b/>
          <w:iCs/>
          <w:color w:val="000000" w:themeColor="text1"/>
          <w:lang w:val="ro-MD"/>
        </w:rPr>
        <w:t xml:space="preserve">ile bugetare </w:t>
      </w:r>
      <w:r w:rsidR="00822A3D">
        <w:rPr>
          <w:rFonts w:eastAsia="Times New Roman" w:cstheme="majorHAnsi"/>
          <w:b/>
          <w:iCs/>
          <w:color w:val="000000" w:themeColor="text1"/>
          <w:lang w:val="ro-MD"/>
        </w:rPr>
        <w:t xml:space="preserve">efectuate </w:t>
      </w:r>
      <w:r w:rsidR="008E04F8">
        <w:rPr>
          <w:rFonts w:eastAsia="Times New Roman" w:cstheme="majorHAnsi"/>
          <w:b/>
          <w:iCs/>
          <w:color w:val="000000" w:themeColor="text1"/>
          <w:lang w:val="ro-MD"/>
        </w:rPr>
        <w:t>î</w:t>
      </w:r>
      <w:r w:rsidR="00A956F1">
        <w:rPr>
          <w:rFonts w:eastAsia="Times New Roman" w:cstheme="majorHAnsi"/>
          <w:b/>
          <w:iCs/>
          <w:color w:val="000000" w:themeColor="text1"/>
          <w:lang w:val="ro-MD"/>
        </w:rPr>
        <w:t>n scopul majorării capitalului social a</w:t>
      </w:r>
      <w:r w:rsidR="00822A3D">
        <w:rPr>
          <w:rFonts w:eastAsia="Times New Roman" w:cstheme="majorHAnsi"/>
          <w:b/>
          <w:iCs/>
          <w:color w:val="000000" w:themeColor="text1"/>
          <w:lang w:val="ro-MD"/>
        </w:rPr>
        <w:t>l</w:t>
      </w:r>
      <w:r w:rsidR="00A956F1">
        <w:rPr>
          <w:rFonts w:eastAsia="Times New Roman" w:cstheme="majorHAnsi"/>
          <w:b/>
          <w:iCs/>
          <w:color w:val="000000" w:themeColor="text1"/>
          <w:lang w:val="ro-MD"/>
        </w:rPr>
        <w:t xml:space="preserve"> unor entități au fost raportate cu unele rezerve.</w:t>
      </w:r>
      <w:bookmarkEnd w:id="13"/>
    </w:p>
    <w:p w:rsidR="007E62CB" w:rsidRPr="006526D1" w:rsidRDefault="007E62CB" w:rsidP="00FB186A">
      <w:pPr>
        <w:spacing w:after="0"/>
        <w:ind w:firstLine="709"/>
        <w:jc w:val="both"/>
        <w:rPr>
          <w:rFonts w:asciiTheme="majorHAnsi" w:hAnsiTheme="majorHAnsi" w:cstheme="majorHAnsi"/>
          <w:sz w:val="24"/>
          <w:szCs w:val="24"/>
        </w:rPr>
      </w:pPr>
      <w:r w:rsidRPr="00000B65">
        <w:rPr>
          <w:rFonts w:asciiTheme="majorHAnsi" w:hAnsiTheme="majorHAnsi" w:cstheme="majorHAnsi"/>
          <w:sz w:val="24"/>
          <w:szCs w:val="24"/>
        </w:rPr>
        <w:t>Potrivit art.5 din Legea bugetului de stat pentru anul 2018 nr.289 din 15.12.2017</w:t>
      </w:r>
      <w:r w:rsidR="00822A3D">
        <w:rPr>
          <w:rFonts w:asciiTheme="majorHAnsi" w:hAnsiTheme="majorHAnsi" w:cstheme="majorHAnsi"/>
          <w:sz w:val="24"/>
          <w:szCs w:val="24"/>
        </w:rPr>
        <w:t>,</w:t>
      </w:r>
      <w:r w:rsidRPr="00000B65">
        <w:rPr>
          <w:rFonts w:asciiTheme="majorHAnsi" w:hAnsiTheme="majorHAnsi" w:cstheme="majorHAnsi"/>
          <w:sz w:val="24"/>
          <w:szCs w:val="24"/>
        </w:rPr>
        <w:t xml:space="preserve"> au fost </w:t>
      </w:r>
      <w:r w:rsidRPr="006526D1">
        <w:rPr>
          <w:rFonts w:asciiTheme="majorHAnsi" w:hAnsiTheme="majorHAnsi" w:cstheme="majorHAnsi"/>
          <w:sz w:val="24"/>
          <w:szCs w:val="24"/>
        </w:rPr>
        <w:t>prevăzute mijloace financiare în volum de 216,2 mil</w:t>
      </w:r>
      <w:r w:rsidR="00000B65" w:rsidRPr="006526D1">
        <w:rPr>
          <w:rFonts w:asciiTheme="majorHAnsi" w:hAnsiTheme="majorHAnsi" w:cstheme="majorHAnsi"/>
          <w:sz w:val="24"/>
          <w:szCs w:val="24"/>
        </w:rPr>
        <w:t>.</w:t>
      </w:r>
      <w:r w:rsidRPr="006526D1">
        <w:rPr>
          <w:rFonts w:asciiTheme="majorHAnsi" w:hAnsiTheme="majorHAnsi" w:cstheme="majorHAnsi"/>
          <w:sz w:val="24"/>
          <w:szCs w:val="24"/>
        </w:rPr>
        <w:t xml:space="preserve"> </w:t>
      </w:r>
      <w:r w:rsidR="007160B9" w:rsidRPr="006526D1">
        <w:rPr>
          <w:rFonts w:asciiTheme="majorHAnsi" w:hAnsiTheme="majorHAnsi" w:cstheme="majorHAnsi"/>
          <w:sz w:val="24"/>
          <w:szCs w:val="24"/>
        </w:rPr>
        <w:t>MDL</w:t>
      </w:r>
      <w:r w:rsidRPr="006526D1">
        <w:rPr>
          <w:rFonts w:asciiTheme="majorHAnsi" w:hAnsiTheme="majorHAnsi" w:cstheme="majorHAnsi"/>
          <w:sz w:val="24"/>
          <w:szCs w:val="24"/>
        </w:rPr>
        <w:t xml:space="preserve"> pentru majorarea capitalului s</w:t>
      </w:r>
      <w:r w:rsidR="00000B65" w:rsidRPr="006526D1">
        <w:rPr>
          <w:rFonts w:asciiTheme="majorHAnsi" w:hAnsiTheme="majorHAnsi" w:cstheme="majorHAnsi"/>
          <w:sz w:val="24"/>
          <w:szCs w:val="24"/>
        </w:rPr>
        <w:t>ocial al: ÎS „Calea Ferată</w:t>
      </w:r>
      <w:r w:rsidR="00822A3D" w:rsidRPr="006526D1">
        <w:rPr>
          <w:rFonts w:asciiTheme="majorHAnsi" w:hAnsiTheme="majorHAnsi" w:cstheme="majorHAnsi"/>
          <w:sz w:val="24"/>
          <w:szCs w:val="24"/>
        </w:rPr>
        <w:t xml:space="preserve"> </w:t>
      </w:r>
      <w:r w:rsidR="00A1775E" w:rsidRPr="006526D1">
        <w:rPr>
          <w:rFonts w:asciiTheme="majorHAnsi" w:hAnsiTheme="majorHAnsi" w:cstheme="majorHAnsi"/>
          <w:sz w:val="24"/>
          <w:szCs w:val="24"/>
        </w:rPr>
        <w:t>din</w:t>
      </w:r>
      <w:r w:rsidR="00822A3D" w:rsidRPr="006526D1">
        <w:rPr>
          <w:rFonts w:asciiTheme="majorHAnsi" w:hAnsiTheme="majorHAnsi" w:cstheme="majorHAnsi"/>
          <w:sz w:val="24"/>
          <w:szCs w:val="24"/>
        </w:rPr>
        <w:t xml:space="preserve"> Moldov</w:t>
      </w:r>
      <w:r w:rsidR="00A1775E" w:rsidRPr="006526D1">
        <w:rPr>
          <w:rFonts w:asciiTheme="majorHAnsi" w:hAnsiTheme="majorHAnsi" w:cstheme="majorHAnsi"/>
          <w:sz w:val="24"/>
          <w:szCs w:val="24"/>
        </w:rPr>
        <w:t>a</w:t>
      </w:r>
      <w:r w:rsidR="00000B65" w:rsidRPr="006526D1">
        <w:rPr>
          <w:rFonts w:asciiTheme="majorHAnsi" w:hAnsiTheme="majorHAnsi" w:cstheme="majorHAnsi"/>
          <w:sz w:val="24"/>
          <w:szCs w:val="24"/>
        </w:rPr>
        <w:t>” (</w:t>
      </w:r>
      <w:r w:rsidRPr="006526D1">
        <w:rPr>
          <w:rFonts w:asciiTheme="majorHAnsi" w:hAnsiTheme="majorHAnsi" w:cstheme="majorHAnsi"/>
          <w:sz w:val="24"/>
          <w:szCs w:val="24"/>
        </w:rPr>
        <w:t xml:space="preserve">82,8 mil. </w:t>
      </w:r>
      <w:r w:rsidR="007160B9" w:rsidRPr="006526D1">
        <w:rPr>
          <w:rFonts w:asciiTheme="majorHAnsi" w:hAnsiTheme="majorHAnsi" w:cstheme="majorHAnsi"/>
          <w:sz w:val="24"/>
          <w:szCs w:val="24"/>
        </w:rPr>
        <w:t>MDL</w:t>
      </w:r>
      <w:r w:rsidRPr="006526D1">
        <w:rPr>
          <w:rFonts w:asciiTheme="majorHAnsi" w:hAnsiTheme="majorHAnsi" w:cstheme="majorHAnsi"/>
          <w:sz w:val="24"/>
          <w:szCs w:val="24"/>
        </w:rPr>
        <w:t>);</w:t>
      </w:r>
      <w:r w:rsidR="00793C62" w:rsidRPr="006526D1">
        <w:rPr>
          <w:rFonts w:asciiTheme="majorHAnsi" w:hAnsiTheme="majorHAnsi" w:cstheme="majorHAnsi"/>
          <w:sz w:val="24"/>
          <w:szCs w:val="24"/>
        </w:rPr>
        <w:t xml:space="preserve"> </w:t>
      </w:r>
      <w:r w:rsidRPr="006526D1">
        <w:rPr>
          <w:rFonts w:asciiTheme="majorHAnsi" w:hAnsiTheme="majorHAnsi" w:cstheme="majorHAnsi"/>
          <w:sz w:val="24"/>
          <w:szCs w:val="24"/>
        </w:rPr>
        <w:t>SRL „Arena Națională” (102,0 mil.</w:t>
      </w:r>
      <w:r w:rsidR="00000B65" w:rsidRPr="006526D1">
        <w:rPr>
          <w:rFonts w:asciiTheme="majorHAnsi" w:hAnsiTheme="majorHAnsi" w:cstheme="majorHAnsi"/>
          <w:sz w:val="24"/>
          <w:szCs w:val="24"/>
        </w:rPr>
        <w:t xml:space="preserve"> </w:t>
      </w:r>
      <w:r w:rsidR="007160B9" w:rsidRPr="006526D1">
        <w:rPr>
          <w:rFonts w:asciiTheme="majorHAnsi" w:hAnsiTheme="majorHAnsi" w:cstheme="majorHAnsi"/>
          <w:sz w:val="24"/>
          <w:szCs w:val="24"/>
        </w:rPr>
        <w:t>MDL</w:t>
      </w:r>
      <w:r w:rsidRPr="006526D1">
        <w:rPr>
          <w:rFonts w:asciiTheme="majorHAnsi" w:hAnsiTheme="majorHAnsi" w:cstheme="majorHAnsi"/>
          <w:sz w:val="24"/>
          <w:szCs w:val="24"/>
        </w:rPr>
        <w:t>); ÎS „Palatul Republicii” (19,5 mil.</w:t>
      </w:r>
      <w:r w:rsidR="00000B65" w:rsidRPr="006526D1">
        <w:rPr>
          <w:rFonts w:asciiTheme="majorHAnsi" w:hAnsiTheme="majorHAnsi" w:cstheme="majorHAnsi"/>
          <w:sz w:val="24"/>
          <w:szCs w:val="24"/>
        </w:rPr>
        <w:t xml:space="preserve"> </w:t>
      </w:r>
      <w:r w:rsidR="007160B9" w:rsidRPr="006526D1">
        <w:rPr>
          <w:rFonts w:asciiTheme="majorHAnsi" w:hAnsiTheme="majorHAnsi" w:cstheme="majorHAnsi"/>
          <w:sz w:val="24"/>
          <w:szCs w:val="24"/>
        </w:rPr>
        <w:t>MDL</w:t>
      </w:r>
      <w:r w:rsidRPr="006526D1">
        <w:rPr>
          <w:rFonts w:asciiTheme="majorHAnsi" w:hAnsiTheme="majorHAnsi" w:cstheme="majorHAnsi"/>
          <w:sz w:val="24"/>
          <w:szCs w:val="24"/>
        </w:rPr>
        <w:t xml:space="preserve">) și ÎS „Pensiunea Holercani” (11,9 mil. </w:t>
      </w:r>
      <w:r w:rsidR="007160B9" w:rsidRPr="006526D1">
        <w:rPr>
          <w:rFonts w:asciiTheme="majorHAnsi" w:hAnsiTheme="majorHAnsi" w:cstheme="majorHAnsi"/>
          <w:sz w:val="24"/>
          <w:szCs w:val="24"/>
        </w:rPr>
        <w:t>MDL</w:t>
      </w:r>
      <w:r w:rsidRPr="006526D1">
        <w:rPr>
          <w:rFonts w:asciiTheme="majorHAnsi" w:hAnsiTheme="majorHAnsi" w:cstheme="majorHAnsi"/>
          <w:sz w:val="24"/>
          <w:szCs w:val="24"/>
        </w:rPr>
        <w:t>). Verificările efectuate de audit atestă următoarele:</w:t>
      </w:r>
    </w:p>
    <w:p w:rsidR="007E62CB" w:rsidRPr="006526D1" w:rsidRDefault="008662C7" w:rsidP="00000B65">
      <w:pPr>
        <w:pStyle w:val="ListParagraph"/>
        <w:numPr>
          <w:ilvl w:val="0"/>
          <w:numId w:val="13"/>
        </w:numPr>
        <w:tabs>
          <w:tab w:val="left" w:pos="993"/>
        </w:tabs>
        <w:spacing w:after="0"/>
        <w:ind w:left="0" w:firstLine="709"/>
        <w:jc w:val="both"/>
        <w:rPr>
          <w:rFonts w:asciiTheme="majorHAnsi" w:hAnsiTheme="majorHAnsi" w:cstheme="majorHAnsi"/>
          <w:sz w:val="24"/>
          <w:szCs w:val="24"/>
        </w:rPr>
      </w:pPr>
      <w:r w:rsidRPr="006526D1">
        <w:rPr>
          <w:rFonts w:asciiTheme="majorHAnsi" w:hAnsiTheme="majorHAnsi" w:cstheme="majorHAnsi"/>
          <w:sz w:val="24"/>
          <w:szCs w:val="24"/>
        </w:rPr>
        <w:t>î</w:t>
      </w:r>
      <w:r w:rsidR="007E62CB" w:rsidRPr="006526D1">
        <w:rPr>
          <w:rFonts w:asciiTheme="majorHAnsi" w:hAnsiTheme="majorHAnsi" w:cstheme="majorHAnsi"/>
          <w:sz w:val="24"/>
          <w:szCs w:val="24"/>
        </w:rPr>
        <w:t>n baza HG nr.1212 din 05.12.2018</w:t>
      </w:r>
      <w:r w:rsidR="00822A3D" w:rsidRPr="006526D1">
        <w:rPr>
          <w:rFonts w:asciiTheme="majorHAnsi" w:hAnsiTheme="majorHAnsi" w:cstheme="majorHAnsi"/>
          <w:sz w:val="24"/>
          <w:szCs w:val="24"/>
        </w:rPr>
        <w:t>,</w:t>
      </w:r>
      <w:r w:rsidR="007E62CB" w:rsidRPr="006526D1">
        <w:rPr>
          <w:rFonts w:asciiTheme="majorHAnsi" w:hAnsiTheme="majorHAnsi" w:cstheme="majorHAnsi"/>
          <w:sz w:val="24"/>
          <w:szCs w:val="24"/>
        </w:rPr>
        <w:t xml:space="preserve"> au fost alocate și ulterior transferate </w:t>
      </w:r>
      <w:r w:rsidR="00C348A7" w:rsidRPr="006526D1">
        <w:rPr>
          <w:rFonts w:asciiTheme="majorHAnsi" w:hAnsiTheme="majorHAnsi" w:cstheme="majorHAnsi"/>
          <w:sz w:val="24"/>
          <w:szCs w:val="24"/>
        </w:rPr>
        <w:t>(</w:t>
      </w:r>
      <w:r w:rsidR="007E62CB" w:rsidRPr="006526D1">
        <w:rPr>
          <w:rFonts w:asciiTheme="majorHAnsi" w:hAnsiTheme="majorHAnsi" w:cstheme="majorHAnsi"/>
          <w:sz w:val="24"/>
          <w:szCs w:val="24"/>
        </w:rPr>
        <w:t xml:space="preserve">prin </w:t>
      </w:r>
      <w:r w:rsidR="00822A3D" w:rsidRPr="006526D1">
        <w:rPr>
          <w:rFonts w:asciiTheme="majorHAnsi" w:hAnsiTheme="majorHAnsi" w:cstheme="majorHAnsi"/>
          <w:sz w:val="24"/>
          <w:szCs w:val="24"/>
        </w:rPr>
        <w:t>O</w:t>
      </w:r>
      <w:r w:rsidR="007E62CB" w:rsidRPr="006526D1">
        <w:rPr>
          <w:rFonts w:asciiTheme="majorHAnsi" w:hAnsiTheme="majorHAnsi" w:cstheme="majorHAnsi"/>
          <w:sz w:val="24"/>
          <w:szCs w:val="24"/>
        </w:rPr>
        <w:t>rdin</w:t>
      </w:r>
      <w:r w:rsidR="00822A3D" w:rsidRPr="006526D1">
        <w:rPr>
          <w:rFonts w:asciiTheme="majorHAnsi" w:hAnsiTheme="majorHAnsi" w:cstheme="majorHAnsi"/>
          <w:sz w:val="24"/>
          <w:szCs w:val="24"/>
        </w:rPr>
        <w:t>ul</w:t>
      </w:r>
      <w:r w:rsidR="007E62CB" w:rsidRPr="006526D1">
        <w:rPr>
          <w:rFonts w:asciiTheme="majorHAnsi" w:hAnsiTheme="majorHAnsi" w:cstheme="majorHAnsi"/>
          <w:sz w:val="24"/>
          <w:szCs w:val="24"/>
        </w:rPr>
        <w:t xml:space="preserve"> de plată nr.7375 din 26 decembrie 2018</w:t>
      </w:r>
      <w:r w:rsidR="00C348A7" w:rsidRPr="006526D1">
        <w:rPr>
          <w:rFonts w:asciiTheme="majorHAnsi" w:hAnsiTheme="majorHAnsi" w:cstheme="majorHAnsi"/>
          <w:sz w:val="24"/>
          <w:szCs w:val="24"/>
        </w:rPr>
        <w:t>)</w:t>
      </w:r>
      <w:r w:rsidR="007E62CB" w:rsidRPr="006526D1">
        <w:rPr>
          <w:rFonts w:asciiTheme="majorHAnsi" w:hAnsiTheme="majorHAnsi" w:cstheme="majorHAnsi"/>
          <w:sz w:val="24"/>
          <w:szCs w:val="24"/>
        </w:rPr>
        <w:t xml:space="preserve"> mijloace în sumă de 78</w:t>
      </w:r>
      <w:r w:rsidR="00A956F1" w:rsidRPr="006526D1">
        <w:rPr>
          <w:rFonts w:asciiTheme="majorHAnsi" w:hAnsiTheme="majorHAnsi" w:cstheme="majorHAnsi"/>
          <w:sz w:val="24"/>
          <w:szCs w:val="24"/>
        </w:rPr>
        <w:t>,3 mil.</w:t>
      </w:r>
      <w:r w:rsidR="007E62CB" w:rsidRPr="006526D1">
        <w:rPr>
          <w:rFonts w:asciiTheme="majorHAnsi" w:hAnsiTheme="majorHAnsi" w:cstheme="majorHAnsi"/>
          <w:sz w:val="24"/>
          <w:szCs w:val="24"/>
        </w:rPr>
        <w:t xml:space="preserve"> </w:t>
      </w:r>
      <w:r w:rsidR="007160B9" w:rsidRPr="006526D1">
        <w:rPr>
          <w:rFonts w:asciiTheme="majorHAnsi" w:hAnsiTheme="majorHAnsi" w:cstheme="majorHAnsi"/>
          <w:sz w:val="24"/>
          <w:szCs w:val="24"/>
        </w:rPr>
        <w:t>MDL</w:t>
      </w:r>
      <w:r w:rsidR="007E62CB" w:rsidRPr="006526D1">
        <w:rPr>
          <w:rFonts w:asciiTheme="majorHAnsi" w:hAnsiTheme="majorHAnsi" w:cstheme="majorHAnsi"/>
          <w:sz w:val="24"/>
          <w:szCs w:val="24"/>
        </w:rPr>
        <w:t>,</w:t>
      </w:r>
      <w:r w:rsidR="00793C62" w:rsidRPr="006526D1">
        <w:rPr>
          <w:rFonts w:asciiTheme="majorHAnsi" w:hAnsiTheme="majorHAnsi" w:cstheme="majorHAnsi"/>
          <w:sz w:val="24"/>
          <w:szCs w:val="24"/>
        </w:rPr>
        <w:t xml:space="preserve"> </w:t>
      </w:r>
      <w:r w:rsidR="007E62CB" w:rsidRPr="006526D1">
        <w:rPr>
          <w:rFonts w:asciiTheme="majorHAnsi" w:hAnsiTheme="majorHAnsi" w:cstheme="majorHAnsi"/>
          <w:sz w:val="24"/>
          <w:szCs w:val="24"/>
        </w:rPr>
        <w:t xml:space="preserve">din </w:t>
      </w:r>
      <w:r w:rsidR="007E62CB" w:rsidRPr="006526D1">
        <w:rPr>
          <w:rFonts w:asciiTheme="majorHAnsi" w:hAnsiTheme="majorHAnsi" w:cstheme="majorHAnsi"/>
          <w:i/>
          <w:sz w:val="24"/>
          <w:szCs w:val="24"/>
        </w:rPr>
        <w:t xml:space="preserve">contul împrumutului acordat </w:t>
      </w:r>
      <w:r w:rsidR="007E62CB" w:rsidRPr="006526D1">
        <w:rPr>
          <w:rFonts w:asciiTheme="majorHAnsi" w:hAnsiTheme="majorHAnsi" w:cstheme="majorHAnsi"/>
          <w:sz w:val="24"/>
          <w:szCs w:val="24"/>
        </w:rPr>
        <w:t>de Banca Europeană de Investiții în cadrul „Proiectului de achiziție a locomotivelor și de restructurare a infrastructurii feroviare”, pentru majorarea capitalului social al ÎS</w:t>
      </w:r>
      <w:r w:rsidR="00A1775E" w:rsidRPr="006526D1">
        <w:rPr>
          <w:rFonts w:asciiTheme="majorHAnsi" w:hAnsiTheme="majorHAnsi" w:cstheme="majorHAnsi"/>
          <w:sz w:val="24"/>
          <w:szCs w:val="24"/>
        </w:rPr>
        <w:t xml:space="preserve"> </w:t>
      </w:r>
      <w:r w:rsidR="007E62CB" w:rsidRPr="006526D1">
        <w:rPr>
          <w:rFonts w:asciiTheme="majorHAnsi" w:hAnsiTheme="majorHAnsi" w:cstheme="majorHAnsi"/>
          <w:sz w:val="24"/>
          <w:szCs w:val="24"/>
        </w:rPr>
        <w:t>„Calea Ferată din Moldova”.</w:t>
      </w:r>
      <w:r w:rsidR="00793C62" w:rsidRPr="006526D1">
        <w:rPr>
          <w:rFonts w:asciiTheme="majorHAnsi" w:hAnsiTheme="majorHAnsi" w:cstheme="majorHAnsi"/>
          <w:sz w:val="24"/>
          <w:szCs w:val="24"/>
        </w:rPr>
        <w:t xml:space="preserve"> </w:t>
      </w:r>
      <w:r w:rsidR="007E62CB" w:rsidRPr="006526D1">
        <w:rPr>
          <w:rFonts w:asciiTheme="majorHAnsi" w:hAnsiTheme="majorHAnsi" w:cstheme="majorHAnsi"/>
          <w:sz w:val="24"/>
          <w:szCs w:val="24"/>
        </w:rPr>
        <w:t>Astfel, potrivit Deciziei privind înregistrarea modificărilor din 26.02.2019, au fost operate modificările în statutul ÎS</w:t>
      </w:r>
      <w:r w:rsidR="001B5339" w:rsidRPr="006526D1">
        <w:rPr>
          <w:rFonts w:asciiTheme="majorHAnsi" w:hAnsiTheme="majorHAnsi" w:cstheme="majorHAnsi"/>
          <w:sz w:val="24"/>
          <w:szCs w:val="24"/>
        </w:rPr>
        <w:t xml:space="preserve"> </w:t>
      </w:r>
      <w:r w:rsidR="007E62CB" w:rsidRPr="006526D1">
        <w:rPr>
          <w:rFonts w:asciiTheme="majorHAnsi" w:hAnsiTheme="majorHAnsi" w:cstheme="majorHAnsi"/>
          <w:sz w:val="24"/>
          <w:szCs w:val="24"/>
        </w:rPr>
        <w:t>„Calea Ferată din Moldova” și înregistrată majorarea capitalului social al</w:t>
      </w:r>
      <w:r w:rsidR="00793C62" w:rsidRPr="006526D1">
        <w:rPr>
          <w:rFonts w:asciiTheme="majorHAnsi" w:hAnsiTheme="majorHAnsi" w:cstheme="majorHAnsi"/>
          <w:sz w:val="24"/>
          <w:szCs w:val="24"/>
        </w:rPr>
        <w:t xml:space="preserve"> </w:t>
      </w:r>
      <w:r w:rsidR="007E62CB" w:rsidRPr="006526D1">
        <w:rPr>
          <w:rFonts w:asciiTheme="majorHAnsi" w:hAnsiTheme="majorHAnsi" w:cstheme="majorHAnsi"/>
          <w:sz w:val="24"/>
          <w:szCs w:val="24"/>
        </w:rPr>
        <w:t>întreprinderii cu volumul mijloacelor alocate/transferate din BS</w:t>
      </w:r>
      <w:r w:rsidR="00A1775E" w:rsidRPr="006526D1">
        <w:rPr>
          <w:rFonts w:asciiTheme="majorHAnsi" w:hAnsiTheme="majorHAnsi" w:cstheme="majorHAnsi"/>
          <w:sz w:val="24"/>
          <w:szCs w:val="24"/>
        </w:rPr>
        <w:t>;</w:t>
      </w:r>
      <w:r w:rsidR="007E62CB" w:rsidRPr="006526D1">
        <w:rPr>
          <w:rFonts w:asciiTheme="majorHAnsi" w:hAnsiTheme="majorHAnsi" w:cstheme="majorHAnsi"/>
          <w:sz w:val="24"/>
          <w:szCs w:val="24"/>
        </w:rPr>
        <w:t xml:space="preserve"> </w:t>
      </w:r>
    </w:p>
    <w:p w:rsidR="007E62CB" w:rsidRPr="00D92724" w:rsidRDefault="008662C7" w:rsidP="00D92724">
      <w:pPr>
        <w:pStyle w:val="ListParagraph"/>
        <w:numPr>
          <w:ilvl w:val="0"/>
          <w:numId w:val="13"/>
        </w:numPr>
        <w:tabs>
          <w:tab w:val="left" w:pos="993"/>
        </w:tabs>
        <w:ind w:left="0" w:firstLine="709"/>
        <w:jc w:val="both"/>
        <w:rPr>
          <w:rFonts w:asciiTheme="majorHAnsi" w:hAnsiTheme="majorHAnsi" w:cstheme="majorHAnsi"/>
          <w:sz w:val="24"/>
          <w:szCs w:val="24"/>
        </w:rPr>
      </w:pPr>
      <w:r w:rsidRPr="00D92724">
        <w:rPr>
          <w:rFonts w:asciiTheme="majorHAnsi" w:hAnsiTheme="majorHAnsi" w:cstheme="majorHAnsi"/>
          <w:sz w:val="24"/>
          <w:szCs w:val="24"/>
        </w:rPr>
        <w:lastRenderedPageBreak/>
        <w:t>î</w:t>
      </w:r>
      <w:r w:rsidR="007E62CB" w:rsidRPr="00D92724">
        <w:rPr>
          <w:rFonts w:asciiTheme="majorHAnsi" w:hAnsiTheme="majorHAnsi" w:cstheme="majorHAnsi"/>
          <w:sz w:val="24"/>
          <w:szCs w:val="24"/>
        </w:rPr>
        <w:t>n baza HG nr.733 din 18.07.2018</w:t>
      </w:r>
      <w:r w:rsidR="00A1775E" w:rsidRPr="00D92724">
        <w:rPr>
          <w:rFonts w:asciiTheme="majorHAnsi" w:hAnsiTheme="majorHAnsi" w:cstheme="majorHAnsi"/>
          <w:sz w:val="24"/>
          <w:szCs w:val="24"/>
        </w:rPr>
        <w:t>,</w:t>
      </w:r>
      <w:r w:rsidR="007E62CB" w:rsidRPr="00D92724">
        <w:rPr>
          <w:rFonts w:asciiTheme="majorHAnsi" w:hAnsiTheme="majorHAnsi" w:cstheme="majorHAnsi"/>
          <w:sz w:val="24"/>
          <w:szCs w:val="24"/>
        </w:rPr>
        <w:t xml:space="preserve"> au fost alocate și ulterior transferate mijloace în sumă de 19</w:t>
      </w:r>
      <w:r w:rsidR="00A956F1" w:rsidRPr="00D92724">
        <w:rPr>
          <w:rFonts w:asciiTheme="majorHAnsi" w:hAnsiTheme="majorHAnsi" w:cstheme="majorHAnsi"/>
          <w:sz w:val="24"/>
          <w:szCs w:val="24"/>
        </w:rPr>
        <w:t>,5 mil.</w:t>
      </w:r>
      <w:r w:rsidR="00862B8C" w:rsidRPr="00D92724">
        <w:rPr>
          <w:rFonts w:asciiTheme="majorHAnsi" w:hAnsiTheme="majorHAnsi" w:cstheme="majorHAnsi"/>
          <w:sz w:val="24"/>
          <w:szCs w:val="24"/>
        </w:rPr>
        <w:t xml:space="preserve"> </w:t>
      </w:r>
      <w:r w:rsidR="007160B9" w:rsidRPr="00D92724">
        <w:rPr>
          <w:rFonts w:asciiTheme="majorHAnsi" w:hAnsiTheme="majorHAnsi" w:cstheme="majorHAnsi"/>
          <w:sz w:val="24"/>
          <w:szCs w:val="24"/>
        </w:rPr>
        <w:t>MDL</w:t>
      </w:r>
      <w:r w:rsidR="00793C62" w:rsidRPr="00D92724">
        <w:rPr>
          <w:rFonts w:asciiTheme="majorHAnsi" w:hAnsiTheme="majorHAnsi" w:cstheme="majorHAnsi"/>
          <w:sz w:val="24"/>
          <w:szCs w:val="24"/>
        </w:rPr>
        <w:t xml:space="preserve"> </w:t>
      </w:r>
      <w:r w:rsidR="007E62CB" w:rsidRPr="00D92724">
        <w:rPr>
          <w:rFonts w:asciiTheme="majorHAnsi" w:hAnsiTheme="majorHAnsi" w:cstheme="majorHAnsi"/>
          <w:sz w:val="24"/>
          <w:szCs w:val="24"/>
        </w:rPr>
        <w:t>ÎS „Palatul Republic</w:t>
      </w:r>
      <w:r w:rsidR="00991D72" w:rsidRPr="00D92724">
        <w:rPr>
          <w:rFonts w:asciiTheme="majorHAnsi" w:hAnsiTheme="majorHAnsi" w:cstheme="majorHAnsi"/>
          <w:sz w:val="24"/>
          <w:szCs w:val="24"/>
        </w:rPr>
        <w:t xml:space="preserve">ii” și </w:t>
      </w:r>
      <w:r w:rsidR="007E62CB" w:rsidRPr="00D92724">
        <w:rPr>
          <w:rFonts w:asciiTheme="majorHAnsi" w:hAnsiTheme="majorHAnsi" w:cstheme="majorHAnsi"/>
          <w:sz w:val="24"/>
          <w:szCs w:val="24"/>
        </w:rPr>
        <w:t>11</w:t>
      </w:r>
      <w:r w:rsidR="00A956F1" w:rsidRPr="00D92724">
        <w:rPr>
          <w:rFonts w:asciiTheme="majorHAnsi" w:hAnsiTheme="majorHAnsi" w:cstheme="majorHAnsi"/>
          <w:sz w:val="24"/>
          <w:szCs w:val="24"/>
        </w:rPr>
        <w:t>,95 mil.</w:t>
      </w:r>
      <w:r w:rsidR="007E62CB" w:rsidRPr="00D92724">
        <w:rPr>
          <w:rFonts w:asciiTheme="majorHAnsi" w:hAnsiTheme="majorHAnsi" w:cstheme="majorHAnsi"/>
          <w:sz w:val="24"/>
          <w:szCs w:val="24"/>
        </w:rPr>
        <w:t xml:space="preserve"> </w:t>
      </w:r>
      <w:r w:rsidR="007160B9" w:rsidRPr="00D92724">
        <w:rPr>
          <w:rFonts w:asciiTheme="majorHAnsi" w:hAnsiTheme="majorHAnsi" w:cstheme="majorHAnsi"/>
          <w:sz w:val="24"/>
          <w:szCs w:val="24"/>
        </w:rPr>
        <w:t xml:space="preserve">MDL </w:t>
      </w:r>
      <w:r w:rsidR="00D92724">
        <w:rPr>
          <w:rFonts w:asciiTheme="majorHAnsi" w:hAnsiTheme="majorHAnsi" w:cstheme="majorHAnsi"/>
          <w:sz w:val="24"/>
          <w:szCs w:val="24"/>
        </w:rPr>
        <w:t>–</w:t>
      </w:r>
      <w:r w:rsidR="00A1775E" w:rsidRPr="00D92724">
        <w:rPr>
          <w:rFonts w:asciiTheme="majorHAnsi" w:hAnsiTheme="majorHAnsi" w:cstheme="majorHAnsi"/>
          <w:sz w:val="24"/>
          <w:szCs w:val="24"/>
        </w:rPr>
        <w:t xml:space="preserve"> </w:t>
      </w:r>
      <w:r w:rsidR="007E62CB" w:rsidRPr="00D92724">
        <w:rPr>
          <w:rFonts w:asciiTheme="majorHAnsi" w:hAnsiTheme="majorHAnsi" w:cstheme="majorHAnsi"/>
          <w:sz w:val="24"/>
          <w:szCs w:val="24"/>
        </w:rPr>
        <w:t>ÎS „Pensiunea Holercani”</w:t>
      </w:r>
      <w:r w:rsidR="00A1775E" w:rsidRPr="00D92724">
        <w:rPr>
          <w:rFonts w:asciiTheme="majorHAnsi" w:hAnsiTheme="majorHAnsi" w:cstheme="majorHAnsi"/>
          <w:sz w:val="24"/>
          <w:szCs w:val="24"/>
        </w:rPr>
        <w:t>,</w:t>
      </w:r>
      <w:r w:rsidR="007E62CB" w:rsidRPr="00D92724">
        <w:rPr>
          <w:rFonts w:asciiTheme="majorHAnsi" w:hAnsiTheme="majorHAnsi" w:cstheme="majorHAnsi"/>
          <w:sz w:val="24"/>
          <w:szCs w:val="24"/>
        </w:rPr>
        <w:t xml:space="preserve"> pentru majorarea capitalului social. Cancelaria de Stat</w:t>
      </w:r>
      <w:r w:rsidR="00A1775E" w:rsidRPr="00D92724">
        <w:rPr>
          <w:rFonts w:asciiTheme="majorHAnsi" w:hAnsiTheme="majorHAnsi" w:cstheme="majorHAnsi"/>
          <w:sz w:val="24"/>
          <w:szCs w:val="24"/>
        </w:rPr>
        <w:t>,</w:t>
      </w:r>
      <w:r w:rsidR="007E62CB" w:rsidRPr="00D92724">
        <w:rPr>
          <w:rFonts w:asciiTheme="majorHAnsi" w:hAnsiTheme="majorHAnsi" w:cstheme="majorHAnsi"/>
          <w:sz w:val="24"/>
          <w:szCs w:val="24"/>
        </w:rPr>
        <w:t xml:space="preserve"> în calitate de fondator</w:t>
      </w:r>
      <w:r w:rsidR="00A1775E" w:rsidRPr="00D92724">
        <w:rPr>
          <w:rFonts w:asciiTheme="majorHAnsi" w:hAnsiTheme="majorHAnsi" w:cstheme="majorHAnsi"/>
          <w:sz w:val="24"/>
          <w:szCs w:val="24"/>
        </w:rPr>
        <w:t>,</w:t>
      </w:r>
      <w:r w:rsidR="00793C62" w:rsidRPr="00D92724">
        <w:rPr>
          <w:rFonts w:asciiTheme="majorHAnsi" w:hAnsiTheme="majorHAnsi" w:cstheme="majorHAnsi"/>
          <w:sz w:val="24"/>
          <w:szCs w:val="24"/>
        </w:rPr>
        <w:t xml:space="preserve"> </w:t>
      </w:r>
      <w:r w:rsidR="007E62CB" w:rsidRPr="00D92724">
        <w:rPr>
          <w:rFonts w:asciiTheme="majorHAnsi" w:hAnsiTheme="majorHAnsi" w:cstheme="majorHAnsi"/>
          <w:sz w:val="24"/>
          <w:szCs w:val="24"/>
        </w:rPr>
        <w:t xml:space="preserve">prin </w:t>
      </w:r>
      <w:r w:rsidR="00A1775E" w:rsidRPr="00D92724">
        <w:rPr>
          <w:rFonts w:asciiTheme="majorHAnsi" w:hAnsiTheme="majorHAnsi" w:cstheme="majorHAnsi"/>
          <w:sz w:val="24"/>
          <w:szCs w:val="24"/>
        </w:rPr>
        <w:t>O</w:t>
      </w:r>
      <w:r w:rsidR="007E62CB" w:rsidRPr="00D92724">
        <w:rPr>
          <w:rFonts w:asciiTheme="majorHAnsi" w:hAnsiTheme="majorHAnsi" w:cstheme="majorHAnsi"/>
          <w:sz w:val="24"/>
          <w:szCs w:val="24"/>
        </w:rPr>
        <w:t>rdin</w:t>
      </w:r>
      <w:r w:rsidR="00A1775E" w:rsidRPr="00D92724">
        <w:rPr>
          <w:rFonts w:asciiTheme="majorHAnsi" w:hAnsiTheme="majorHAnsi" w:cstheme="majorHAnsi"/>
          <w:sz w:val="24"/>
          <w:szCs w:val="24"/>
        </w:rPr>
        <w:t>e</w:t>
      </w:r>
      <w:r w:rsidR="007E62CB" w:rsidRPr="00D92724">
        <w:rPr>
          <w:rFonts w:asciiTheme="majorHAnsi" w:hAnsiTheme="majorHAnsi" w:cstheme="majorHAnsi"/>
          <w:sz w:val="24"/>
          <w:szCs w:val="24"/>
        </w:rPr>
        <w:t>le nr.513-A din 09.10.2018 și nr.514 din 09.10.2018</w:t>
      </w:r>
      <w:r w:rsidR="00A1775E" w:rsidRPr="00D92724">
        <w:rPr>
          <w:rFonts w:asciiTheme="majorHAnsi" w:hAnsiTheme="majorHAnsi" w:cstheme="majorHAnsi"/>
          <w:sz w:val="24"/>
          <w:szCs w:val="24"/>
        </w:rPr>
        <w:t>,</w:t>
      </w:r>
      <w:r w:rsidR="007E62CB" w:rsidRPr="00D92724">
        <w:rPr>
          <w:rFonts w:asciiTheme="majorHAnsi" w:hAnsiTheme="majorHAnsi" w:cstheme="majorHAnsi"/>
          <w:sz w:val="24"/>
          <w:szCs w:val="24"/>
        </w:rPr>
        <w:t xml:space="preserve"> a asigurat majorarea capitalului social al ÎS „Palatul Republicii” cu</w:t>
      </w:r>
      <w:r w:rsidR="00A956F1" w:rsidRPr="00D92724">
        <w:rPr>
          <w:rFonts w:asciiTheme="majorHAnsi" w:hAnsiTheme="majorHAnsi" w:cstheme="majorHAnsi"/>
          <w:sz w:val="24"/>
          <w:szCs w:val="24"/>
        </w:rPr>
        <w:t xml:space="preserve"> </w:t>
      </w:r>
      <w:r w:rsidR="007E62CB" w:rsidRPr="00D92724">
        <w:rPr>
          <w:rFonts w:asciiTheme="majorHAnsi" w:hAnsiTheme="majorHAnsi" w:cstheme="majorHAnsi"/>
          <w:sz w:val="24"/>
          <w:szCs w:val="24"/>
        </w:rPr>
        <w:t>19</w:t>
      </w:r>
      <w:r w:rsidR="00A956F1" w:rsidRPr="00D92724">
        <w:rPr>
          <w:rFonts w:asciiTheme="majorHAnsi" w:hAnsiTheme="majorHAnsi" w:cstheme="majorHAnsi"/>
          <w:sz w:val="24"/>
          <w:szCs w:val="24"/>
        </w:rPr>
        <w:t>,5 mil.</w:t>
      </w:r>
      <w:r w:rsidR="007E62CB" w:rsidRPr="00D92724">
        <w:rPr>
          <w:rFonts w:asciiTheme="majorHAnsi" w:hAnsiTheme="majorHAnsi" w:cstheme="majorHAnsi"/>
          <w:sz w:val="24"/>
          <w:szCs w:val="24"/>
        </w:rPr>
        <w:t xml:space="preserve"> </w:t>
      </w:r>
      <w:r w:rsidR="007160B9" w:rsidRPr="00D92724">
        <w:rPr>
          <w:rFonts w:asciiTheme="majorHAnsi" w:hAnsiTheme="majorHAnsi" w:cstheme="majorHAnsi"/>
          <w:sz w:val="24"/>
          <w:szCs w:val="24"/>
        </w:rPr>
        <w:t>MDL</w:t>
      </w:r>
      <w:r w:rsidR="007E62CB" w:rsidRPr="00D92724">
        <w:rPr>
          <w:rFonts w:asciiTheme="majorHAnsi" w:hAnsiTheme="majorHAnsi" w:cstheme="majorHAnsi"/>
          <w:sz w:val="24"/>
          <w:szCs w:val="24"/>
        </w:rPr>
        <w:t xml:space="preserve"> (Decizia ASP Departamentul Înregistrare și Licențiere a Unităților de Drept din 18.10.2018) și al ÎS „Pensiunea Holercani” cu 11</w:t>
      </w:r>
      <w:r w:rsidR="00A956F1" w:rsidRPr="00D92724">
        <w:rPr>
          <w:rFonts w:asciiTheme="majorHAnsi" w:hAnsiTheme="majorHAnsi" w:cstheme="majorHAnsi"/>
          <w:sz w:val="24"/>
          <w:szCs w:val="24"/>
        </w:rPr>
        <w:t>,95 mil.</w:t>
      </w:r>
      <w:r w:rsidR="007E62CB" w:rsidRPr="00D92724">
        <w:rPr>
          <w:rFonts w:asciiTheme="majorHAnsi" w:hAnsiTheme="majorHAnsi" w:cstheme="majorHAnsi"/>
          <w:sz w:val="24"/>
          <w:szCs w:val="24"/>
        </w:rPr>
        <w:t xml:space="preserve"> </w:t>
      </w:r>
      <w:r w:rsidR="007160B9" w:rsidRPr="00D92724">
        <w:rPr>
          <w:rFonts w:asciiTheme="majorHAnsi" w:hAnsiTheme="majorHAnsi" w:cstheme="majorHAnsi"/>
          <w:sz w:val="24"/>
          <w:szCs w:val="24"/>
        </w:rPr>
        <w:t xml:space="preserve">MDL </w:t>
      </w:r>
      <w:r w:rsidR="007E62CB" w:rsidRPr="00D92724">
        <w:rPr>
          <w:rFonts w:asciiTheme="majorHAnsi" w:hAnsiTheme="majorHAnsi" w:cstheme="majorHAnsi"/>
          <w:sz w:val="24"/>
          <w:szCs w:val="24"/>
        </w:rPr>
        <w:t>(Decizia ASP Departamentul Înregistrare și Licențiere a Unităților de Drept din 19.10.2018)</w:t>
      </w:r>
      <w:r w:rsidRPr="00D92724">
        <w:rPr>
          <w:rFonts w:asciiTheme="majorHAnsi" w:hAnsiTheme="majorHAnsi" w:cstheme="majorHAnsi"/>
          <w:sz w:val="24"/>
          <w:szCs w:val="24"/>
        </w:rPr>
        <w:t>;</w:t>
      </w:r>
    </w:p>
    <w:p w:rsidR="00A956F1" w:rsidRDefault="008662C7" w:rsidP="00A956F1">
      <w:pPr>
        <w:pStyle w:val="ListParagraph"/>
        <w:numPr>
          <w:ilvl w:val="0"/>
          <w:numId w:val="13"/>
        </w:numPr>
        <w:tabs>
          <w:tab w:val="left" w:pos="993"/>
        </w:tabs>
        <w:spacing w:after="0"/>
        <w:ind w:left="0" w:firstLine="709"/>
        <w:jc w:val="both"/>
        <w:rPr>
          <w:rFonts w:asciiTheme="majorHAnsi" w:hAnsiTheme="majorHAnsi" w:cstheme="majorHAnsi"/>
          <w:sz w:val="24"/>
          <w:szCs w:val="24"/>
        </w:rPr>
      </w:pPr>
      <w:r>
        <w:rPr>
          <w:rFonts w:asciiTheme="majorHAnsi" w:hAnsiTheme="majorHAnsi" w:cstheme="majorHAnsi"/>
          <w:sz w:val="24"/>
          <w:szCs w:val="24"/>
        </w:rPr>
        <w:t>p</w:t>
      </w:r>
      <w:r w:rsidR="00007EE7">
        <w:rPr>
          <w:rFonts w:asciiTheme="majorHAnsi" w:hAnsiTheme="majorHAnsi" w:cstheme="majorHAnsi"/>
          <w:sz w:val="24"/>
          <w:szCs w:val="24"/>
        </w:rPr>
        <w:t>otrivit pct.10 din H</w:t>
      </w:r>
      <w:r w:rsidR="007E62CB" w:rsidRPr="00000B65">
        <w:rPr>
          <w:rFonts w:asciiTheme="majorHAnsi" w:hAnsiTheme="majorHAnsi" w:cstheme="majorHAnsi"/>
          <w:sz w:val="24"/>
          <w:szCs w:val="24"/>
        </w:rPr>
        <w:t>G nr.407 din 25.04.2018 „</w:t>
      </w:r>
      <w:r>
        <w:rPr>
          <w:rFonts w:asciiTheme="majorHAnsi" w:hAnsiTheme="majorHAnsi" w:cstheme="majorHAnsi"/>
          <w:sz w:val="24"/>
          <w:szCs w:val="24"/>
        </w:rPr>
        <w:t>C</w:t>
      </w:r>
      <w:r w:rsidR="007E62CB" w:rsidRPr="00000B65">
        <w:rPr>
          <w:rFonts w:asciiTheme="majorHAnsi" w:hAnsiTheme="majorHAnsi" w:cstheme="majorHAnsi"/>
          <w:sz w:val="24"/>
          <w:szCs w:val="24"/>
        </w:rPr>
        <w:t xml:space="preserve">u privire la aprobarea obiectivelor și condițiilor parteneriatului public-privat pentru proiectarea și construcția arenei polivalente de interes național, precum și a cerințelor generale </w:t>
      </w:r>
      <w:r>
        <w:rPr>
          <w:rFonts w:asciiTheme="majorHAnsi" w:hAnsiTheme="majorHAnsi" w:cstheme="majorHAnsi"/>
          <w:sz w:val="24"/>
          <w:szCs w:val="24"/>
        </w:rPr>
        <w:t>la</w:t>
      </w:r>
      <w:r w:rsidR="007E62CB" w:rsidRPr="00000B65">
        <w:rPr>
          <w:rFonts w:asciiTheme="majorHAnsi" w:hAnsiTheme="majorHAnsi" w:cstheme="majorHAnsi"/>
          <w:sz w:val="24"/>
          <w:szCs w:val="24"/>
        </w:rPr>
        <w:t xml:space="preserve"> selectare</w:t>
      </w:r>
      <w:r>
        <w:rPr>
          <w:rFonts w:asciiTheme="majorHAnsi" w:hAnsiTheme="majorHAnsi" w:cstheme="majorHAnsi"/>
          <w:sz w:val="24"/>
          <w:szCs w:val="24"/>
        </w:rPr>
        <w:t>a</w:t>
      </w:r>
      <w:r w:rsidR="007E62CB" w:rsidRPr="00000B65">
        <w:rPr>
          <w:rFonts w:asciiTheme="majorHAnsi" w:hAnsiTheme="majorHAnsi" w:cstheme="majorHAnsi"/>
          <w:sz w:val="24"/>
          <w:szCs w:val="24"/>
        </w:rPr>
        <w:t xml:space="preserve"> partenerului privat”</w:t>
      </w:r>
      <w:r>
        <w:rPr>
          <w:rFonts w:asciiTheme="majorHAnsi" w:hAnsiTheme="majorHAnsi" w:cstheme="majorHAnsi"/>
          <w:sz w:val="24"/>
          <w:szCs w:val="24"/>
        </w:rPr>
        <w:t>,</w:t>
      </w:r>
      <w:r w:rsidR="007E62CB" w:rsidRPr="00000B65">
        <w:rPr>
          <w:rFonts w:asciiTheme="majorHAnsi" w:hAnsiTheme="majorHAnsi" w:cstheme="majorHAnsi"/>
          <w:sz w:val="24"/>
          <w:szCs w:val="24"/>
        </w:rPr>
        <w:t xml:space="preserve"> la solicitarea </w:t>
      </w:r>
      <w:r w:rsidR="00007EE7">
        <w:rPr>
          <w:rFonts w:asciiTheme="majorHAnsi" w:hAnsiTheme="majorHAnsi" w:cstheme="majorHAnsi"/>
          <w:sz w:val="24"/>
          <w:szCs w:val="24"/>
        </w:rPr>
        <w:t>MECC</w:t>
      </w:r>
      <w:r w:rsidR="007E62CB" w:rsidRPr="00000B65">
        <w:rPr>
          <w:rFonts w:asciiTheme="majorHAnsi" w:hAnsiTheme="majorHAnsi" w:cstheme="majorHAnsi"/>
          <w:sz w:val="24"/>
          <w:szCs w:val="24"/>
        </w:rPr>
        <w:t xml:space="preserve"> (nr.08/2-09/2912 din 04.09.</w:t>
      </w:r>
      <w:r>
        <w:rPr>
          <w:rFonts w:asciiTheme="majorHAnsi" w:hAnsiTheme="majorHAnsi" w:cstheme="majorHAnsi"/>
          <w:sz w:val="24"/>
          <w:szCs w:val="24"/>
        </w:rPr>
        <w:t>20</w:t>
      </w:r>
      <w:r w:rsidR="007E62CB" w:rsidRPr="00000B65">
        <w:rPr>
          <w:rFonts w:asciiTheme="majorHAnsi" w:hAnsiTheme="majorHAnsi" w:cstheme="majorHAnsi"/>
          <w:sz w:val="24"/>
          <w:szCs w:val="24"/>
        </w:rPr>
        <w:t>18)</w:t>
      </w:r>
      <w:r>
        <w:rPr>
          <w:rFonts w:asciiTheme="majorHAnsi" w:hAnsiTheme="majorHAnsi" w:cstheme="majorHAnsi"/>
          <w:sz w:val="24"/>
          <w:szCs w:val="24"/>
        </w:rPr>
        <w:t>,</w:t>
      </w:r>
      <w:r w:rsidR="007E62CB" w:rsidRPr="00000B65">
        <w:rPr>
          <w:rFonts w:asciiTheme="majorHAnsi" w:hAnsiTheme="majorHAnsi" w:cstheme="majorHAnsi"/>
          <w:sz w:val="24"/>
          <w:szCs w:val="24"/>
        </w:rPr>
        <w:t xml:space="preserve"> MF</w:t>
      </w:r>
      <w:r>
        <w:rPr>
          <w:rFonts w:asciiTheme="majorHAnsi" w:hAnsiTheme="majorHAnsi" w:cstheme="majorHAnsi"/>
          <w:sz w:val="24"/>
          <w:szCs w:val="24"/>
        </w:rPr>
        <w:t>,</w:t>
      </w:r>
      <w:r w:rsidR="007E62CB" w:rsidRPr="00000B65">
        <w:rPr>
          <w:rFonts w:asciiTheme="majorHAnsi" w:hAnsiTheme="majorHAnsi" w:cstheme="majorHAnsi"/>
          <w:sz w:val="24"/>
          <w:szCs w:val="24"/>
        </w:rPr>
        <w:t xml:space="preserve"> prin </w:t>
      </w:r>
      <w:r>
        <w:rPr>
          <w:rFonts w:asciiTheme="majorHAnsi" w:hAnsiTheme="majorHAnsi" w:cstheme="majorHAnsi"/>
          <w:sz w:val="24"/>
          <w:szCs w:val="24"/>
        </w:rPr>
        <w:t>O</w:t>
      </w:r>
      <w:r w:rsidR="007E62CB" w:rsidRPr="00000B65">
        <w:rPr>
          <w:rFonts w:asciiTheme="majorHAnsi" w:hAnsiTheme="majorHAnsi" w:cstheme="majorHAnsi"/>
          <w:sz w:val="24"/>
          <w:szCs w:val="24"/>
        </w:rPr>
        <w:t>rdinul de plată nr.27386 din 12.09.2018</w:t>
      </w:r>
      <w:r>
        <w:rPr>
          <w:rFonts w:asciiTheme="majorHAnsi" w:hAnsiTheme="majorHAnsi" w:cstheme="majorHAnsi"/>
          <w:sz w:val="24"/>
          <w:szCs w:val="24"/>
        </w:rPr>
        <w:t>,</w:t>
      </w:r>
      <w:r w:rsidR="007E62CB" w:rsidRPr="00000B65">
        <w:rPr>
          <w:rFonts w:asciiTheme="majorHAnsi" w:hAnsiTheme="majorHAnsi" w:cstheme="majorHAnsi"/>
          <w:sz w:val="24"/>
          <w:szCs w:val="24"/>
        </w:rPr>
        <w:t xml:space="preserve"> a efectuat</w:t>
      </w:r>
      <w:r w:rsidR="00793C62">
        <w:rPr>
          <w:rFonts w:asciiTheme="majorHAnsi" w:hAnsiTheme="majorHAnsi" w:cstheme="majorHAnsi"/>
          <w:sz w:val="24"/>
          <w:szCs w:val="24"/>
        </w:rPr>
        <w:t xml:space="preserve"> </w:t>
      </w:r>
      <w:r w:rsidR="007E62CB" w:rsidRPr="00000B65">
        <w:rPr>
          <w:rFonts w:asciiTheme="majorHAnsi" w:hAnsiTheme="majorHAnsi" w:cstheme="majorHAnsi"/>
          <w:sz w:val="24"/>
          <w:szCs w:val="24"/>
        </w:rPr>
        <w:t>transferul mijloacelor financiare în sumă de 102</w:t>
      </w:r>
      <w:r w:rsidR="00A956F1">
        <w:rPr>
          <w:rFonts w:asciiTheme="majorHAnsi" w:hAnsiTheme="majorHAnsi" w:cstheme="majorHAnsi"/>
          <w:sz w:val="24"/>
          <w:szCs w:val="24"/>
        </w:rPr>
        <w:t>,0 mil.</w:t>
      </w:r>
      <w:r w:rsidR="007E62CB"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007E62CB" w:rsidRPr="00000B65">
        <w:rPr>
          <w:rFonts w:asciiTheme="majorHAnsi" w:hAnsiTheme="majorHAnsi" w:cstheme="majorHAnsi"/>
          <w:sz w:val="24"/>
          <w:szCs w:val="24"/>
        </w:rPr>
        <w:t xml:space="preserve"> ca aport în capitalul social al </w:t>
      </w:r>
      <w:r w:rsidR="00890FD4">
        <w:rPr>
          <w:rFonts w:asciiTheme="majorHAnsi" w:hAnsiTheme="majorHAnsi" w:cstheme="majorHAnsi"/>
          <w:sz w:val="24"/>
          <w:szCs w:val="24"/>
        </w:rPr>
        <w:t xml:space="preserve">SRL </w:t>
      </w:r>
      <w:r w:rsidR="007E62CB" w:rsidRPr="00000B65">
        <w:rPr>
          <w:rFonts w:asciiTheme="majorHAnsi" w:hAnsiTheme="majorHAnsi" w:cstheme="majorHAnsi"/>
          <w:sz w:val="24"/>
          <w:szCs w:val="24"/>
        </w:rPr>
        <w:t>„Arena Nați</w:t>
      </w:r>
      <w:r w:rsidR="00A915C1">
        <w:rPr>
          <w:rFonts w:asciiTheme="majorHAnsi" w:hAnsiTheme="majorHAnsi" w:cstheme="majorHAnsi"/>
          <w:sz w:val="24"/>
          <w:szCs w:val="24"/>
        </w:rPr>
        <w:t>onală”.</w:t>
      </w:r>
    </w:p>
    <w:p w:rsidR="008A31AD" w:rsidRDefault="007E62CB" w:rsidP="00D12C03">
      <w:pPr>
        <w:tabs>
          <w:tab w:val="left" w:pos="993"/>
        </w:tabs>
        <w:spacing w:after="0" w:line="276" w:lineRule="auto"/>
        <w:ind w:firstLine="709"/>
        <w:jc w:val="both"/>
        <w:rPr>
          <w:rFonts w:asciiTheme="majorHAnsi" w:hAnsiTheme="majorHAnsi" w:cstheme="majorHAnsi"/>
          <w:sz w:val="24"/>
          <w:szCs w:val="24"/>
        </w:rPr>
      </w:pPr>
      <w:r w:rsidRPr="00A956F1">
        <w:rPr>
          <w:rFonts w:asciiTheme="majorHAnsi" w:hAnsiTheme="majorHAnsi" w:cstheme="majorHAnsi"/>
          <w:sz w:val="24"/>
          <w:szCs w:val="24"/>
        </w:rPr>
        <w:t>Examinările auditului relevă că</w:t>
      </w:r>
      <w:r w:rsidR="008662C7">
        <w:rPr>
          <w:rFonts w:asciiTheme="majorHAnsi" w:hAnsiTheme="majorHAnsi" w:cstheme="majorHAnsi"/>
          <w:sz w:val="24"/>
          <w:szCs w:val="24"/>
        </w:rPr>
        <w:t>,</w:t>
      </w:r>
      <w:r w:rsidRPr="00A956F1">
        <w:rPr>
          <w:rFonts w:asciiTheme="majorHAnsi" w:hAnsiTheme="majorHAnsi" w:cstheme="majorHAnsi"/>
          <w:sz w:val="24"/>
          <w:szCs w:val="24"/>
        </w:rPr>
        <w:t xml:space="preserve"> potrivit pct.8 din hotărârea menționată</w:t>
      </w:r>
      <w:r w:rsidR="008662C7">
        <w:rPr>
          <w:rFonts w:asciiTheme="majorHAnsi" w:hAnsiTheme="majorHAnsi" w:cstheme="majorHAnsi"/>
          <w:sz w:val="24"/>
          <w:szCs w:val="24"/>
        </w:rPr>
        <w:t>,</w:t>
      </w:r>
      <w:r w:rsidRPr="00A956F1">
        <w:rPr>
          <w:rFonts w:asciiTheme="majorHAnsi" w:hAnsiTheme="majorHAnsi" w:cstheme="majorHAnsi"/>
          <w:sz w:val="24"/>
          <w:szCs w:val="24"/>
        </w:rPr>
        <w:t xml:space="preserve"> unicul </w:t>
      </w:r>
      <w:r w:rsidR="00890FD4">
        <w:rPr>
          <w:rFonts w:asciiTheme="majorHAnsi" w:hAnsiTheme="majorHAnsi" w:cstheme="majorHAnsi"/>
          <w:sz w:val="24"/>
          <w:szCs w:val="24"/>
        </w:rPr>
        <w:t>f</w:t>
      </w:r>
      <w:r w:rsidRPr="00A956F1">
        <w:rPr>
          <w:rFonts w:asciiTheme="majorHAnsi" w:hAnsiTheme="majorHAnsi" w:cstheme="majorHAnsi"/>
          <w:sz w:val="24"/>
          <w:szCs w:val="24"/>
        </w:rPr>
        <w:t xml:space="preserve">ondator/asociat al Societății este MECC al </w:t>
      </w:r>
      <w:r w:rsidR="00FA1356">
        <w:rPr>
          <w:rFonts w:asciiTheme="majorHAnsi" w:hAnsiTheme="majorHAnsi" w:cstheme="majorHAnsi"/>
          <w:sz w:val="24"/>
          <w:szCs w:val="24"/>
        </w:rPr>
        <w:t>RM</w:t>
      </w:r>
      <w:r w:rsidR="008662C7">
        <w:rPr>
          <w:rFonts w:asciiTheme="majorHAnsi" w:hAnsiTheme="majorHAnsi" w:cstheme="majorHAnsi"/>
          <w:sz w:val="24"/>
          <w:szCs w:val="24"/>
        </w:rPr>
        <w:t>,</w:t>
      </w:r>
      <w:r w:rsidRPr="00A956F1">
        <w:rPr>
          <w:rFonts w:asciiTheme="majorHAnsi" w:hAnsiTheme="majorHAnsi" w:cstheme="majorHAnsi"/>
          <w:sz w:val="24"/>
          <w:szCs w:val="24"/>
        </w:rPr>
        <w:t xml:space="preserve"> cu </w:t>
      </w:r>
      <w:r w:rsidR="008662C7">
        <w:rPr>
          <w:rFonts w:asciiTheme="majorHAnsi" w:hAnsiTheme="majorHAnsi" w:cstheme="majorHAnsi"/>
          <w:sz w:val="24"/>
          <w:szCs w:val="24"/>
        </w:rPr>
        <w:t xml:space="preserve">cota de </w:t>
      </w:r>
      <w:r w:rsidRPr="00A956F1">
        <w:rPr>
          <w:rFonts w:asciiTheme="majorHAnsi" w:hAnsiTheme="majorHAnsi" w:cstheme="majorHAnsi"/>
          <w:sz w:val="24"/>
          <w:szCs w:val="24"/>
        </w:rPr>
        <w:t>100</w:t>
      </w:r>
      <w:r w:rsidR="00A956F1">
        <w:rPr>
          <w:rFonts w:asciiTheme="majorHAnsi" w:hAnsiTheme="majorHAnsi" w:cstheme="majorHAnsi"/>
          <w:sz w:val="24"/>
          <w:szCs w:val="24"/>
        </w:rPr>
        <w:t>,0</w:t>
      </w:r>
      <w:r w:rsidRPr="00A956F1">
        <w:rPr>
          <w:rFonts w:asciiTheme="majorHAnsi" w:hAnsiTheme="majorHAnsi" w:cstheme="majorHAnsi"/>
          <w:sz w:val="24"/>
          <w:szCs w:val="24"/>
        </w:rPr>
        <w:t>% din totalul aportului introdus în capitalul social în valoare de 419</w:t>
      </w:r>
      <w:r w:rsidR="00A956F1">
        <w:rPr>
          <w:rFonts w:asciiTheme="majorHAnsi" w:hAnsiTheme="majorHAnsi" w:cstheme="majorHAnsi"/>
          <w:sz w:val="24"/>
          <w:szCs w:val="24"/>
        </w:rPr>
        <w:t xml:space="preserve">,3 mil. </w:t>
      </w:r>
      <w:r w:rsidR="007160B9">
        <w:rPr>
          <w:rFonts w:asciiTheme="majorHAnsi" w:hAnsiTheme="majorHAnsi" w:cstheme="majorHAnsi"/>
          <w:sz w:val="24"/>
          <w:szCs w:val="24"/>
        </w:rPr>
        <w:t>MDL</w:t>
      </w:r>
      <w:r w:rsidR="008662C7">
        <w:rPr>
          <w:rFonts w:asciiTheme="majorHAnsi" w:hAnsiTheme="majorHAnsi" w:cstheme="majorHAnsi"/>
          <w:sz w:val="24"/>
          <w:szCs w:val="24"/>
        </w:rPr>
        <w:t>,</w:t>
      </w:r>
      <w:r w:rsidRPr="00A956F1">
        <w:rPr>
          <w:rFonts w:asciiTheme="majorHAnsi" w:hAnsiTheme="majorHAnsi" w:cstheme="majorHAnsi"/>
          <w:sz w:val="24"/>
          <w:szCs w:val="24"/>
        </w:rPr>
        <w:t xml:space="preserve"> dintre care 419</w:t>
      </w:r>
      <w:r w:rsidR="00ED4835">
        <w:rPr>
          <w:rFonts w:asciiTheme="majorHAnsi" w:hAnsiTheme="majorHAnsi" w:cstheme="majorHAnsi"/>
          <w:sz w:val="24"/>
          <w:szCs w:val="24"/>
        </w:rPr>
        <w:t>,2 mil.</w:t>
      </w:r>
      <w:r w:rsidRPr="00A956F1">
        <w:rPr>
          <w:rFonts w:asciiTheme="majorHAnsi" w:hAnsiTheme="majorHAnsi" w:cstheme="majorHAnsi"/>
          <w:sz w:val="24"/>
          <w:szCs w:val="24"/>
        </w:rPr>
        <w:t xml:space="preserve"> </w:t>
      </w:r>
      <w:r w:rsidR="007160B9">
        <w:rPr>
          <w:rFonts w:asciiTheme="majorHAnsi" w:hAnsiTheme="majorHAnsi" w:cstheme="majorHAnsi"/>
          <w:sz w:val="24"/>
          <w:szCs w:val="24"/>
        </w:rPr>
        <w:t>MDL</w:t>
      </w:r>
      <w:r w:rsidRPr="00A956F1">
        <w:rPr>
          <w:rFonts w:asciiTheme="majorHAnsi" w:hAnsiTheme="majorHAnsi" w:cstheme="majorHAnsi"/>
          <w:sz w:val="24"/>
          <w:szCs w:val="24"/>
        </w:rPr>
        <w:t xml:space="preserve"> este valoarea terenului cu suprafața de 69,2224 ha și </w:t>
      </w:r>
      <w:r w:rsidR="00ED4835">
        <w:rPr>
          <w:rFonts w:asciiTheme="majorHAnsi" w:hAnsiTheme="majorHAnsi" w:cstheme="majorHAnsi"/>
          <w:sz w:val="24"/>
          <w:szCs w:val="24"/>
        </w:rPr>
        <w:t xml:space="preserve">0,1 mil. </w:t>
      </w:r>
      <w:r w:rsidR="007160B9">
        <w:rPr>
          <w:rFonts w:asciiTheme="majorHAnsi" w:hAnsiTheme="majorHAnsi" w:cstheme="majorHAnsi"/>
          <w:sz w:val="24"/>
          <w:szCs w:val="24"/>
        </w:rPr>
        <w:t xml:space="preserve">MDL </w:t>
      </w:r>
      <w:r w:rsidR="008662C7">
        <w:rPr>
          <w:rFonts w:asciiTheme="majorHAnsi" w:hAnsiTheme="majorHAnsi" w:cstheme="majorHAnsi"/>
          <w:sz w:val="24"/>
          <w:szCs w:val="24"/>
        </w:rPr>
        <w:t>–</w:t>
      </w:r>
      <w:r w:rsidR="00ED4835">
        <w:rPr>
          <w:rFonts w:asciiTheme="majorHAnsi" w:hAnsiTheme="majorHAnsi" w:cstheme="majorHAnsi"/>
          <w:sz w:val="24"/>
          <w:szCs w:val="24"/>
        </w:rPr>
        <w:t xml:space="preserve"> aport î</w:t>
      </w:r>
      <w:r w:rsidRPr="00A956F1">
        <w:rPr>
          <w:rFonts w:asciiTheme="majorHAnsi" w:hAnsiTheme="majorHAnsi" w:cstheme="majorHAnsi"/>
          <w:sz w:val="24"/>
          <w:szCs w:val="24"/>
        </w:rPr>
        <w:t xml:space="preserve">n numerar). </w:t>
      </w:r>
    </w:p>
    <w:p w:rsidR="008A31AD" w:rsidRDefault="007E62CB" w:rsidP="00D12C03">
      <w:pPr>
        <w:tabs>
          <w:tab w:val="left" w:pos="993"/>
        </w:tabs>
        <w:spacing w:after="0" w:line="276" w:lineRule="auto"/>
        <w:ind w:firstLine="709"/>
        <w:jc w:val="both"/>
        <w:rPr>
          <w:rFonts w:asciiTheme="majorHAnsi" w:hAnsiTheme="majorHAnsi" w:cstheme="majorHAnsi"/>
          <w:sz w:val="24"/>
          <w:szCs w:val="24"/>
        </w:rPr>
      </w:pPr>
      <w:r w:rsidRPr="00000B65">
        <w:rPr>
          <w:rFonts w:asciiTheme="majorHAnsi" w:hAnsiTheme="majorHAnsi" w:cstheme="majorHAnsi"/>
          <w:sz w:val="24"/>
          <w:szCs w:val="24"/>
        </w:rPr>
        <w:t>Deși, potrivit pct.13 din hotărârea menționată</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controlul asupra executării acesteia a fost pus în sarcina M</w:t>
      </w:r>
      <w:r w:rsidR="00890FD4">
        <w:rPr>
          <w:rFonts w:asciiTheme="majorHAnsi" w:hAnsiTheme="majorHAnsi" w:cstheme="majorHAnsi"/>
          <w:sz w:val="24"/>
          <w:szCs w:val="24"/>
        </w:rPr>
        <w:t>ECC</w:t>
      </w:r>
      <w:r w:rsidRPr="00000B65">
        <w:rPr>
          <w:rFonts w:asciiTheme="majorHAnsi" w:hAnsiTheme="majorHAnsi" w:cstheme="majorHAnsi"/>
          <w:sz w:val="24"/>
          <w:szCs w:val="24"/>
        </w:rPr>
        <w:t>, modificările în actele de constituire a</w:t>
      </w:r>
      <w:r w:rsidR="00793C62">
        <w:rPr>
          <w:rFonts w:asciiTheme="majorHAnsi" w:hAnsiTheme="majorHAnsi" w:cstheme="majorHAnsi"/>
          <w:sz w:val="24"/>
          <w:szCs w:val="24"/>
        </w:rPr>
        <w:t xml:space="preserve"> </w:t>
      </w:r>
      <w:r w:rsidR="00890FD4">
        <w:rPr>
          <w:rFonts w:asciiTheme="majorHAnsi" w:hAnsiTheme="majorHAnsi" w:cstheme="majorHAnsi"/>
          <w:sz w:val="24"/>
          <w:szCs w:val="24"/>
        </w:rPr>
        <w:t xml:space="preserve">SRL </w:t>
      </w:r>
      <w:r w:rsidRPr="00000B65">
        <w:rPr>
          <w:rFonts w:asciiTheme="majorHAnsi" w:hAnsiTheme="majorHAnsi" w:cstheme="majorHAnsi"/>
          <w:sz w:val="24"/>
          <w:szCs w:val="24"/>
        </w:rPr>
        <w:t>„Arena Națională”</w:t>
      </w:r>
      <w:r w:rsidR="008E0F24" w:rsidRPr="00000B65">
        <w:rPr>
          <w:rFonts w:asciiTheme="majorHAnsi" w:hAnsiTheme="majorHAnsi" w:cstheme="majorHAnsi"/>
          <w:sz w:val="24"/>
          <w:szCs w:val="24"/>
        </w:rPr>
        <w:t xml:space="preserve"> </w:t>
      </w:r>
      <w:r w:rsidRPr="00000B65">
        <w:rPr>
          <w:rFonts w:asciiTheme="majorHAnsi" w:hAnsiTheme="majorHAnsi" w:cstheme="majorHAnsi"/>
          <w:sz w:val="24"/>
          <w:szCs w:val="24"/>
        </w:rPr>
        <w:t>privind majorarea capitalului social cu 102</w:t>
      </w:r>
      <w:r w:rsidR="008A31AD">
        <w:rPr>
          <w:rFonts w:asciiTheme="majorHAnsi" w:hAnsiTheme="majorHAnsi" w:cstheme="majorHAnsi"/>
          <w:sz w:val="24"/>
          <w:szCs w:val="24"/>
        </w:rPr>
        <w:t>,0 mil.</w:t>
      </w:r>
      <w:r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00B65">
        <w:rPr>
          <w:rFonts w:asciiTheme="majorHAnsi" w:hAnsiTheme="majorHAnsi" w:cstheme="majorHAnsi"/>
          <w:sz w:val="24"/>
          <w:szCs w:val="24"/>
        </w:rPr>
        <w:t xml:space="preserve"> primite ca aport din BS nu au fost efectuate</w:t>
      </w:r>
      <w:r w:rsidR="00793C62">
        <w:rPr>
          <w:rFonts w:asciiTheme="majorHAnsi" w:hAnsiTheme="majorHAnsi" w:cstheme="majorHAnsi"/>
          <w:sz w:val="24"/>
          <w:szCs w:val="24"/>
        </w:rPr>
        <w:t xml:space="preserve"> </w:t>
      </w:r>
      <w:r w:rsidRPr="00000B65">
        <w:rPr>
          <w:rFonts w:asciiTheme="majorHAnsi" w:hAnsiTheme="majorHAnsi" w:cstheme="majorHAnsi"/>
          <w:sz w:val="24"/>
          <w:szCs w:val="24"/>
        </w:rPr>
        <w:t xml:space="preserve">în anul 2018. </w:t>
      </w:r>
    </w:p>
    <w:p w:rsidR="008A31AD" w:rsidRDefault="007E62CB" w:rsidP="00D12C03">
      <w:pPr>
        <w:tabs>
          <w:tab w:val="left" w:pos="993"/>
        </w:tabs>
        <w:spacing w:after="0" w:line="276" w:lineRule="auto"/>
        <w:ind w:firstLine="709"/>
        <w:jc w:val="both"/>
        <w:rPr>
          <w:rFonts w:asciiTheme="majorHAnsi" w:hAnsiTheme="majorHAnsi" w:cstheme="majorHAnsi"/>
          <w:sz w:val="24"/>
          <w:szCs w:val="24"/>
        </w:rPr>
      </w:pPr>
      <w:r w:rsidRPr="00000B65">
        <w:rPr>
          <w:rFonts w:asciiTheme="majorHAnsi" w:hAnsiTheme="majorHAnsi" w:cstheme="majorHAnsi"/>
          <w:sz w:val="24"/>
          <w:szCs w:val="24"/>
        </w:rPr>
        <w:t xml:space="preserve"> În acest context</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se atestă că MF</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w:t>
      </w:r>
      <w:r w:rsidR="00890FD4">
        <w:rPr>
          <w:rFonts w:asciiTheme="majorHAnsi" w:hAnsiTheme="majorHAnsi" w:cstheme="majorHAnsi"/>
          <w:sz w:val="24"/>
          <w:szCs w:val="24"/>
        </w:rPr>
        <w:t>la</w:t>
      </w:r>
      <w:r w:rsidRPr="00000B65">
        <w:rPr>
          <w:rFonts w:asciiTheme="majorHAnsi" w:hAnsiTheme="majorHAnsi" w:cstheme="majorHAnsi"/>
          <w:sz w:val="24"/>
          <w:szCs w:val="24"/>
        </w:rPr>
        <w:t xml:space="preserve"> 08.04.</w:t>
      </w:r>
      <w:r w:rsidR="00890FD4">
        <w:rPr>
          <w:rFonts w:asciiTheme="majorHAnsi" w:hAnsiTheme="majorHAnsi" w:cstheme="majorHAnsi"/>
          <w:sz w:val="24"/>
          <w:szCs w:val="24"/>
        </w:rPr>
        <w:t>20</w:t>
      </w:r>
      <w:r w:rsidRPr="00000B65">
        <w:rPr>
          <w:rFonts w:asciiTheme="majorHAnsi" w:hAnsiTheme="majorHAnsi" w:cstheme="majorHAnsi"/>
          <w:sz w:val="24"/>
          <w:szCs w:val="24"/>
        </w:rPr>
        <w:t>19</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a transferat a doua </w:t>
      </w:r>
      <w:r w:rsidR="00890FD4">
        <w:rPr>
          <w:rFonts w:asciiTheme="majorHAnsi" w:hAnsiTheme="majorHAnsi" w:cstheme="majorHAnsi"/>
          <w:sz w:val="24"/>
          <w:szCs w:val="24"/>
        </w:rPr>
        <w:t>tranșă</w:t>
      </w:r>
      <w:r w:rsidRPr="00000B65">
        <w:rPr>
          <w:rFonts w:asciiTheme="majorHAnsi" w:hAnsiTheme="majorHAnsi" w:cstheme="majorHAnsi"/>
          <w:sz w:val="24"/>
          <w:szCs w:val="24"/>
        </w:rPr>
        <w:t xml:space="preserve"> de mijloace în sumă de 100</w:t>
      </w:r>
      <w:r w:rsidR="008A31AD">
        <w:rPr>
          <w:rFonts w:asciiTheme="majorHAnsi" w:hAnsiTheme="majorHAnsi" w:cstheme="majorHAnsi"/>
          <w:sz w:val="24"/>
          <w:szCs w:val="24"/>
        </w:rPr>
        <w:t>,0 mil.</w:t>
      </w:r>
      <w:r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00B65">
        <w:rPr>
          <w:rFonts w:asciiTheme="majorHAnsi" w:hAnsiTheme="majorHAnsi" w:cstheme="majorHAnsi"/>
          <w:sz w:val="24"/>
          <w:szCs w:val="24"/>
        </w:rPr>
        <w:t>, în calitate de aport în capitalul social al SRL „Arena Națională”</w:t>
      </w:r>
      <w:r w:rsidR="00890FD4">
        <w:rPr>
          <w:rFonts w:asciiTheme="majorHAnsi" w:hAnsiTheme="majorHAnsi" w:cstheme="majorHAnsi"/>
          <w:sz w:val="24"/>
          <w:szCs w:val="24"/>
        </w:rPr>
        <w:t>,</w:t>
      </w:r>
      <w:r w:rsidR="00793C62">
        <w:rPr>
          <w:rFonts w:asciiTheme="majorHAnsi" w:hAnsiTheme="majorHAnsi" w:cstheme="majorHAnsi"/>
          <w:sz w:val="24"/>
          <w:szCs w:val="24"/>
        </w:rPr>
        <w:t xml:space="preserve"> </w:t>
      </w:r>
      <w:r w:rsidRPr="00000B65">
        <w:rPr>
          <w:rFonts w:asciiTheme="majorHAnsi" w:hAnsiTheme="majorHAnsi" w:cstheme="majorHAnsi"/>
          <w:sz w:val="24"/>
          <w:szCs w:val="24"/>
        </w:rPr>
        <w:t>în</w:t>
      </w:r>
      <w:r w:rsidR="00890FD4">
        <w:rPr>
          <w:rFonts w:asciiTheme="majorHAnsi" w:hAnsiTheme="majorHAnsi" w:cstheme="majorHAnsi"/>
          <w:sz w:val="24"/>
          <w:szCs w:val="24"/>
        </w:rPr>
        <w:t xml:space="preserve"> vederea</w:t>
      </w:r>
      <w:r w:rsidRPr="00000B65">
        <w:rPr>
          <w:rFonts w:asciiTheme="majorHAnsi" w:hAnsiTheme="majorHAnsi" w:cstheme="majorHAnsi"/>
          <w:sz w:val="24"/>
          <w:szCs w:val="24"/>
        </w:rPr>
        <w:t xml:space="preserve"> execut</w:t>
      </w:r>
      <w:r w:rsidR="00890FD4">
        <w:rPr>
          <w:rFonts w:asciiTheme="majorHAnsi" w:hAnsiTheme="majorHAnsi" w:cstheme="majorHAnsi"/>
          <w:sz w:val="24"/>
          <w:szCs w:val="24"/>
        </w:rPr>
        <w:t>ării</w:t>
      </w:r>
      <w:r w:rsidRPr="00000B65">
        <w:rPr>
          <w:rFonts w:asciiTheme="majorHAnsi" w:hAnsiTheme="majorHAnsi" w:cstheme="majorHAnsi"/>
          <w:sz w:val="24"/>
          <w:szCs w:val="24"/>
        </w:rPr>
        <w:t xml:space="preserve"> HG nr.407 din 25.04.2018.</w:t>
      </w:r>
      <w:r w:rsidR="00793C62">
        <w:rPr>
          <w:rFonts w:asciiTheme="majorHAnsi" w:hAnsiTheme="majorHAnsi" w:cstheme="majorHAnsi"/>
          <w:sz w:val="24"/>
          <w:szCs w:val="24"/>
        </w:rPr>
        <w:t xml:space="preserve"> </w:t>
      </w:r>
      <w:r w:rsidR="00890FD4">
        <w:rPr>
          <w:rFonts w:asciiTheme="majorHAnsi" w:hAnsiTheme="majorHAnsi" w:cstheme="majorHAnsi"/>
          <w:sz w:val="24"/>
          <w:szCs w:val="24"/>
        </w:rPr>
        <w:t>Abia la</w:t>
      </w:r>
      <w:r w:rsidRPr="00000B65">
        <w:rPr>
          <w:rFonts w:asciiTheme="majorHAnsi" w:hAnsiTheme="majorHAnsi" w:cstheme="majorHAnsi"/>
          <w:sz w:val="24"/>
          <w:szCs w:val="24"/>
        </w:rPr>
        <w:t xml:space="preserve"> 13.04.2019</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în baza Actului adițional cu privire la modificările și completările înscrise în Registrul de stat al persoanelor juridice și operate în Statutul SRL „Arena Națională”</w:t>
      </w:r>
      <w:r w:rsidR="00890FD4">
        <w:rPr>
          <w:rFonts w:asciiTheme="majorHAnsi" w:hAnsiTheme="majorHAnsi" w:cstheme="majorHAnsi"/>
          <w:sz w:val="24"/>
          <w:szCs w:val="24"/>
        </w:rPr>
        <w:t>,</w:t>
      </w:r>
      <w:r w:rsidR="00793C62">
        <w:rPr>
          <w:rFonts w:asciiTheme="majorHAnsi" w:hAnsiTheme="majorHAnsi" w:cstheme="majorHAnsi"/>
          <w:sz w:val="24"/>
          <w:szCs w:val="24"/>
        </w:rPr>
        <w:t xml:space="preserve"> </w:t>
      </w:r>
      <w:r w:rsidRPr="00000B65">
        <w:rPr>
          <w:rFonts w:asciiTheme="majorHAnsi" w:hAnsiTheme="majorHAnsi" w:cstheme="majorHAnsi"/>
          <w:sz w:val="24"/>
          <w:szCs w:val="24"/>
        </w:rPr>
        <w:t xml:space="preserve">prin Decizia ASP Departamentul Înregistrare și Licențiere a Unităților de </w:t>
      </w:r>
      <w:r w:rsidR="008A31AD">
        <w:rPr>
          <w:rFonts w:asciiTheme="majorHAnsi" w:hAnsiTheme="majorHAnsi" w:cstheme="majorHAnsi"/>
          <w:sz w:val="24"/>
          <w:szCs w:val="24"/>
        </w:rPr>
        <w:t xml:space="preserve">Drept (dosar nr.1018600026006) </w:t>
      </w:r>
      <w:r w:rsidRPr="00000B65">
        <w:rPr>
          <w:rFonts w:asciiTheme="majorHAnsi" w:hAnsiTheme="majorHAnsi" w:cstheme="majorHAnsi"/>
          <w:sz w:val="24"/>
          <w:szCs w:val="24"/>
        </w:rPr>
        <w:t>a fost efectuată majorarea capitalului social al SRL „Arena Națională”</w:t>
      </w:r>
      <w:r w:rsidR="00793C62">
        <w:rPr>
          <w:rFonts w:asciiTheme="majorHAnsi" w:hAnsiTheme="majorHAnsi" w:cstheme="majorHAnsi"/>
          <w:sz w:val="24"/>
          <w:szCs w:val="24"/>
        </w:rPr>
        <w:t xml:space="preserve"> </w:t>
      </w:r>
      <w:r w:rsidRPr="00000B65">
        <w:rPr>
          <w:rFonts w:asciiTheme="majorHAnsi" w:hAnsiTheme="majorHAnsi" w:cstheme="majorHAnsi"/>
          <w:sz w:val="24"/>
          <w:szCs w:val="24"/>
        </w:rPr>
        <w:t>cu 202</w:t>
      </w:r>
      <w:r w:rsidR="008A31AD">
        <w:rPr>
          <w:rFonts w:asciiTheme="majorHAnsi" w:hAnsiTheme="majorHAnsi" w:cstheme="majorHAnsi"/>
          <w:sz w:val="24"/>
          <w:szCs w:val="24"/>
        </w:rPr>
        <w:t>,0 mil.</w:t>
      </w:r>
      <w:r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00B65">
        <w:rPr>
          <w:rFonts w:asciiTheme="majorHAnsi" w:hAnsiTheme="majorHAnsi" w:cstheme="majorHAnsi"/>
          <w:sz w:val="24"/>
          <w:szCs w:val="24"/>
        </w:rPr>
        <w:t xml:space="preserve"> (dintre care: 102,0 mil.</w:t>
      </w:r>
      <w:r w:rsidR="008A31AD">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00B65">
        <w:rPr>
          <w:rFonts w:asciiTheme="majorHAnsi" w:hAnsiTheme="majorHAnsi" w:cstheme="majorHAnsi"/>
          <w:sz w:val="24"/>
          <w:szCs w:val="24"/>
        </w:rPr>
        <w:t xml:space="preserve"> din 2018 și 100,0 mil.</w:t>
      </w:r>
      <w:r w:rsidR="008A31AD">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00B65">
        <w:rPr>
          <w:rFonts w:asciiTheme="majorHAnsi" w:hAnsiTheme="majorHAnsi" w:cstheme="majorHAnsi"/>
          <w:sz w:val="24"/>
          <w:szCs w:val="24"/>
        </w:rPr>
        <w:t xml:space="preserve"> din 2019). </w:t>
      </w:r>
    </w:p>
    <w:p w:rsidR="007E62CB" w:rsidRDefault="007E62CB" w:rsidP="00D12C03">
      <w:pPr>
        <w:tabs>
          <w:tab w:val="left" w:pos="993"/>
        </w:tabs>
        <w:spacing w:after="0" w:line="276" w:lineRule="auto"/>
        <w:ind w:firstLine="709"/>
        <w:jc w:val="both"/>
        <w:rPr>
          <w:rFonts w:asciiTheme="majorHAnsi" w:hAnsiTheme="majorHAnsi" w:cstheme="majorHAnsi"/>
          <w:sz w:val="24"/>
          <w:szCs w:val="24"/>
        </w:rPr>
      </w:pPr>
      <w:r w:rsidRPr="00000B65">
        <w:rPr>
          <w:rFonts w:asciiTheme="majorHAnsi" w:hAnsiTheme="majorHAnsi" w:cstheme="majorHAnsi"/>
          <w:sz w:val="24"/>
          <w:szCs w:val="24"/>
        </w:rPr>
        <w:t xml:space="preserve"> În concluzi</w:t>
      </w:r>
      <w:r w:rsidR="00890FD4">
        <w:rPr>
          <w:rFonts w:asciiTheme="majorHAnsi" w:hAnsiTheme="majorHAnsi" w:cstheme="majorHAnsi"/>
          <w:sz w:val="24"/>
          <w:szCs w:val="24"/>
        </w:rPr>
        <w:t>e,</w:t>
      </w:r>
      <w:r w:rsidRPr="00000B65">
        <w:rPr>
          <w:rFonts w:asciiTheme="majorHAnsi" w:hAnsiTheme="majorHAnsi" w:cstheme="majorHAnsi"/>
          <w:sz w:val="24"/>
          <w:szCs w:val="24"/>
        </w:rPr>
        <w:t xml:space="preserve"> auditul relevă că cheltuielile în volum de 216,2 mil</w:t>
      </w:r>
      <w:r w:rsidR="008A31AD">
        <w:rPr>
          <w:rFonts w:asciiTheme="majorHAnsi" w:hAnsiTheme="majorHAnsi" w:cstheme="majorHAnsi"/>
          <w:sz w:val="24"/>
          <w:szCs w:val="24"/>
        </w:rPr>
        <w:t>.</w:t>
      </w:r>
      <w:r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00890FD4">
        <w:rPr>
          <w:rFonts w:asciiTheme="majorHAnsi" w:hAnsiTheme="majorHAnsi" w:cstheme="majorHAnsi"/>
          <w:sz w:val="24"/>
          <w:szCs w:val="24"/>
        </w:rPr>
        <w:t>,</w:t>
      </w:r>
      <w:r w:rsidR="007160B9">
        <w:rPr>
          <w:rFonts w:asciiTheme="majorHAnsi" w:hAnsiTheme="majorHAnsi" w:cstheme="majorHAnsi"/>
          <w:sz w:val="24"/>
          <w:szCs w:val="24"/>
        </w:rPr>
        <w:t xml:space="preserve"> </w:t>
      </w:r>
      <w:r w:rsidRPr="00000B65">
        <w:rPr>
          <w:rFonts w:asciiTheme="majorHAnsi" w:hAnsiTheme="majorHAnsi" w:cstheme="majorHAnsi"/>
          <w:sz w:val="24"/>
          <w:szCs w:val="24"/>
        </w:rPr>
        <w:t xml:space="preserve"> executate în baza art.5 din Legea bugetului de stat pentru anul 2018 pentru majorarea capitalului social</w:t>
      </w:r>
      <w:r w:rsidR="00890FD4">
        <w:rPr>
          <w:rFonts w:asciiTheme="majorHAnsi" w:hAnsiTheme="majorHAnsi" w:cstheme="majorHAnsi"/>
          <w:sz w:val="24"/>
          <w:szCs w:val="24"/>
        </w:rPr>
        <w:t>,</w:t>
      </w:r>
      <w:r w:rsidRPr="00000B65">
        <w:rPr>
          <w:rFonts w:asciiTheme="majorHAnsi" w:hAnsiTheme="majorHAnsi" w:cstheme="majorHAnsi"/>
          <w:sz w:val="24"/>
          <w:szCs w:val="24"/>
        </w:rPr>
        <w:t xml:space="preserve"> au fost raportate </w:t>
      </w:r>
      <w:r w:rsidR="00890FD4">
        <w:rPr>
          <w:rFonts w:asciiTheme="majorHAnsi" w:hAnsiTheme="majorHAnsi" w:cstheme="majorHAnsi"/>
          <w:sz w:val="24"/>
          <w:szCs w:val="24"/>
        </w:rPr>
        <w:t>în sumă de</w:t>
      </w:r>
      <w:r w:rsidR="00BC5D8A" w:rsidRPr="00000B65">
        <w:rPr>
          <w:rFonts w:asciiTheme="majorHAnsi" w:hAnsiTheme="majorHAnsi" w:cstheme="majorHAnsi"/>
          <w:sz w:val="24"/>
          <w:szCs w:val="24"/>
        </w:rPr>
        <w:t xml:space="preserve"> 102</w:t>
      </w:r>
      <w:r w:rsidR="00BC5D8A">
        <w:rPr>
          <w:rFonts w:asciiTheme="majorHAnsi" w:hAnsiTheme="majorHAnsi" w:cstheme="majorHAnsi"/>
          <w:sz w:val="24"/>
          <w:szCs w:val="24"/>
        </w:rPr>
        <w:t>,0 mil.</w:t>
      </w:r>
      <w:r w:rsidR="00BC5D8A" w:rsidRPr="00000B65">
        <w:rPr>
          <w:rFonts w:asciiTheme="majorHAnsi" w:hAnsiTheme="majorHAnsi" w:cstheme="majorHAnsi"/>
          <w:sz w:val="24"/>
          <w:szCs w:val="24"/>
        </w:rPr>
        <w:t xml:space="preserve"> </w:t>
      </w:r>
      <w:r w:rsidR="007160B9">
        <w:rPr>
          <w:rFonts w:asciiTheme="majorHAnsi" w:hAnsiTheme="majorHAnsi" w:cstheme="majorHAnsi"/>
          <w:sz w:val="24"/>
          <w:szCs w:val="24"/>
        </w:rPr>
        <w:t>MDL</w:t>
      </w:r>
      <w:r w:rsidR="00BC5D8A" w:rsidRPr="00000B65">
        <w:rPr>
          <w:rFonts w:asciiTheme="majorHAnsi" w:hAnsiTheme="majorHAnsi" w:cstheme="majorHAnsi"/>
          <w:sz w:val="24"/>
          <w:szCs w:val="24"/>
        </w:rPr>
        <w:t xml:space="preserve"> </w:t>
      </w:r>
      <w:r w:rsidRPr="00000B65">
        <w:rPr>
          <w:rFonts w:asciiTheme="majorHAnsi" w:hAnsiTheme="majorHAnsi" w:cstheme="majorHAnsi"/>
          <w:sz w:val="24"/>
          <w:szCs w:val="24"/>
        </w:rPr>
        <w:t xml:space="preserve">de către </w:t>
      </w:r>
      <w:r w:rsidR="00656E3F">
        <w:rPr>
          <w:rFonts w:asciiTheme="majorHAnsi" w:hAnsiTheme="majorHAnsi" w:cstheme="majorHAnsi"/>
          <w:sz w:val="24"/>
          <w:szCs w:val="24"/>
        </w:rPr>
        <w:t>fondatori</w:t>
      </w:r>
      <w:r w:rsidR="00890FD4">
        <w:rPr>
          <w:rFonts w:asciiTheme="majorHAnsi" w:hAnsiTheme="majorHAnsi" w:cstheme="majorHAnsi"/>
          <w:sz w:val="24"/>
          <w:szCs w:val="24"/>
        </w:rPr>
        <w:t>i</w:t>
      </w:r>
      <w:r w:rsidR="00656E3F">
        <w:rPr>
          <w:rFonts w:asciiTheme="majorHAnsi" w:hAnsiTheme="majorHAnsi" w:cstheme="majorHAnsi"/>
          <w:sz w:val="24"/>
          <w:szCs w:val="24"/>
        </w:rPr>
        <w:t xml:space="preserve"> acestor entități, nefiind confirmate </w:t>
      </w:r>
      <w:r w:rsidR="00890FD4">
        <w:rPr>
          <w:rFonts w:asciiTheme="majorHAnsi" w:hAnsiTheme="majorHAnsi" w:cstheme="majorHAnsi"/>
          <w:sz w:val="24"/>
          <w:szCs w:val="24"/>
        </w:rPr>
        <w:t>în</w:t>
      </w:r>
      <w:r w:rsidR="00656E3F">
        <w:rPr>
          <w:rFonts w:asciiTheme="majorHAnsi" w:hAnsiTheme="majorHAnsi" w:cstheme="majorHAnsi"/>
          <w:sz w:val="24"/>
          <w:szCs w:val="24"/>
        </w:rPr>
        <w:t xml:space="preserve"> actele de constituire cu modificările care justifică majorarea capitalului social.</w:t>
      </w:r>
    </w:p>
    <w:p w:rsidR="0038629D" w:rsidRDefault="0038629D" w:rsidP="00CE2CB0">
      <w:pPr>
        <w:tabs>
          <w:tab w:val="left" w:pos="993"/>
        </w:tabs>
        <w:spacing w:after="0"/>
        <w:ind w:firstLine="709"/>
        <w:jc w:val="both"/>
        <w:rPr>
          <w:rFonts w:asciiTheme="majorHAnsi" w:eastAsia="Times New Roman" w:hAnsiTheme="majorHAnsi" w:cstheme="majorHAnsi"/>
          <w:sz w:val="24"/>
          <w:szCs w:val="24"/>
          <w:lang w:val="ro-MD"/>
        </w:rPr>
      </w:pPr>
    </w:p>
    <w:p w:rsidR="0038629D" w:rsidRPr="00292260" w:rsidRDefault="00C22DF8" w:rsidP="00110FAE">
      <w:pPr>
        <w:pStyle w:val="Heading3"/>
        <w:jc w:val="both"/>
        <w:rPr>
          <w:rFonts w:cstheme="majorHAnsi"/>
          <w:b/>
          <w:color w:val="000000" w:themeColor="text1"/>
        </w:rPr>
      </w:pPr>
      <w:bookmarkStart w:id="14" w:name="_Toc10126086"/>
      <w:r>
        <w:rPr>
          <w:rFonts w:cstheme="majorHAnsi"/>
          <w:b/>
          <w:color w:val="000000" w:themeColor="text1"/>
          <w:lang w:val="ro-MD"/>
        </w:rPr>
        <w:t>3.2</w:t>
      </w:r>
      <w:r w:rsidR="005537C7">
        <w:rPr>
          <w:rFonts w:cstheme="majorHAnsi"/>
          <w:b/>
          <w:color w:val="000000" w:themeColor="text1"/>
        </w:rPr>
        <w:t>.6</w:t>
      </w:r>
      <w:r w:rsidR="0038629D" w:rsidRPr="00292260">
        <w:rPr>
          <w:rFonts w:cstheme="majorHAnsi"/>
          <w:b/>
          <w:color w:val="000000" w:themeColor="text1"/>
        </w:rPr>
        <w:t xml:space="preserve"> Executarea cheltuielilor destinate investițiilor capitale</w:t>
      </w:r>
      <w:r w:rsidR="00110FAE">
        <w:rPr>
          <w:rFonts w:cstheme="majorHAnsi"/>
          <w:b/>
          <w:color w:val="000000" w:themeColor="text1"/>
        </w:rPr>
        <w:t xml:space="preserve"> se menține la un nivel redus de valorificare.</w:t>
      </w:r>
      <w:bookmarkEnd w:id="14"/>
    </w:p>
    <w:p w:rsidR="006E7799" w:rsidRPr="00435EE8" w:rsidRDefault="006E7799" w:rsidP="00FB186A">
      <w:pPr>
        <w:spacing w:after="0" w:line="276" w:lineRule="auto"/>
        <w:ind w:right="49" w:firstLine="720"/>
        <w:jc w:val="both"/>
        <w:rPr>
          <w:rFonts w:asciiTheme="majorHAnsi" w:hAnsiTheme="majorHAnsi" w:cstheme="majorHAnsi"/>
          <w:sz w:val="24"/>
          <w:szCs w:val="24"/>
        </w:rPr>
      </w:pPr>
      <w:r w:rsidRPr="00435EE8">
        <w:rPr>
          <w:rFonts w:asciiTheme="majorHAnsi" w:hAnsiTheme="majorHAnsi" w:cstheme="majorHAnsi"/>
          <w:sz w:val="24"/>
          <w:szCs w:val="24"/>
        </w:rPr>
        <w:t>Pentru anul 2018</w:t>
      </w:r>
      <w:r w:rsidR="00D92724">
        <w:rPr>
          <w:rFonts w:asciiTheme="majorHAnsi" w:hAnsiTheme="majorHAnsi" w:cstheme="majorHAnsi"/>
          <w:sz w:val="24"/>
          <w:szCs w:val="24"/>
        </w:rPr>
        <w:t>,</w:t>
      </w:r>
      <w:r w:rsidRPr="00435EE8">
        <w:rPr>
          <w:rFonts w:asciiTheme="majorHAnsi" w:hAnsiTheme="majorHAnsi" w:cstheme="majorHAnsi"/>
          <w:sz w:val="24"/>
          <w:szCs w:val="24"/>
        </w:rPr>
        <w:t xml:space="preserve"> potrivit </w:t>
      </w:r>
      <w:r w:rsidR="00D92724">
        <w:rPr>
          <w:rFonts w:asciiTheme="majorHAnsi" w:hAnsiTheme="majorHAnsi" w:cstheme="majorHAnsi"/>
          <w:sz w:val="24"/>
          <w:szCs w:val="24"/>
        </w:rPr>
        <w:t>L</w:t>
      </w:r>
      <w:r w:rsidRPr="00435EE8">
        <w:rPr>
          <w:rFonts w:asciiTheme="majorHAnsi" w:hAnsiTheme="majorHAnsi" w:cstheme="majorHAnsi"/>
          <w:sz w:val="24"/>
          <w:szCs w:val="24"/>
        </w:rPr>
        <w:t>egii bugetului de stat, cheltuielile destinate investițiilor capitale</w:t>
      </w:r>
      <w:r w:rsidRPr="00435EE8">
        <w:rPr>
          <w:rFonts w:asciiTheme="majorHAnsi" w:hAnsiTheme="majorHAnsi" w:cstheme="majorHAnsi"/>
          <w:sz w:val="24"/>
          <w:szCs w:val="24"/>
          <w:vertAlign w:val="superscript"/>
        </w:rPr>
        <w:footnoteReference w:id="26"/>
      </w:r>
      <w:r w:rsidRPr="00435EE8">
        <w:rPr>
          <w:rFonts w:asciiTheme="majorHAnsi" w:hAnsiTheme="majorHAnsi" w:cstheme="majorHAnsi"/>
          <w:sz w:val="24"/>
          <w:szCs w:val="24"/>
        </w:rPr>
        <w:t xml:space="preserve"> au fost aprobate în volum de 3 336,7 mil. </w:t>
      </w:r>
      <w:r w:rsidR="007160B9">
        <w:rPr>
          <w:rFonts w:asciiTheme="majorHAnsi" w:hAnsiTheme="majorHAnsi" w:cstheme="majorHAnsi"/>
          <w:sz w:val="24"/>
          <w:szCs w:val="24"/>
        </w:rPr>
        <w:t>MDL</w:t>
      </w:r>
      <w:r w:rsidRPr="00435EE8">
        <w:rPr>
          <w:rFonts w:asciiTheme="majorHAnsi" w:hAnsiTheme="majorHAnsi" w:cstheme="majorHAnsi"/>
          <w:sz w:val="24"/>
          <w:szCs w:val="24"/>
        </w:rPr>
        <w:t xml:space="preserve"> pentru executarea a 61 de proiecte de investiții, dintre care 21 cu finanțare din surse </w:t>
      </w:r>
      <w:r w:rsidR="00110FAE">
        <w:rPr>
          <w:rFonts w:asciiTheme="majorHAnsi" w:hAnsiTheme="majorHAnsi" w:cstheme="majorHAnsi"/>
          <w:sz w:val="24"/>
          <w:szCs w:val="24"/>
        </w:rPr>
        <w:t>externe</w:t>
      </w:r>
      <w:r w:rsidRPr="00435EE8">
        <w:rPr>
          <w:rFonts w:asciiTheme="majorHAnsi" w:hAnsiTheme="majorHAnsi" w:cstheme="majorHAnsi"/>
          <w:sz w:val="24"/>
          <w:szCs w:val="24"/>
        </w:rPr>
        <w:t xml:space="preserve">. </w:t>
      </w:r>
    </w:p>
    <w:p w:rsidR="006E7799" w:rsidRPr="00435EE8" w:rsidRDefault="00793C62" w:rsidP="006E7799">
      <w:pPr>
        <w:spacing w:after="0" w:line="276" w:lineRule="auto"/>
        <w:ind w:right="49"/>
        <w:jc w:val="both"/>
        <w:rPr>
          <w:rFonts w:asciiTheme="majorHAnsi" w:hAnsiTheme="majorHAnsi" w:cstheme="majorHAnsi"/>
          <w:sz w:val="24"/>
          <w:szCs w:val="24"/>
        </w:rPr>
      </w:pPr>
      <w:r>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 </w:t>
      </w:r>
      <w:r w:rsidR="00D92724">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Urmare </w:t>
      </w:r>
      <w:r w:rsidR="00D01EBB">
        <w:rPr>
          <w:rFonts w:asciiTheme="majorHAnsi" w:hAnsiTheme="majorHAnsi" w:cstheme="majorHAnsi"/>
          <w:sz w:val="24"/>
          <w:szCs w:val="24"/>
        </w:rPr>
        <w:t xml:space="preserve">a </w:t>
      </w:r>
      <w:r w:rsidR="006E7799" w:rsidRPr="00435EE8">
        <w:rPr>
          <w:rFonts w:asciiTheme="majorHAnsi" w:hAnsiTheme="majorHAnsi" w:cstheme="majorHAnsi"/>
          <w:sz w:val="24"/>
          <w:szCs w:val="24"/>
        </w:rPr>
        <w:t>rectificărilor la legea bugetară anuală</w:t>
      </w:r>
      <w:r w:rsidR="00D01EBB">
        <w:rPr>
          <w:rFonts w:asciiTheme="majorHAnsi" w:hAnsiTheme="majorHAnsi" w:cstheme="majorHAnsi"/>
          <w:sz w:val="24"/>
          <w:szCs w:val="24"/>
        </w:rPr>
        <w:t>,</w:t>
      </w:r>
      <w:r w:rsidR="006E7799" w:rsidRPr="00435EE8">
        <w:rPr>
          <w:rFonts w:asciiTheme="majorHAnsi" w:hAnsiTheme="majorHAnsi" w:cstheme="majorHAnsi"/>
          <w:sz w:val="24"/>
          <w:szCs w:val="24"/>
        </w:rPr>
        <w:t xml:space="preserve"> alocațiile precizate au însumat</w:t>
      </w:r>
      <w:r w:rsidR="007F0090">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1 906,5 mil. </w:t>
      </w:r>
      <w:r w:rsidR="007160B9">
        <w:rPr>
          <w:rFonts w:asciiTheme="majorHAnsi" w:hAnsiTheme="majorHAnsi" w:cstheme="majorHAnsi"/>
          <w:sz w:val="24"/>
          <w:szCs w:val="24"/>
        </w:rPr>
        <w:t>MDL</w:t>
      </w:r>
      <w:r w:rsidR="00741F72">
        <w:rPr>
          <w:rFonts w:asciiTheme="majorHAnsi" w:hAnsiTheme="majorHAnsi" w:cstheme="majorHAnsi"/>
          <w:sz w:val="24"/>
          <w:szCs w:val="24"/>
        </w:rPr>
        <w:t>,</w:t>
      </w:r>
      <w:r w:rsidR="006E7799" w:rsidRPr="00435EE8">
        <w:rPr>
          <w:rFonts w:asciiTheme="majorHAnsi" w:hAnsiTheme="majorHAnsi" w:cstheme="majorHAnsi"/>
          <w:sz w:val="24"/>
          <w:szCs w:val="24"/>
        </w:rPr>
        <w:t xml:space="preserve"> fiind diminuate cu</w:t>
      </w:r>
      <w:r>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(-1 056,9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w:t>
      </w:r>
      <w:r w:rsidR="00741F72">
        <w:rPr>
          <w:rFonts w:asciiTheme="majorHAnsi" w:hAnsiTheme="majorHAnsi" w:cstheme="majorHAnsi"/>
          <w:sz w:val="24"/>
          <w:szCs w:val="24"/>
        </w:rPr>
        <w:t>,</w:t>
      </w:r>
      <w:r w:rsidR="006E7799" w:rsidRPr="00435EE8">
        <w:rPr>
          <w:rFonts w:asciiTheme="majorHAnsi" w:hAnsiTheme="majorHAnsi" w:cstheme="majorHAnsi"/>
          <w:sz w:val="24"/>
          <w:szCs w:val="24"/>
        </w:rPr>
        <w:t xml:space="preserve"> sau cu 42,9%, </w:t>
      </w:r>
      <w:r w:rsidR="00741F72">
        <w:rPr>
          <w:rFonts w:asciiTheme="majorHAnsi" w:hAnsiTheme="majorHAnsi" w:cstheme="majorHAnsi"/>
          <w:sz w:val="24"/>
          <w:szCs w:val="24"/>
        </w:rPr>
        <w:t xml:space="preserve">situație </w:t>
      </w:r>
      <w:r w:rsidR="006E7799" w:rsidRPr="00435EE8">
        <w:rPr>
          <w:rFonts w:asciiTheme="majorHAnsi" w:hAnsiTheme="majorHAnsi" w:cstheme="majorHAnsi"/>
          <w:sz w:val="24"/>
          <w:szCs w:val="24"/>
        </w:rPr>
        <w:t xml:space="preserve">cauzată de: </w:t>
      </w:r>
      <w:r w:rsidR="006E7799" w:rsidRPr="00435EE8">
        <w:rPr>
          <w:rFonts w:asciiTheme="majorHAnsi" w:hAnsiTheme="majorHAnsi" w:cstheme="majorHAnsi"/>
          <w:i/>
          <w:sz w:val="24"/>
          <w:szCs w:val="24"/>
        </w:rPr>
        <w:t>i) tergiversarea elaborării documentației de proiect</w:t>
      </w:r>
      <w:r w:rsidR="006E7799" w:rsidRPr="00435EE8">
        <w:rPr>
          <w:rFonts w:asciiTheme="majorHAnsi" w:hAnsiTheme="majorHAnsi" w:cstheme="majorHAnsi"/>
          <w:sz w:val="24"/>
          <w:szCs w:val="24"/>
        </w:rPr>
        <w:t xml:space="preserve"> (circa 2 ani) </w:t>
      </w:r>
      <w:r w:rsidR="00741F72">
        <w:rPr>
          <w:rFonts w:asciiTheme="majorHAnsi" w:hAnsiTheme="majorHAnsi" w:cstheme="majorHAnsi"/>
          <w:sz w:val="24"/>
          <w:szCs w:val="24"/>
        </w:rPr>
        <w:t xml:space="preserve">pentru </w:t>
      </w:r>
      <w:r w:rsidR="006E7799" w:rsidRPr="00435EE8">
        <w:rPr>
          <w:rFonts w:asciiTheme="majorHAnsi" w:hAnsiTheme="majorHAnsi" w:cstheme="majorHAnsi"/>
          <w:sz w:val="24"/>
          <w:szCs w:val="24"/>
        </w:rPr>
        <w:t xml:space="preserve">„Construcția penitenciarului din mun. </w:t>
      </w:r>
      <w:r w:rsidR="006E7799" w:rsidRPr="00435EE8">
        <w:rPr>
          <w:rFonts w:asciiTheme="majorHAnsi" w:hAnsiTheme="majorHAnsi" w:cstheme="majorHAnsi"/>
          <w:sz w:val="24"/>
          <w:szCs w:val="24"/>
        </w:rPr>
        <w:lastRenderedPageBreak/>
        <w:t>Chișinău”</w:t>
      </w:r>
      <w:r w:rsidR="00741F72">
        <w:rPr>
          <w:rFonts w:asciiTheme="majorHAnsi" w:hAnsiTheme="majorHAnsi" w:cstheme="majorHAnsi"/>
          <w:sz w:val="24"/>
          <w:szCs w:val="24"/>
        </w:rPr>
        <w:t>,</w:t>
      </w:r>
      <w:r>
        <w:rPr>
          <w:rFonts w:asciiTheme="majorHAnsi" w:hAnsiTheme="majorHAnsi" w:cstheme="majorHAnsi"/>
          <w:sz w:val="24"/>
          <w:szCs w:val="24"/>
        </w:rPr>
        <w:t xml:space="preserve"> </w:t>
      </w:r>
      <w:r w:rsidR="006E7799" w:rsidRPr="00435EE8">
        <w:rPr>
          <w:rFonts w:asciiTheme="majorHAnsi" w:hAnsiTheme="majorHAnsi" w:cstheme="majorHAnsi"/>
          <w:sz w:val="24"/>
          <w:szCs w:val="24"/>
        </w:rPr>
        <w:t>cu (-110,0</w:t>
      </w:r>
      <w:r w:rsidR="00D92724">
        <w:rPr>
          <w:rFonts w:asciiTheme="majorHAnsi" w:hAnsiTheme="majorHAnsi" w:cstheme="majorHAnsi"/>
          <w:sz w:val="24"/>
          <w:szCs w:val="24"/>
        </w:rPr>
        <w:t>)</w:t>
      </w:r>
      <w:r w:rsidR="006E7799"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w:t>
      </w:r>
      <w:r>
        <w:rPr>
          <w:rFonts w:asciiTheme="majorHAnsi" w:hAnsiTheme="majorHAnsi" w:cstheme="majorHAnsi"/>
          <w:sz w:val="24"/>
          <w:szCs w:val="24"/>
        </w:rPr>
        <w:t xml:space="preserve"> </w:t>
      </w:r>
      <w:r w:rsidR="006E7799" w:rsidRPr="00435EE8">
        <w:rPr>
          <w:rFonts w:asciiTheme="majorHAnsi" w:hAnsiTheme="majorHAnsi" w:cstheme="majorHAnsi"/>
          <w:i/>
          <w:sz w:val="24"/>
          <w:szCs w:val="24"/>
        </w:rPr>
        <w:t xml:space="preserve">ii) </w:t>
      </w:r>
      <w:r w:rsidR="00437A9D">
        <w:rPr>
          <w:rFonts w:asciiTheme="majorHAnsi" w:hAnsiTheme="majorHAnsi" w:cstheme="majorHAnsi"/>
          <w:i/>
          <w:sz w:val="24"/>
          <w:szCs w:val="24"/>
        </w:rPr>
        <w:t>necesitatea efectuării</w:t>
      </w:r>
      <w:r w:rsidR="006E7799" w:rsidRPr="00435EE8">
        <w:rPr>
          <w:rFonts w:asciiTheme="majorHAnsi" w:hAnsiTheme="majorHAnsi" w:cstheme="majorHAnsi"/>
          <w:i/>
          <w:sz w:val="24"/>
          <w:szCs w:val="24"/>
        </w:rPr>
        <w:t xml:space="preserve"> unor lucrări </w:t>
      </w:r>
      <w:r w:rsidR="00437A9D">
        <w:rPr>
          <w:rFonts w:asciiTheme="majorHAnsi" w:hAnsiTheme="majorHAnsi" w:cstheme="majorHAnsi"/>
          <w:i/>
          <w:sz w:val="24"/>
          <w:szCs w:val="24"/>
        </w:rPr>
        <w:t xml:space="preserve">suplimentare </w:t>
      </w:r>
      <w:r w:rsidR="006E7799" w:rsidRPr="00435EE8">
        <w:rPr>
          <w:rFonts w:asciiTheme="majorHAnsi" w:hAnsiTheme="majorHAnsi" w:cstheme="majorHAnsi"/>
          <w:i/>
          <w:sz w:val="24"/>
          <w:szCs w:val="24"/>
        </w:rPr>
        <w:t>(</w:t>
      </w:r>
      <w:r w:rsidR="00437A9D">
        <w:rPr>
          <w:rFonts w:asciiTheme="majorHAnsi" w:hAnsiTheme="majorHAnsi" w:cstheme="majorHAnsi"/>
          <w:i/>
          <w:sz w:val="24"/>
          <w:szCs w:val="24"/>
        </w:rPr>
        <w:t xml:space="preserve">de </w:t>
      </w:r>
      <w:r w:rsidR="006E7799" w:rsidRPr="00435EE8">
        <w:rPr>
          <w:rFonts w:asciiTheme="majorHAnsi" w:hAnsiTheme="majorHAnsi" w:cstheme="majorHAnsi"/>
          <w:i/>
          <w:sz w:val="24"/>
          <w:szCs w:val="24"/>
        </w:rPr>
        <w:t>geologie, geodezie, calculare</w:t>
      </w:r>
      <w:r w:rsidR="00437A9D">
        <w:rPr>
          <w:rFonts w:asciiTheme="majorHAnsi" w:hAnsiTheme="majorHAnsi" w:cstheme="majorHAnsi"/>
          <w:i/>
          <w:sz w:val="24"/>
          <w:szCs w:val="24"/>
        </w:rPr>
        <w:t xml:space="preserve"> </w:t>
      </w:r>
      <w:r w:rsidR="006E7799" w:rsidRPr="00435EE8">
        <w:rPr>
          <w:rFonts w:asciiTheme="majorHAnsi" w:hAnsiTheme="majorHAnsi" w:cstheme="majorHAnsi"/>
          <w:i/>
          <w:sz w:val="24"/>
          <w:szCs w:val="24"/>
        </w:rPr>
        <w:t>a rezistenței clădirii etc.)</w:t>
      </w:r>
      <w:r>
        <w:rPr>
          <w:rFonts w:asciiTheme="majorHAnsi" w:hAnsiTheme="majorHAnsi" w:cstheme="majorHAnsi"/>
          <w:i/>
          <w:sz w:val="24"/>
          <w:szCs w:val="24"/>
        </w:rPr>
        <w:t xml:space="preserve"> </w:t>
      </w:r>
      <w:r w:rsidR="006E7799" w:rsidRPr="00435EE8">
        <w:rPr>
          <w:rFonts w:asciiTheme="majorHAnsi" w:hAnsiTheme="majorHAnsi" w:cstheme="majorHAnsi"/>
          <w:i/>
          <w:sz w:val="24"/>
          <w:szCs w:val="24"/>
        </w:rPr>
        <w:t xml:space="preserve">neluate în calcul inițial la elaborarea documentației de proiect </w:t>
      </w:r>
      <w:r w:rsidR="00437A9D">
        <w:rPr>
          <w:rFonts w:asciiTheme="majorHAnsi" w:hAnsiTheme="majorHAnsi" w:cstheme="majorHAnsi"/>
          <w:i/>
          <w:sz w:val="24"/>
          <w:szCs w:val="24"/>
        </w:rPr>
        <w:t xml:space="preserve">pentru </w:t>
      </w:r>
      <w:r w:rsidR="00241E38">
        <w:rPr>
          <w:rFonts w:asciiTheme="majorHAnsi" w:hAnsiTheme="majorHAnsi" w:cstheme="majorHAnsi"/>
          <w:sz w:val="24"/>
          <w:szCs w:val="24"/>
        </w:rPr>
        <w:t>„</w:t>
      </w:r>
      <w:r w:rsidR="006E7799" w:rsidRPr="00435EE8">
        <w:rPr>
          <w:rFonts w:asciiTheme="majorHAnsi" w:hAnsiTheme="majorHAnsi" w:cstheme="majorHAnsi"/>
          <w:sz w:val="24"/>
          <w:szCs w:val="24"/>
        </w:rPr>
        <w:t>Construcția sediului Centrului multifuncțional de instruire pentru personalul autorităților de aplicare a legii, mun. Chișinău</w:t>
      </w:r>
      <w:r w:rsidR="006E7799">
        <w:rPr>
          <w:rFonts w:asciiTheme="majorHAnsi" w:hAnsiTheme="majorHAnsi" w:cstheme="majorHAnsi"/>
          <w:sz w:val="24"/>
          <w:szCs w:val="24"/>
        </w:rPr>
        <w:t>,</w:t>
      </w:r>
      <w:r w:rsidR="006E7799" w:rsidRPr="00435EE8">
        <w:rPr>
          <w:rFonts w:asciiTheme="majorHAnsi" w:hAnsiTheme="majorHAnsi" w:cstheme="majorHAnsi"/>
          <w:sz w:val="24"/>
          <w:szCs w:val="24"/>
        </w:rPr>
        <w:t xml:space="preserve"> str. N. </w:t>
      </w:r>
      <w:proofErr w:type="spellStart"/>
      <w:r w:rsidR="006E7799" w:rsidRPr="00435EE8">
        <w:rPr>
          <w:rFonts w:asciiTheme="majorHAnsi" w:hAnsiTheme="majorHAnsi" w:cstheme="majorHAnsi"/>
          <w:sz w:val="24"/>
          <w:szCs w:val="24"/>
        </w:rPr>
        <w:t>Dimo</w:t>
      </w:r>
      <w:proofErr w:type="spellEnd"/>
      <w:r w:rsidR="006E7799" w:rsidRPr="00435EE8">
        <w:rPr>
          <w:rFonts w:asciiTheme="majorHAnsi" w:hAnsiTheme="majorHAnsi" w:cstheme="majorHAnsi"/>
          <w:sz w:val="24"/>
          <w:szCs w:val="24"/>
        </w:rPr>
        <w:t xml:space="preserve"> nr.30</w:t>
      </w:r>
      <w:r w:rsidR="00437A9D">
        <w:rPr>
          <w:rFonts w:asciiTheme="majorHAnsi" w:hAnsiTheme="majorHAnsi" w:cstheme="majorHAnsi"/>
          <w:sz w:val="24"/>
          <w:szCs w:val="24"/>
        </w:rPr>
        <w:t>”,</w:t>
      </w:r>
      <w:r w:rsidR="006E7799" w:rsidRPr="00435EE8">
        <w:rPr>
          <w:rFonts w:asciiTheme="majorHAnsi" w:hAnsiTheme="majorHAnsi" w:cstheme="majorHAnsi"/>
          <w:sz w:val="24"/>
          <w:szCs w:val="24"/>
        </w:rPr>
        <w:t xml:space="preserve"> cu (-51,1</w:t>
      </w:r>
      <w:r w:rsidR="00D92724">
        <w:rPr>
          <w:rFonts w:asciiTheme="majorHAnsi" w:hAnsiTheme="majorHAnsi" w:cstheme="majorHAnsi"/>
          <w:sz w:val="24"/>
          <w:szCs w:val="24"/>
        </w:rPr>
        <w:t>)</w:t>
      </w:r>
      <w:r w:rsidR="006E7799"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w:t>
      </w:r>
      <w:r>
        <w:rPr>
          <w:rFonts w:asciiTheme="majorHAnsi" w:hAnsiTheme="majorHAnsi" w:cstheme="majorHAnsi"/>
          <w:sz w:val="24"/>
          <w:szCs w:val="24"/>
        </w:rPr>
        <w:t xml:space="preserve"> </w:t>
      </w:r>
      <w:r w:rsidR="006E7799" w:rsidRPr="002E7B52">
        <w:rPr>
          <w:rFonts w:asciiTheme="majorHAnsi" w:hAnsiTheme="majorHAnsi" w:cstheme="majorHAnsi"/>
          <w:i/>
          <w:sz w:val="24"/>
          <w:szCs w:val="24"/>
        </w:rPr>
        <w:t>iii)</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i/>
          <w:sz w:val="24"/>
          <w:szCs w:val="24"/>
        </w:rPr>
        <w:t>rezilierea unor contracte</w:t>
      </w:r>
      <w:r w:rsidR="006E7799" w:rsidRPr="00435EE8">
        <w:rPr>
          <w:rFonts w:asciiTheme="majorHAnsi" w:hAnsiTheme="majorHAnsi" w:cstheme="majorHAnsi"/>
          <w:sz w:val="24"/>
          <w:szCs w:val="24"/>
        </w:rPr>
        <w:t xml:space="preserve"> cu antreprenorii care nu au îndeplinit clauzele contractuale de a începe lucrările la Proiectul </w:t>
      </w:r>
      <w:r w:rsidR="00437A9D">
        <w:rPr>
          <w:rFonts w:asciiTheme="majorHAnsi" w:hAnsiTheme="majorHAnsi" w:cstheme="majorHAnsi"/>
          <w:sz w:val="24"/>
          <w:szCs w:val="24"/>
        </w:rPr>
        <w:t xml:space="preserve">pentru </w:t>
      </w:r>
      <w:r w:rsidR="006E7799" w:rsidRPr="00435EE8">
        <w:rPr>
          <w:rFonts w:asciiTheme="majorHAnsi" w:hAnsiTheme="majorHAnsi" w:cstheme="majorHAnsi"/>
          <w:sz w:val="24"/>
          <w:szCs w:val="24"/>
        </w:rPr>
        <w:t>„Susținerea Programului în sectorul drumurilor”</w:t>
      </w:r>
      <w:r w:rsidR="00437A9D">
        <w:rPr>
          <w:rFonts w:asciiTheme="majorHAnsi" w:hAnsiTheme="majorHAnsi" w:cstheme="majorHAnsi"/>
          <w:sz w:val="24"/>
          <w:szCs w:val="24"/>
        </w:rPr>
        <w:t>,</w:t>
      </w:r>
      <w:r w:rsidR="006E7799" w:rsidRPr="00435EE8">
        <w:rPr>
          <w:rFonts w:asciiTheme="majorHAnsi" w:hAnsiTheme="majorHAnsi" w:cstheme="majorHAnsi"/>
          <w:sz w:val="24"/>
          <w:szCs w:val="24"/>
        </w:rPr>
        <w:t xml:space="preserve"> cu (-911,4</w:t>
      </w:r>
      <w:r w:rsidR="00915F8C">
        <w:rPr>
          <w:rFonts w:asciiTheme="majorHAnsi" w:hAnsiTheme="majorHAnsi" w:cstheme="majorHAnsi"/>
          <w:sz w:val="24"/>
          <w:szCs w:val="24"/>
        </w:rPr>
        <w:t>)</w:t>
      </w:r>
      <w:r w:rsidR="006E7799"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și </w:t>
      </w:r>
      <w:r w:rsidR="002E7B52">
        <w:rPr>
          <w:rFonts w:asciiTheme="majorHAnsi" w:hAnsiTheme="majorHAnsi" w:cstheme="majorHAnsi"/>
          <w:i/>
          <w:sz w:val="24"/>
          <w:szCs w:val="24"/>
        </w:rPr>
        <w:t>iv)</w:t>
      </w:r>
      <w:r w:rsidR="006E7799" w:rsidRPr="00435EE8">
        <w:rPr>
          <w:rFonts w:asciiTheme="majorHAnsi" w:hAnsiTheme="majorHAnsi" w:cstheme="majorHAnsi"/>
          <w:i/>
          <w:sz w:val="24"/>
          <w:szCs w:val="24"/>
        </w:rPr>
        <w:t xml:space="preserve"> decă</w:t>
      </w:r>
      <w:r w:rsidR="00437A9D">
        <w:rPr>
          <w:rFonts w:asciiTheme="majorHAnsi" w:hAnsiTheme="majorHAnsi" w:cstheme="majorHAnsi"/>
          <w:i/>
          <w:sz w:val="24"/>
          <w:szCs w:val="24"/>
        </w:rPr>
        <w:t>derea</w:t>
      </w:r>
      <w:r w:rsidR="006E7799" w:rsidRPr="00435EE8">
        <w:rPr>
          <w:rFonts w:asciiTheme="majorHAnsi" w:hAnsiTheme="majorHAnsi" w:cstheme="majorHAnsi"/>
          <w:i/>
          <w:sz w:val="24"/>
          <w:szCs w:val="24"/>
        </w:rPr>
        <w:t xml:space="preserve"> necesit</w:t>
      </w:r>
      <w:r w:rsidR="00437A9D">
        <w:rPr>
          <w:rFonts w:asciiTheme="majorHAnsi" w:hAnsiTheme="majorHAnsi" w:cstheme="majorHAnsi"/>
          <w:i/>
          <w:sz w:val="24"/>
          <w:szCs w:val="24"/>
        </w:rPr>
        <w:t>ății</w:t>
      </w:r>
      <w:r w:rsidR="006E7799" w:rsidRPr="00435EE8">
        <w:rPr>
          <w:rFonts w:asciiTheme="majorHAnsi" w:hAnsiTheme="majorHAnsi" w:cstheme="majorHAnsi"/>
          <w:i/>
          <w:sz w:val="24"/>
          <w:szCs w:val="24"/>
        </w:rPr>
        <w:t xml:space="preserve"> în investiții </w:t>
      </w:r>
      <w:r w:rsidR="00437A9D">
        <w:rPr>
          <w:rFonts w:asciiTheme="majorHAnsi" w:hAnsiTheme="majorHAnsi" w:cstheme="majorHAnsi"/>
          <w:i/>
          <w:sz w:val="24"/>
          <w:szCs w:val="24"/>
        </w:rPr>
        <w:t>pentru</w:t>
      </w:r>
      <w:r w:rsidR="006E7799" w:rsidRPr="00435EE8">
        <w:rPr>
          <w:rFonts w:asciiTheme="majorHAnsi" w:hAnsiTheme="majorHAnsi" w:cstheme="majorHAnsi"/>
          <w:i/>
          <w:sz w:val="24"/>
          <w:szCs w:val="24"/>
        </w:rPr>
        <w:t xml:space="preserve"> 2 proiecte</w:t>
      </w:r>
      <w:r w:rsidR="00437A9D">
        <w:rPr>
          <w:rFonts w:asciiTheme="majorHAnsi" w:hAnsiTheme="majorHAnsi" w:cstheme="majorHAnsi"/>
          <w:i/>
          <w:sz w:val="24"/>
          <w:szCs w:val="24"/>
        </w:rPr>
        <w:t>:</w:t>
      </w:r>
      <w:r w:rsidR="006E7799" w:rsidRPr="00435EE8">
        <w:rPr>
          <w:rFonts w:asciiTheme="majorHAnsi" w:hAnsiTheme="majorHAnsi" w:cstheme="majorHAnsi"/>
          <w:i/>
          <w:sz w:val="24"/>
          <w:szCs w:val="24"/>
        </w:rPr>
        <w:t xml:space="preserve"> </w:t>
      </w:r>
      <w:r w:rsidR="006E7799" w:rsidRPr="00FB186A">
        <w:rPr>
          <w:rFonts w:asciiTheme="majorHAnsi" w:hAnsiTheme="majorHAnsi" w:cstheme="majorHAnsi"/>
          <w:sz w:val="24"/>
          <w:szCs w:val="24"/>
        </w:rPr>
        <w:t>„</w:t>
      </w:r>
      <w:r w:rsidR="006E7799" w:rsidRPr="00435EE8">
        <w:rPr>
          <w:rFonts w:asciiTheme="majorHAnsi" w:hAnsiTheme="majorHAnsi" w:cstheme="majorHAnsi"/>
          <w:sz w:val="24"/>
          <w:szCs w:val="24"/>
        </w:rPr>
        <w:t>Reconstrucția sediului Judecătoriei Chișinău”</w:t>
      </w:r>
      <w:r w:rsidR="00437A9D">
        <w:rPr>
          <w:rFonts w:asciiTheme="majorHAnsi" w:hAnsiTheme="majorHAnsi" w:cstheme="majorHAnsi"/>
          <w:sz w:val="24"/>
          <w:szCs w:val="24"/>
        </w:rPr>
        <w:t>,</w:t>
      </w:r>
      <w:r w:rsidR="006E7799" w:rsidRPr="00435EE8">
        <w:rPr>
          <w:rFonts w:asciiTheme="majorHAnsi" w:hAnsiTheme="majorHAnsi" w:cstheme="majorHAnsi"/>
          <w:sz w:val="24"/>
          <w:szCs w:val="24"/>
        </w:rPr>
        <w:t xml:space="preserve"> cu (-46,0</w:t>
      </w:r>
      <w:r w:rsidR="00915F8C">
        <w:rPr>
          <w:rFonts w:asciiTheme="majorHAnsi" w:hAnsiTheme="majorHAnsi" w:cstheme="majorHAnsi"/>
          <w:sz w:val="24"/>
          <w:szCs w:val="24"/>
        </w:rPr>
        <w:t>)</w:t>
      </w:r>
      <w:r w:rsidR="006E7799"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437A9D">
        <w:rPr>
          <w:rFonts w:asciiTheme="majorHAnsi" w:hAnsiTheme="majorHAnsi" w:cstheme="majorHAnsi"/>
          <w:sz w:val="24"/>
          <w:szCs w:val="24"/>
        </w:rPr>
        <w:t>,</w:t>
      </w:r>
      <w:r>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și </w:t>
      </w:r>
      <w:r w:rsidR="006E7799" w:rsidRPr="00437A9D">
        <w:rPr>
          <w:rFonts w:asciiTheme="majorHAnsi" w:hAnsiTheme="majorHAnsi" w:cstheme="majorHAnsi"/>
          <w:sz w:val="24"/>
          <w:szCs w:val="24"/>
        </w:rPr>
        <w:t>„</w:t>
      </w:r>
      <w:r w:rsidR="00437A9D">
        <w:rPr>
          <w:rFonts w:asciiTheme="majorHAnsi" w:hAnsiTheme="majorHAnsi" w:cstheme="majorHAnsi"/>
          <w:sz w:val="24"/>
          <w:szCs w:val="24"/>
        </w:rPr>
        <w:t>C</w:t>
      </w:r>
      <w:r w:rsidR="006E7799" w:rsidRPr="00435EE8">
        <w:rPr>
          <w:rFonts w:asciiTheme="majorHAnsi" w:hAnsiTheme="majorHAnsi" w:cstheme="majorHAnsi"/>
          <w:sz w:val="24"/>
          <w:szCs w:val="24"/>
        </w:rPr>
        <w:t>onstrucția sălii polivalente mun. Chișinău”</w:t>
      </w:r>
      <w:r w:rsidR="00437A9D">
        <w:rPr>
          <w:rFonts w:asciiTheme="majorHAnsi" w:hAnsiTheme="majorHAnsi" w:cstheme="majorHAnsi"/>
          <w:sz w:val="24"/>
          <w:szCs w:val="24"/>
        </w:rPr>
        <w:t>,</w:t>
      </w:r>
      <w:r w:rsidR="006E7799" w:rsidRPr="00435EE8">
        <w:rPr>
          <w:rFonts w:asciiTheme="majorHAnsi" w:hAnsiTheme="majorHAnsi" w:cstheme="majorHAnsi"/>
          <w:sz w:val="24"/>
          <w:szCs w:val="24"/>
        </w:rPr>
        <w:t xml:space="preserve"> cu (-200,0</w:t>
      </w:r>
      <w:r w:rsidR="00915F8C">
        <w:rPr>
          <w:rFonts w:asciiTheme="majorHAnsi" w:hAnsiTheme="majorHAnsi" w:cstheme="majorHAnsi"/>
          <w:sz w:val="24"/>
          <w:szCs w:val="24"/>
        </w:rPr>
        <w:t>)</w:t>
      </w:r>
      <w:r w:rsidR="006E7799"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etc. </w:t>
      </w:r>
    </w:p>
    <w:p w:rsidR="006E7799" w:rsidRPr="00435EE8" w:rsidRDefault="006E7799" w:rsidP="006E7799">
      <w:pPr>
        <w:spacing w:after="0" w:line="276" w:lineRule="auto"/>
        <w:ind w:firstLine="709"/>
        <w:jc w:val="both"/>
        <w:rPr>
          <w:rFonts w:asciiTheme="majorHAnsi" w:hAnsiTheme="majorHAnsi" w:cstheme="majorHAnsi"/>
          <w:sz w:val="24"/>
          <w:szCs w:val="24"/>
        </w:rPr>
      </w:pPr>
      <w:r w:rsidRPr="00435EE8">
        <w:rPr>
          <w:rFonts w:asciiTheme="majorHAnsi" w:hAnsiTheme="majorHAnsi" w:cstheme="majorHAnsi"/>
          <w:sz w:val="24"/>
          <w:szCs w:val="24"/>
        </w:rPr>
        <w:t>Analiza auditului denotă că</w:t>
      </w:r>
      <w:r w:rsidR="002E7B52">
        <w:rPr>
          <w:rFonts w:asciiTheme="majorHAnsi" w:hAnsiTheme="majorHAnsi" w:cstheme="majorHAnsi"/>
          <w:sz w:val="24"/>
          <w:szCs w:val="24"/>
        </w:rPr>
        <w:t>,</w:t>
      </w:r>
      <w:r w:rsidRPr="00435EE8">
        <w:rPr>
          <w:rFonts w:asciiTheme="majorHAnsi" w:hAnsiTheme="majorHAnsi" w:cstheme="majorHAnsi"/>
          <w:sz w:val="24"/>
          <w:szCs w:val="24"/>
        </w:rPr>
        <w:t xml:space="preserve"> în anul 2018</w:t>
      </w:r>
      <w:r w:rsidR="00437A9D">
        <w:rPr>
          <w:rFonts w:asciiTheme="majorHAnsi" w:hAnsiTheme="majorHAnsi" w:cstheme="majorHAnsi"/>
          <w:sz w:val="24"/>
          <w:szCs w:val="24"/>
        </w:rPr>
        <w:t>,</w:t>
      </w:r>
      <w:r w:rsidRPr="00435EE8">
        <w:rPr>
          <w:rFonts w:asciiTheme="majorHAnsi" w:hAnsiTheme="majorHAnsi" w:cstheme="majorHAnsi"/>
          <w:sz w:val="24"/>
          <w:szCs w:val="24"/>
        </w:rPr>
        <w:t xml:space="preserve"> cheltuielile executate pentru investiții capitale au însumat 849,7 mil. </w:t>
      </w:r>
      <w:r w:rsidR="007160B9">
        <w:rPr>
          <w:rFonts w:asciiTheme="majorHAnsi" w:hAnsiTheme="majorHAnsi" w:cstheme="majorHAnsi"/>
          <w:sz w:val="24"/>
          <w:szCs w:val="24"/>
        </w:rPr>
        <w:t>MDL</w:t>
      </w:r>
      <w:r w:rsidR="00437A9D">
        <w:rPr>
          <w:rFonts w:asciiTheme="majorHAnsi" w:hAnsiTheme="majorHAnsi" w:cstheme="majorHAnsi"/>
          <w:sz w:val="24"/>
          <w:szCs w:val="24"/>
        </w:rPr>
        <w:t>,</w:t>
      </w:r>
      <w:r w:rsidR="007160B9">
        <w:rPr>
          <w:rFonts w:asciiTheme="majorHAnsi" w:hAnsiTheme="majorHAnsi" w:cstheme="majorHAnsi"/>
          <w:sz w:val="24"/>
          <w:szCs w:val="24"/>
        </w:rPr>
        <w:t xml:space="preserve"> </w:t>
      </w:r>
      <w:r w:rsidRPr="00435EE8">
        <w:rPr>
          <w:rFonts w:asciiTheme="majorHAnsi" w:hAnsiTheme="majorHAnsi" w:cstheme="majorHAnsi"/>
          <w:sz w:val="24"/>
          <w:szCs w:val="24"/>
        </w:rPr>
        <w:t>sau la nivel de</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 xml:space="preserve">44,6% din volumul precizat. </w:t>
      </w:r>
      <w:r w:rsidRPr="00435EE8">
        <w:rPr>
          <w:rFonts w:asciiTheme="majorHAnsi" w:hAnsiTheme="majorHAnsi" w:cstheme="majorHAnsi"/>
          <w:i/>
          <w:sz w:val="24"/>
          <w:szCs w:val="24"/>
        </w:rPr>
        <w:t>Executarea cheltuielilor din BS în dinamică destinate investițiilor capitale executate în anii 2016</w:t>
      </w:r>
      <w:r w:rsidR="00CD5A12">
        <w:rPr>
          <w:rFonts w:asciiTheme="majorHAnsi" w:hAnsiTheme="majorHAnsi" w:cstheme="majorHAnsi"/>
          <w:i/>
          <w:sz w:val="24"/>
          <w:szCs w:val="24"/>
        </w:rPr>
        <w:t xml:space="preserve"> </w:t>
      </w:r>
      <w:r w:rsidR="00437A9D">
        <w:rPr>
          <w:rFonts w:asciiTheme="majorHAnsi" w:hAnsiTheme="majorHAnsi" w:cstheme="majorHAnsi"/>
          <w:i/>
          <w:sz w:val="24"/>
          <w:szCs w:val="24"/>
        </w:rPr>
        <w:t>–</w:t>
      </w:r>
      <w:r w:rsidR="00CD5A12">
        <w:rPr>
          <w:rFonts w:asciiTheme="majorHAnsi" w:hAnsiTheme="majorHAnsi" w:cstheme="majorHAnsi"/>
          <w:i/>
          <w:sz w:val="24"/>
          <w:szCs w:val="24"/>
        </w:rPr>
        <w:t xml:space="preserve"> </w:t>
      </w:r>
      <w:r w:rsidRPr="00435EE8">
        <w:rPr>
          <w:rFonts w:asciiTheme="majorHAnsi" w:hAnsiTheme="majorHAnsi" w:cstheme="majorHAnsi"/>
          <w:i/>
          <w:sz w:val="24"/>
          <w:szCs w:val="24"/>
        </w:rPr>
        <w:t>2018</w:t>
      </w:r>
      <w:r w:rsidR="00437A9D">
        <w:rPr>
          <w:rFonts w:asciiTheme="majorHAnsi" w:hAnsiTheme="majorHAnsi" w:cstheme="majorHAnsi"/>
          <w:i/>
          <w:sz w:val="24"/>
          <w:szCs w:val="24"/>
        </w:rPr>
        <w:t>,</w:t>
      </w:r>
      <w:r w:rsidRPr="00435EE8">
        <w:rPr>
          <w:rFonts w:asciiTheme="majorHAnsi" w:hAnsiTheme="majorHAnsi" w:cstheme="majorHAnsi"/>
          <w:i/>
          <w:sz w:val="24"/>
          <w:szCs w:val="24"/>
        </w:rPr>
        <w:t xml:space="preserve"> se prezintă în Diagrama nr.</w:t>
      </w:r>
      <w:r w:rsidR="008C396F">
        <w:rPr>
          <w:rFonts w:asciiTheme="majorHAnsi" w:hAnsiTheme="majorHAnsi" w:cstheme="majorHAnsi"/>
          <w:i/>
          <w:sz w:val="24"/>
          <w:szCs w:val="24"/>
        </w:rPr>
        <w:t>2</w:t>
      </w:r>
      <w:r w:rsidRPr="00435EE8">
        <w:rPr>
          <w:rFonts w:asciiTheme="majorHAnsi" w:hAnsiTheme="majorHAnsi" w:cstheme="majorHAnsi"/>
          <w:sz w:val="24"/>
          <w:szCs w:val="24"/>
        </w:rPr>
        <w:t>.</w:t>
      </w:r>
    </w:p>
    <w:p w:rsidR="008C28E5" w:rsidRDefault="006E7799" w:rsidP="00BE4953">
      <w:pPr>
        <w:spacing w:after="0" w:line="240" w:lineRule="auto"/>
        <w:ind w:firstLine="709"/>
        <w:jc w:val="right"/>
        <w:rPr>
          <w:rFonts w:asciiTheme="majorHAnsi" w:hAnsiTheme="majorHAnsi" w:cstheme="majorHAnsi"/>
          <w:i/>
          <w:sz w:val="24"/>
          <w:szCs w:val="24"/>
        </w:rPr>
      </w:pPr>
      <w:r>
        <w:rPr>
          <w:rFonts w:asciiTheme="majorHAnsi" w:hAnsiTheme="majorHAnsi" w:cstheme="majorHAnsi"/>
          <w:i/>
          <w:sz w:val="24"/>
          <w:szCs w:val="24"/>
        </w:rPr>
        <w:t>Diagrama nr.</w:t>
      </w:r>
      <w:r w:rsidR="008C396F">
        <w:rPr>
          <w:rFonts w:asciiTheme="majorHAnsi" w:hAnsiTheme="majorHAnsi" w:cstheme="majorHAnsi"/>
          <w:i/>
          <w:sz w:val="24"/>
          <w:szCs w:val="24"/>
        </w:rPr>
        <w:t>2</w:t>
      </w:r>
    </w:p>
    <w:p w:rsidR="006E7799" w:rsidRDefault="008C28E5" w:rsidP="00BE4953">
      <w:pPr>
        <w:spacing w:after="0" w:line="240" w:lineRule="auto"/>
        <w:ind w:firstLine="709"/>
        <w:jc w:val="center"/>
        <w:rPr>
          <w:rFonts w:asciiTheme="majorHAnsi" w:hAnsiTheme="majorHAnsi" w:cstheme="majorHAnsi"/>
          <w:b/>
          <w:sz w:val="24"/>
          <w:szCs w:val="24"/>
        </w:rPr>
      </w:pPr>
      <w:r w:rsidRPr="008C28E5">
        <w:rPr>
          <w:rFonts w:asciiTheme="majorHAnsi" w:hAnsiTheme="majorHAnsi" w:cstheme="majorHAnsi"/>
          <w:b/>
          <w:sz w:val="24"/>
          <w:szCs w:val="24"/>
        </w:rPr>
        <w:t xml:space="preserve">Executarea </w:t>
      </w:r>
      <w:r w:rsidR="007A4165">
        <w:rPr>
          <w:rFonts w:asciiTheme="majorHAnsi" w:hAnsiTheme="majorHAnsi" w:cstheme="majorHAnsi"/>
          <w:b/>
          <w:sz w:val="24"/>
          <w:szCs w:val="24"/>
        </w:rPr>
        <w:t xml:space="preserve">în dinamică a </w:t>
      </w:r>
      <w:r w:rsidRPr="008C28E5">
        <w:rPr>
          <w:rFonts w:asciiTheme="majorHAnsi" w:hAnsiTheme="majorHAnsi" w:cstheme="majorHAnsi"/>
          <w:b/>
          <w:sz w:val="24"/>
          <w:szCs w:val="24"/>
        </w:rPr>
        <w:t xml:space="preserve">cheltuielilor din </w:t>
      </w:r>
      <w:r w:rsidR="007A4165">
        <w:rPr>
          <w:rFonts w:asciiTheme="majorHAnsi" w:hAnsiTheme="majorHAnsi" w:cstheme="majorHAnsi"/>
          <w:b/>
          <w:sz w:val="24"/>
          <w:szCs w:val="24"/>
        </w:rPr>
        <w:t>bugetul de stat</w:t>
      </w:r>
      <w:r w:rsidRPr="008C28E5">
        <w:rPr>
          <w:rFonts w:asciiTheme="majorHAnsi" w:hAnsiTheme="majorHAnsi" w:cstheme="majorHAnsi"/>
          <w:b/>
          <w:sz w:val="24"/>
          <w:szCs w:val="24"/>
        </w:rPr>
        <w:t xml:space="preserve"> destinate investițiilor capitale  în anii 2016-2018</w:t>
      </w:r>
    </w:p>
    <w:p w:rsidR="008C28E5" w:rsidRPr="008C28E5" w:rsidRDefault="008C28E5" w:rsidP="00BE4953">
      <w:pPr>
        <w:tabs>
          <w:tab w:val="left" w:pos="8931"/>
        </w:tabs>
        <w:spacing w:after="0" w:line="240" w:lineRule="auto"/>
        <w:ind w:right="474" w:firstLine="709"/>
        <w:jc w:val="right"/>
        <w:rPr>
          <w:rFonts w:asciiTheme="majorHAnsi" w:hAnsiTheme="majorHAnsi" w:cstheme="majorHAnsi"/>
          <w:b/>
          <w:sz w:val="24"/>
          <w:szCs w:val="24"/>
        </w:rPr>
      </w:pPr>
      <w:r>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Pr>
          <w:rFonts w:asciiTheme="majorHAnsi" w:hAnsiTheme="majorHAnsi" w:cstheme="majorHAnsi"/>
          <w:b/>
          <w:sz w:val="24"/>
          <w:szCs w:val="24"/>
        </w:rPr>
        <w:t>)</w:t>
      </w:r>
    </w:p>
    <w:p w:rsidR="006E7799" w:rsidRPr="00435EE8" w:rsidRDefault="006E7799" w:rsidP="006E7799">
      <w:pPr>
        <w:spacing w:after="0" w:line="276" w:lineRule="auto"/>
        <w:jc w:val="center"/>
        <w:rPr>
          <w:rFonts w:asciiTheme="majorHAnsi" w:hAnsiTheme="majorHAnsi" w:cstheme="majorHAnsi"/>
          <w:sz w:val="24"/>
          <w:szCs w:val="24"/>
        </w:rPr>
      </w:pPr>
      <w:r w:rsidRPr="00435EE8">
        <w:rPr>
          <w:noProof/>
          <w:lang w:val="en-US"/>
        </w:rPr>
        <w:drawing>
          <wp:inline distT="0" distB="0" distL="0" distR="0" wp14:anchorId="4BCB74F5" wp14:editId="5752B54B">
            <wp:extent cx="5471160" cy="2247900"/>
            <wp:effectExtent l="0" t="0" r="152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799" w:rsidRPr="00435EE8" w:rsidRDefault="006E7799" w:rsidP="006E7799">
      <w:pPr>
        <w:spacing w:after="0" w:line="276" w:lineRule="auto"/>
        <w:ind w:left="709" w:right="474"/>
        <w:jc w:val="both"/>
        <w:rPr>
          <w:rFonts w:asciiTheme="majorHAnsi" w:hAnsiTheme="majorHAnsi" w:cstheme="majorHAnsi"/>
          <w:i/>
          <w:sz w:val="20"/>
          <w:szCs w:val="20"/>
        </w:rPr>
      </w:pPr>
      <w:r w:rsidRPr="00435EE8">
        <w:rPr>
          <w:rFonts w:asciiTheme="majorHAnsi" w:hAnsiTheme="majorHAnsi" w:cstheme="majorHAnsi"/>
          <w:b/>
          <w:i/>
          <w:sz w:val="20"/>
          <w:szCs w:val="20"/>
        </w:rPr>
        <w:t>Sursă</w:t>
      </w:r>
      <w:r w:rsidRPr="00435EE8">
        <w:rPr>
          <w:rFonts w:asciiTheme="majorHAnsi" w:hAnsiTheme="majorHAnsi" w:cstheme="majorHAnsi"/>
          <w:i/>
          <w:sz w:val="20"/>
          <w:szCs w:val="20"/>
        </w:rPr>
        <w:t>: Date generalizate de echipa de audit din Rapoartele Ministerului Finanțelor privind executarea bugetului de stat pe anii 2016, 2017, 2018.</w:t>
      </w:r>
    </w:p>
    <w:p w:rsidR="006E7799" w:rsidRPr="00435EE8" w:rsidRDefault="006E7799" w:rsidP="006E7799">
      <w:pPr>
        <w:spacing w:after="0" w:line="276" w:lineRule="auto"/>
        <w:ind w:right="49" w:firstLine="709"/>
        <w:jc w:val="both"/>
        <w:rPr>
          <w:rFonts w:asciiTheme="majorHAnsi" w:hAnsiTheme="majorHAnsi" w:cstheme="majorHAnsi"/>
          <w:sz w:val="24"/>
          <w:szCs w:val="24"/>
        </w:rPr>
      </w:pPr>
    </w:p>
    <w:p w:rsidR="006E7799" w:rsidRPr="00435EE8" w:rsidRDefault="006E7799" w:rsidP="006E7799">
      <w:pPr>
        <w:spacing w:after="0" w:line="276" w:lineRule="auto"/>
        <w:ind w:right="49" w:firstLine="709"/>
        <w:jc w:val="both"/>
        <w:rPr>
          <w:rFonts w:asciiTheme="majorHAnsi" w:hAnsiTheme="majorHAnsi" w:cstheme="majorHAnsi"/>
          <w:sz w:val="24"/>
          <w:szCs w:val="24"/>
        </w:rPr>
      </w:pPr>
      <w:r w:rsidRPr="00435EE8">
        <w:rPr>
          <w:rFonts w:asciiTheme="majorHAnsi" w:hAnsiTheme="majorHAnsi" w:cstheme="majorHAnsi"/>
          <w:sz w:val="24"/>
          <w:szCs w:val="24"/>
        </w:rPr>
        <w:t>Datele din diagramă relevă variația nesemnificativă a volumului investițiilor capitale</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executate din bugetul de stat</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în perioada 2016</w:t>
      </w:r>
      <w:r w:rsidR="00E358C4">
        <w:rPr>
          <w:rFonts w:asciiTheme="majorHAnsi" w:hAnsiTheme="majorHAnsi" w:cstheme="majorHAnsi"/>
          <w:sz w:val="24"/>
          <w:szCs w:val="24"/>
        </w:rPr>
        <w:t xml:space="preserve"> </w:t>
      </w:r>
      <w:r w:rsidRPr="00435EE8">
        <w:rPr>
          <w:rFonts w:asciiTheme="majorHAnsi" w:hAnsiTheme="majorHAnsi" w:cstheme="majorHAnsi"/>
          <w:sz w:val="24"/>
          <w:szCs w:val="24"/>
        </w:rPr>
        <w:t>-</w:t>
      </w:r>
      <w:r w:rsidR="00E358C4">
        <w:rPr>
          <w:rFonts w:asciiTheme="majorHAnsi" w:hAnsiTheme="majorHAnsi" w:cstheme="majorHAnsi"/>
          <w:sz w:val="24"/>
          <w:szCs w:val="24"/>
        </w:rPr>
        <w:t xml:space="preserve"> </w:t>
      </w:r>
      <w:r w:rsidRPr="00435EE8">
        <w:rPr>
          <w:rFonts w:asciiTheme="majorHAnsi" w:hAnsiTheme="majorHAnsi" w:cstheme="majorHAnsi"/>
          <w:sz w:val="24"/>
          <w:szCs w:val="24"/>
        </w:rPr>
        <w:t xml:space="preserve">2018. </w:t>
      </w:r>
    </w:p>
    <w:p w:rsidR="006E7799" w:rsidRPr="00435EE8" w:rsidRDefault="00437A9D" w:rsidP="006E7799">
      <w:pPr>
        <w:spacing w:after="0" w:line="276" w:lineRule="auto"/>
        <w:ind w:right="49" w:firstLine="709"/>
        <w:jc w:val="both"/>
        <w:rPr>
          <w:rFonts w:asciiTheme="majorHAnsi" w:hAnsiTheme="majorHAnsi" w:cstheme="majorHAnsi"/>
          <w:sz w:val="24"/>
          <w:szCs w:val="24"/>
        </w:rPr>
      </w:pPr>
      <w:r>
        <w:rPr>
          <w:rFonts w:asciiTheme="majorHAnsi" w:hAnsiTheme="majorHAnsi" w:cstheme="majorHAnsi"/>
          <w:sz w:val="24"/>
          <w:szCs w:val="24"/>
        </w:rPr>
        <w:t>P</w:t>
      </w:r>
      <w:r w:rsidR="006E7799" w:rsidRPr="00435EE8">
        <w:rPr>
          <w:rFonts w:asciiTheme="majorHAnsi" w:hAnsiTheme="majorHAnsi" w:cstheme="majorHAnsi"/>
          <w:sz w:val="24"/>
          <w:szCs w:val="24"/>
        </w:rPr>
        <w:t>rincipalele cauze care au determinat situația menționată</w:t>
      </w:r>
      <w:r>
        <w:rPr>
          <w:rFonts w:asciiTheme="majorHAnsi" w:hAnsiTheme="majorHAnsi" w:cstheme="majorHAnsi"/>
          <w:sz w:val="24"/>
          <w:szCs w:val="24"/>
        </w:rPr>
        <w:t xml:space="preserve"> sunt</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i)</w:t>
      </w:r>
      <w:r w:rsidR="006E7799" w:rsidRPr="00435EE8">
        <w:rPr>
          <w:rFonts w:asciiTheme="majorHAnsi" w:hAnsiTheme="majorHAnsi" w:cstheme="majorHAnsi"/>
          <w:sz w:val="24"/>
          <w:szCs w:val="24"/>
        </w:rPr>
        <w:t xml:space="preserve"> </w:t>
      </w:r>
      <w:r>
        <w:rPr>
          <w:rFonts w:asciiTheme="majorHAnsi" w:hAnsiTheme="majorHAnsi" w:cstheme="majorHAnsi"/>
          <w:sz w:val="24"/>
          <w:szCs w:val="24"/>
        </w:rPr>
        <w:t>c</w:t>
      </w:r>
      <w:r w:rsidR="006E7799" w:rsidRPr="00435EE8">
        <w:rPr>
          <w:rFonts w:asciiTheme="majorHAnsi" w:hAnsiTheme="majorHAnsi" w:cstheme="majorHAnsi"/>
          <w:sz w:val="24"/>
          <w:szCs w:val="24"/>
        </w:rPr>
        <w:t>apacitatea redusă a APC de planificare și valorificare a alocațiilo</w:t>
      </w:r>
      <w:r w:rsidR="00FD2246">
        <w:rPr>
          <w:rFonts w:asciiTheme="majorHAnsi" w:hAnsiTheme="majorHAnsi" w:cstheme="majorHAnsi"/>
          <w:sz w:val="24"/>
          <w:szCs w:val="24"/>
        </w:rPr>
        <w:t>r</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 xml:space="preserve">ii) </w:t>
      </w:r>
      <w:r w:rsidR="006E7799" w:rsidRPr="00435EE8">
        <w:rPr>
          <w:rFonts w:asciiTheme="majorHAnsi" w:hAnsiTheme="majorHAnsi" w:cstheme="majorHAnsi"/>
          <w:sz w:val="24"/>
          <w:szCs w:val="24"/>
        </w:rPr>
        <w:t xml:space="preserve">aprobarea </w:t>
      </w:r>
      <w:r>
        <w:rPr>
          <w:rFonts w:asciiTheme="majorHAnsi" w:hAnsiTheme="majorHAnsi" w:cstheme="majorHAnsi"/>
          <w:sz w:val="24"/>
          <w:szCs w:val="24"/>
        </w:rPr>
        <w:t>tardivă</w:t>
      </w:r>
      <w:r w:rsidR="006E7799" w:rsidRPr="00435EE8">
        <w:rPr>
          <w:rFonts w:asciiTheme="majorHAnsi" w:hAnsiTheme="majorHAnsi" w:cstheme="majorHAnsi"/>
          <w:sz w:val="24"/>
          <w:szCs w:val="24"/>
        </w:rPr>
        <w:t xml:space="preserve"> de către donatori a proiectelor de infrastructură lansate în cadrul Programului Operațional Comun Bazinul Mării Negre (9 proiecte de investiții capitale cu o executare medie de doar 17,1%</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sau 13,2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iii)</w:t>
      </w:r>
      <w:r w:rsidR="006E7799" w:rsidRPr="00435EE8">
        <w:rPr>
          <w:rFonts w:asciiTheme="majorHAnsi" w:hAnsiTheme="majorHAnsi" w:cstheme="majorHAnsi"/>
          <w:sz w:val="24"/>
          <w:szCs w:val="24"/>
        </w:rPr>
        <w:t xml:space="preserve"> nerespectarea de către antreprenori a obligațiunilor contractuale, inclusiv organizarea neadecvată a lucrărilor, neasigurarea calității lucrărilor efectuate și </w:t>
      </w:r>
      <w:r>
        <w:rPr>
          <w:rFonts w:asciiTheme="majorHAnsi" w:hAnsiTheme="majorHAnsi" w:cstheme="majorHAnsi"/>
          <w:sz w:val="24"/>
          <w:szCs w:val="24"/>
        </w:rPr>
        <w:t xml:space="preserve">a </w:t>
      </w:r>
      <w:r w:rsidR="006E7799" w:rsidRPr="00435EE8">
        <w:rPr>
          <w:rFonts w:asciiTheme="majorHAnsi" w:hAnsiTheme="majorHAnsi" w:cstheme="majorHAnsi"/>
          <w:sz w:val="24"/>
          <w:szCs w:val="24"/>
        </w:rPr>
        <w:t>documentelor întocmite</w:t>
      </w:r>
      <w:r w:rsidR="00FD2246">
        <w:rPr>
          <w:rFonts w:asciiTheme="majorHAnsi" w:hAnsiTheme="majorHAnsi" w:cstheme="majorHAnsi"/>
          <w:sz w:val="24"/>
          <w:szCs w:val="24"/>
        </w:rPr>
        <w:t xml:space="preserve"> etc</w:t>
      </w:r>
      <w:r>
        <w:rPr>
          <w:rFonts w:asciiTheme="majorHAnsi" w:hAnsiTheme="majorHAnsi" w:cstheme="majorHAnsi"/>
          <w:sz w:val="24"/>
          <w:szCs w:val="24"/>
        </w:rPr>
        <w:t>.</w:t>
      </w:r>
      <w:r w:rsidR="00FD2246">
        <w:rPr>
          <w:rFonts w:asciiTheme="majorHAnsi" w:hAnsiTheme="majorHAnsi" w:cstheme="majorHAnsi"/>
          <w:sz w:val="24"/>
          <w:szCs w:val="24"/>
        </w:rPr>
        <w:t xml:space="preserve"> („Susținerea Programului î</w:t>
      </w:r>
      <w:r w:rsidR="006E7799" w:rsidRPr="00435EE8">
        <w:rPr>
          <w:rFonts w:asciiTheme="majorHAnsi" w:hAnsiTheme="majorHAnsi" w:cstheme="majorHAnsi"/>
          <w:sz w:val="24"/>
          <w:szCs w:val="24"/>
        </w:rPr>
        <w:t>n sectorul drumurilor”</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cu o executare de 13,2%</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sau 13,7 mil. </w:t>
      </w:r>
      <w:r w:rsidR="007160B9">
        <w:rPr>
          <w:rFonts w:asciiTheme="majorHAnsi" w:hAnsiTheme="majorHAnsi" w:cstheme="majorHAnsi"/>
          <w:sz w:val="24"/>
          <w:szCs w:val="24"/>
        </w:rPr>
        <w:t>MDL</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și</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„Reabilitarea drumurilor locale” – 44,2%</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sau 543,5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iv)</w:t>
      </w:r>
      <w:r w:rsidR="006E7799" w:rsidRPr="00435EE8">
        <w:rPr>
          <w:rFonts w:asciiTheme="majorHAnsi" w:hAnsiTheme="majorHAnsi" w:cstheme="majorHAnsi"/>
          <w:sz w:val="24"/>
          <w:szCs w:val="24"/>
        </w:rPr>
        <w:t xml:space="preserve"> tergiversare</w:t>
      </w:r>
      <w:r>
        <w:rPr>
          <w:rFonts w:asciiTheme="majorHAnsi" w:hAnsiTheme="majorHAnsi" w:cstheme="majorHAnsi"/>
          <w:sz w:val="24"/>
          <w:szCs w:val="24"/>
        </w:rPr>
        <w:t>a</w:t>
      </w:r>
      <w:r w:rsidR="006E7799" w:rsidRPr="00435EE8">
        <w:rPr>
          <w:rFonts w:asciiTheme="majorHAnsi" w:hAnsiTheme="majorHAnsi" w:cstheme="majorHAnsi"/>
          <w:sz w:val="24"/>
          <w:szCs w:val="24"/>
        </w:rPr>
        <w:t xml:space="preserve"> procesul</w:t>
      </w:r>
      <w:r>
        <w:rPr>
          <w:rFonts w:asciiTheme="majorHAnsi" w:hAnsiTheme="majorHAnsi" w:cstheme="majorHAnsi"/>
          <w:sz w:val="24"/>
          <w:szCs w:val="24"/>
        </w:rPr>
        <w:t>ui</w:t>
      </w:r>
      <w:r w:rsidR="006E7799" w:rsidRPr="00435EE8">
        <w:rPr>
          <w:rFonts w:asciiTheme="majorHAnsi" w:hAnsiTheme="majorHAnsi" w:cstheme="majorHAnsi"/>
          <w:sz w:val="24"/>
          <w:szCs w:val="24"/>
        </w:rPr>
        <w:t xml:space="preserve"> de elaborare a documentației de proiect </w:t>
      </w:r>
      <w:r>
        <w:rPr>
          <w:rFonts w:asciiTheme="majorHAnsi" w:hAnsiTheme="majorHAnsi" w:cstheme="majorHAnsi"/>
          <w:sz w:val="24"/>
          <w:szCs w:val="24"/>
        </w:rPr>
        <w:t>pentru</w:t>
      </w:r>
      <w:r w:rsidR="006E7799" w:rsidRPr="00435EE8">
        <w:rPr>
          <w:rFonts w:asciiTheme="majorHAnsi" w:hAnsiTheme="majorHAnsi" w:cstheme="majorHAnsi"/>
          <w:sz w:val="24"/>
          <w:szCs w:val="24"/>
        </w:rPr>
        <w:t xml:space="preserve"> „Construcția penitenciarului din municipiul Chișinău”</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cu o executare de 13,1%</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sau 4,8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v)</w:t>
      </w:r>
      <w:r w:rsidR="006E7799" w:rsidRPr="00435EE8">
        <w:rPr>
          <w:rFonts w:asciiTheme="majorHAnsi" w:hAnsiTheme="majorHAnsi" w:cstheme="majorHAnsi"/>
          <w:sz w:val="24"/>
          <w:szCs w:val="24"/>
        </w:rPr>
        <w:t xml:space="preserve"> debursare</w:t>
      </w:r>
      <w:r>
        <w:rPr>
          <w:rFonts w:asciiTheme="majorHAnsi" w:hAnsiTheme="majorHAnsi" w:cstheme="majorHAnsi"/>
          <w:sz w:val="24"/>
          <w:szCs w:val="24"/>
        </w:rPr>
        <w:t>a tardivă</w:t>
      </w:r>
      <w:r w:rsidR="006E7799" w:rsidRPr="00435EE8">
        <w:rPr>
          <w:rFonts w:asciiTheme="majorHAnsi" w:hAnsiTheme="majorHAnsi" w:cstheme="majorHAnsi"/>
          <w:sz w:val="24"/>
          <w:szCs w:val="24"/>
        </w:rPr>
        <w:t xml:space="preserve"> a creditului </w:t>
      </w:r>
      <w:r>
        <w:rPr>
          <w:rFonts w:asciiTheme="majorHAnsi" w:hAnsiTheme="majorHAnsi" w:cstheme="majorHAnsi"/>
          <w:sz w:val="24"/>
          <w:szCs w:val="24"/>
        </w:rPr>
        <w:t>pentru</w:t>
      </w:r>
      <w:r w:rsidR="006E7799" w:rsidRPr="00435EE8">
        <w:rPr>
          <w:rFonts w:asciiTheme="majorHAnsi" w:hAnsiTheme="majorHAnsi" w:cstheme="majorHAnsi"/>
          <w:sz w:val="24"/>
          <w:szCs w:val="24"/>
        </w:rPr>
        <w:t xml:space="preserve"> „Programul rural de rezisten</w:t>
      </w:r>
      <w:r>
        <w:rPr>
          <w:rFonts w:asciiTheme="majorHAnsi" w:hAnsiTheme="majorHAnsi" w:cstheme="majorHAnsi"/>
          <w:sz w:val="24"/>
          <w:szCs w:val="24"/>
        </w:rPr>
        <w:t>ță</w:t>
      </w:r>
      <w:r w:rsidR="006E7799" w:rsidRPr="00435EE8">
        <w:rPr>
          <w:rFonts w:asciiTheme="majorHAnsi" w:hAnsiTheme="majorHAnsi" w:cstheme="majorHAnsi"/>
          <w:sz w:val="24"/>
          <w:szCs w:val="24"/>
        </w:rPr>
        <w:t xml:space="preserve"> </w:t>
      </w:r>
      <w:proofErr w:type="spellStart"/>
      <w:r w:rsidR="006E7799" w:rsidRPr="00435EE8">
        <w:rPr>
          <w:rFonts w:asciiTheme="majorHAnsi" w:hAnsiTheme="majorHAnsi" w:cstheme="majorHAnsi"/>
          <w:sz w:val="24"/>
          <w:szCs w:val="24"/>
        </w:rPr>
        <w:t>economico</w:t>
      </w:r>
      <w:proofErr w:type="spellEnd"/>
      <w:r w:rsidR="006E7799" w:rsidRPr="00435EE8">
        <w:rPr>
          <w:rFonts w:asciiTheme="majorHAnsi" w:hAnsiTheme="majorHAnsi" w:cstheme="majorHAnsi"/>
          <w:sz w:val="24"/>
          <w:szCs w:val="24"/>
        </w:rPr>
        <w:t>-climatic</w:t>
      </w:r>
      <w:r>
        <w:rPr>
          <w:rFonts w:asciiTheme="majorHAnsi" w:hAnsiTheme="majorHAnsi" w:cstheme="majorHAnsi"/>
          <w:sz w:val="24"/>
          <w:szCs w:val="24"/>
        </w:rPr>
        <w:t>ă</w:t>
      </w:r>
      <w:r w:rsidR="006E7799" w:rsidRPr="00435EE8">
        <w:rPr>
          <w:rFonts w:asciiTheme="majorHAnsi" w:hAnsiTheme="majorHAnsi" w:cstheme="majorHAnsi"/>
          <w:sz w:val="24"/>
          <w:szCs w:val="24"/>
        </w:rPr>
        <w:t xml:space="preserve"> incluziv</w:t>
      </w:r>
      <w:r>
        <w:rPr>
          <w:rFonts w:asciiTheme="majorHAnsi" w:hAnsiTheme="majorHAnsi" w:cstheme="majorHAnsi"/>
          <w:sz w:val="24"/>
          <w:szCs w:val="24"/>
        </w:rPr>
        <w:t>ă”</w:t>
      </w:r>
      <w:r w:rsidR="006E7799" w:rsidRPr="00435EE8">
        <w:rPr>
          <w:rFonts w:asciiTheme="majorHAnsi" w:hAnsiTheme="majorHAnsi" w:cstheme="majorHAnsi"/>
          <w:sz w:val="24"/>
          <w:szCs w:val="24"/>
        </w:rPr>
        <w:t xml:space="preserve"> IFAD VI</w:t>
      </w:r>
      <w:r w:rsidR="004B51C4">
        <w:rPr>
          <w:rFonts w:asciiTheme="majorHAnsi" w:hAnsiTheme="majorHAnsi" w:cstheme="majorHAnsi"/>
          <w:sz w:val="24"/>
          <w:szCs w:val="24"/>
        </w:rPr>
        <w:t>,</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cu o executare de 40,8%</w:t>
      </w:r>
      <w:r w:rsidR="004B51C4">
        <w:rPr>
          <w:rFonts w:asciiTheme="majorHAnsi" w:hAnsiTheme="majorHAnsi" w:cstheme="majorHAnsi"/>
          <w:sz w:val="24"/>
          <w:szCs w:val="24"/>
        </w:rPr>
        <w:t>,</w:t>
      </w:r>
      <w:r w:rsidR="006E7799" w:rsidRPr="00435EE8">
        <w:rPr>
          <w:rFonts w:asciiTheme="majorHAnsi" w:hAnsiTheme="majorHAnsi" w:cstheme="majorHAnsi"/>
          <w:sz w:val="24"/>
          <w:szCs w:val="24"/>
        </w:rPr>
        <w:t xml:space="preserve"> sau 13,7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w:t>
      </w:r>
      <w:r w:rsidR="00793C62">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 xml:space="preserve">vi) </w:t>
      </w:r>
      <w:r w:rsidR="006E7799" w:rsidRPr="00435EE8">
        <w:rPr>
          <w:rFonts w:asciiTheme="majorHAnsi" w:hAnsiTheme="majorHAnsi" w:cstheme="majorHAnsi"/>
          <w:sz w:val="24"/>
          <w:szCs w:val="24"/>
        </w:rPr>
        <w:t xml:space="preserve">modificarea procedurilor de acordare a </w:t>
      </w:r>
      <w:r w:rsidR="006E7799" w:rsidRPr="00435EE8">
        <w:rPr>
          <w:rFonts w:asciiTheme="majorHAnsi" w:hAnsiTheme="majorHAnsi" w:cstheme="majorHAnsi"/>
          <w:sz w:val="24"/>
          <w:szCs w:val="24"/>
        </w:rPr>
        <w:lastRenderedPageBreak/>
        <w:t xml:space="preserve">creditelor din resursele IFAD VII </w:t>
      </w:r>
      <w:r w:rsidR="004B51C4">
        <w:rPr>
          <w:rFonts w:asciiTheme="majorHAnsi" w:hAnsiTheme="majorHAnsi" w:cstheme="majorHAnsi"/>
          <w:sz w:val="24"/>
          <w:szCs w:val="24"/>
        </w:rPr>
        <w:t xml:space="preserve">pentru </w:t>
      </w:r>
      <w:r w:rsidR="006E7799" w:rsidRPr="00435EE8">
        <w:rPr>
          <w:rFonts w:asciiTheme="majorHAnsi" w:hAnsiTheme="majorHAnsi" w:cstheme="majorHAnsi"/>
          <w:sz w:val="24"/>
          <w:szCs w:val="24"/>
        </w:rPr>
        <w:t>„Programul rural de rezisten</w:t>
      </w:r>
      <w:r w:rsidR="004B51C4">
        <w:rPr>
          <w:rFonts w:asciiTheme="majorHAnsi" w:hAnsiTheme="majorHAnsi" w:cstheme="majorHAnsi"/>
          <w:sz w:val="24"/>
          <w:szCs w:val="24"/>
        </w:rPr>
        <w:t>ță</w:t>
      </w:r>
      <w:r w:rsidR="006E7799" w:rsidRPr="00435EE8">
        <w:rPr>
          <w:rFonts w:asciiTheme="majorHAnsi" w:hAnsiTheme="majorHAnsi" w:cstheme="majorHAnsi"/>
          <w:sz w:val="24"/>
          <w:szCs w:val="24"/>
        </w:rPr>
        <w:t xml:space="preserve"> </w:t>
      </w:r>
      <w:proofErr w:type="spellStart"/>
      <w:r w:rsidR="006E7799" w:rsidRPr="00435EE8">
        <w:rPr>
          <w:rFonts w:asciiTheme="majorHAnsi" w:hAnsiTheme="majorHAnsi" w:cstheme="majorHAnsi"/>
          <w:sz w:val="24"/>
          <w:szCs w:val="24"/>
        </w:rPr>
        <w:t>economico</w:t>
      </w:r>
      <w:proofErr w:type="spellEnd"/>
      <w:r w:rsidR="006E7799" w:rsidRPr="00435EE8">
        <w:rPr>
          <w:rFonts w:asciiTheme="majorHAnsi" w:hAnsiTheme="majorHAnsi" w:cstheme="majorHAnsi"/>
          <w:sz w:val="24"/>
          <w:szCs w:val="24"/>
        </w:rPr>
        <w:t>-climatic</w:t>
      </w:r>
      <w:r w:rsidR="004B51C4">
        <w:rPr>
          <w:rFonts w:asciiTheme="majorHAnsi" w:hAnsiTheme="majorHAnsi" w:cstheme="majorHAnsi"/>
          <w:sz w:val="24"/>
          <w:szCs w:val="24"/>
        </w:rPr>
        <w:t>ă</w:t>
      </w:r>
      <w:r w:rsidR="006E7799" w:rsidRPr="00435EE8">
        <w:rPr>
          <w:rFonts w:asciiTheme="majorHAnsi" w:hAnsiTheme="majorHAnsi" w:cstheme="majorHAnsi"/>
          <w:sz w:val="24"/>
          <w:szCs w:val="24"/>
        </w:rPr>
        <w:t xml:space="preserve"> incluziv</w:t>
      </w:r>
      <w:r w:rsidR="004B51C4">
        <w:rPr>
          <w:rFonts w:asciiTheme="majorHAnsi" w:hAnsiTheme="majorHAnsi" w:cstheme="majorHAnsi"/>
          <w:sz w:val="24"/>
          <w:szCs w:val="24"/>
        </w:rPr>
        <w:t>ă</w:t>
      </w:r>
      <w:r w:rsidR="006E7799" w:rsidRPr="00435EE8">
        <w:rPr>
          <w:rFonts w:asciiTheme="majorHAnsi" w:hAnsiTheme="majorHAnsi" w:cstheme="majorHAnsi"/>
          <w:sz w:val="24"/>
          <w:szCs w:val="24"/>
        </w:rPr>
        <w:t xml:space="preserve"> (aprobarea manualelor operaționale doar în decembrie 2018)</w:t>
      </w:r>
      <w:r w:rsidR="004B51C4">
        <w:rPr>
          <w:rFonts w:asciiTheme="majorHAnsi" w:hAnsiTheme="majorHAnsi" w:cstheme="majorHAnsi"/>
          <w:sz w:val="24"/>
          <w:szCs w:val="24"/>
        </w:rPr>
        <w:t>,</w:t>
      </w:r>
      <w:r w:rsidR="006E7799" w:rsidRPr="00435EE8">
        <w:rPr>
          <w:rFonts w:asciiTheme="majorHAnsi" w:hAnsiTheme="majorHAnsi" w:cstheme="majorHAnsi"/>
          <w:sz w:val="24"/>
          <w:szCs w:val="24"/>
        </w:rPr>
        <w:t xml:space="preserve"> executarea constituind 0,0%</w:t>
      </w:r>
      <w:r w:rsidR="004B51C4">
        <w:rPr>
          <w:rFonts w:asciiTheme="majorHAnsi" w:hAnsiTheme="majorHAnsi" w:cstheme="majorHAnsi"/>
          <w:sz w:val="24"/>
          <w:szCs w:val="24"/>
        </w:rPr>
        <w:t>;</w:t>
      </w:r>
      <w:r w:rsidR="00793C62">
        <w:rPr>
          <w:rFonts w:asciiTheme="majorHAnsi" w:hAnsiTheme="majorHAnsi" w:cstheme="majorHAnsi"/>
          <w:sz w:val="24"/>
          <w:szCs w:val="24"/>
        </w:rPr>
        <w:t xml:space="preserve"> </w:t>
      </w:r>
      <w:r w:rsidR="006E7799" w:rsidRPr="00435EE8">
        <w:rPr>
          <w:rFonts w:asciiTheme="majorHAnsi" w:hAnsiTheme="majorHAnsi" w:cstheme="majorHAnsi"/>
          <w:b/>
          <w:i/>
          <w:sz w:val="24"/>
          <w:szCs w:val="24"/>
        </w:rPr>
        <w:t>vii</w:t>
      </w:r>
      <w:r w:rsidR="006E7799" w:rsidRPr="00435EE8">
        <w:rPr>
          <w:rFonts w:asciiTheme="majorHAnsi" w:hAnsiTheme="majorHAnsi" w:cstheme="majorHAnsi"/>
          <w:i/>
          <w:sz w:val="24"/>
          <w:szCs w:val="24"/>
        </w:rPr>
        <w:t>)</w:t>
      </w:r>
      <w:r w:rsidR="006E7799" w:rsidRPr="00435EE8">
        <w:rPr>
          <w:rFonts w:asciiTheme="majorHAnsi" w:hAnsiTheme="majorHAnsi" w:cstheme="majorHAnsi"/>
          <w:sz w:val="24"/>
          <w:szCs w:val="24"/>
        </w:rPr>
        <w:t xml:space="preserve"> reorganiz</w:t>
      </w:r>
      <w:r w:rsidR="004B51C4">
        <w:rPr>
          <w:rFonts w:asciiTheme="majorHAnsi" w:hAnsiTheme="majorHAnsi" w:cstheme="majorHAnsi"/>
          <w:sz w:val="24"/>
          <w:szCs w:val="24"/>
        </w:rPr>
        <w:t>area</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instituțiilor publice centrale (Proiectul „Construcția locuințelor sociale II”</w:t>
      </w:r>
      <w:r w:rsidR="004B51C4">
        <w:rPr>
          <w:rFonts w:asciiTheme="majorHAnsi" w:hAnsiTheme="majorHAnsi" w:cstheme="majorHAnsi"/>
          <w:sz w:val="24"/>
          <w:szCs w:val="24"/>
        </w:rPr>
        <w:t>, cu o executare de</w:t>
      </w:r>
      <w:r w:rsidR="006E7799" w:rsidRPr="00435EE8">
        <w:rPr>
          <w:rFonts w:asciiTheme="majorHAnsi" w:hAnsiTheme="majorHAnsi" w:cstheme="majorHAnsi"/>
          <w:sz w:val="24"/>
          <w:szCs w:val="24"/>
        </w:rPr>
        <w:t xml:space="preserve"> 47,7%</w:t>
      </w:r>
      <w:r w:rsidR="004B51C4">
        <w:rPr>
          <w:rFonts w:asciiTheme="majorHAnsi" w:hAnsiTheme="majorHAnsi" w:cstheme="majorHAnsi"/>
          <w:sz w:val="24"/>
          <w:szCs w:val="24"/>
        </w:rPr>
        <w:t>,</w:t>
      </w:r>
      <w:r w:rsidR="006E7799" w:rsidRPr="00435EE8">
        <w:rPr>
          <w:rFonts w:asciiTheme="majorHAnsi" w:hAnsiTheme="majorHAnsi" w:cstheme="majorHAnsi"/>
          <w:sz w:val="24"/>
          <w:szCs w:val="24"/>
        </w:rPr>
        <w:t xml:space="preserve"> sau 24,7 mil.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etc.</w:t>
      </w:r>
      <w:r w:rsidR="00793C62">
        <w:rPr>
          <w:rFonts w:asciiTheme="majorHAnsi" w:hAnsiTheme="majorHAnsi" w:cstheme="majorHAnsi"/>
          <w:sz w:val="24"/>
          <w:szCs w:val="24"/>
        </w:rPr>
        <w:t xml:space="preserve"> </w:t>
      </w:r>
    </w:p>
    <w:p w:rsidR="006E7799" w:rsidRPr="00435EE8" w:rsidRDefault="006E7799" w:rsidP="006E7799">
      <w:pPr>
        <w:spacing w:after="0" w:line="276" w:lineRule="auto"/>
        <w:ind w:right="49" w:firstLine="709"/>
        <w:jc w:val="both"/>
        <w:rPr>
          <w:rFonts w:asciiTheme="majorHAnsi" w:hAnsiTheme="majorHAnsi" w:cstheme="majorHAnsi"/>
          <w:sz w:val="24"/>
          <w:szCs w:val="24"/>
        </w:rPr>
      </w:pPr>
      <w:r w:rsidRPr="00435EE8">
        <w:rPr>
          <w:rFonts w:asciiTheme="majorHAnsi" w:hAnsiTheme="majorHAnsi" w:cstheme="majorHAnsi"/>
          <w:sz w:val="24"/>
          <w:szCs w:val="24"/>
        </w:rPr>
        <w:t>Examinările auditului sub aspectul surselor de finanțare relevă că</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nivelul de executare a investițiilor capitale în anul 2018</w:t>
      </w:r>
      <w:r w:rsidR="004B51C4">
        <w:rPr>
          <w:rFonts w:asciiTheme="majorHAnsi" w:hAnsiTheme="majorHAnsi" w:cstheme="majorHAnsi"/>
          <w:sz w:val="24"/>
          <w:szCs w:val="24"/>
        </w:rPr>
        <w:t>,</w:t>
      </w:r>
      <w:r w:rsidRPr="00435EE8">
        <w:rPr>
          <w:rFonts w:asciiTheme="majorHAnsi" w:hAnsiTheme="majorHAnsi" w:cstheme="majorHAnsi"/>
          <w:sz w:val="24"/>
          <w:szCs w:val="24"/>
        </w:rPr>
        <w:t xml:space="preserve"> pe obiecte finanțate din contul resurselor generale și veniturilor colectate</w:t>
      </w:r>
      <w:r w:rsidR="004B51C4">
        <w:rPr>
          <w:rFonts w:asciiTheme="majorHAnsi" w:hAnsiTheme="majorHAnsi" w:cstheme="majorHAnsi"/>
          <w:sz w:val="24"/>
          <w:szCs w:val="24"/>
        </w:rPr>
        <w:t>,</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a constituit 28,9%</w:t>
      </w:r>
      <w:r w:rsidR="004B51C4">
        <w:rPr>
          <w:rFonts w:asciiTheme="majorHAnsi" w:hAnsiTheme="majorHAnsi" w:cstheme="majorHAnsi"/>
          <w:sz w:val="24"/>
          <w:szCs w:val="24"/>
        </w:rPr>
        <w:t>,</w:t>
      </w:r>
      <w:r w:rsidRPr="00435EE8">
        <w:rPr>
          <w:rFonts w:asciiTheme="majorHAnsi" w:hAnsiTheme="majorHAnsi" w:cstheme="majorHAnsi"/>
          <w:sz w:val="24"/>
          <w:szCs w:val="24"/>
        </w:rPr>
        <w:t xml:space="preserve"> sau 245,</w:t>
      </w:r>
      <w:r w:rsidR="00981A65">
        <w:rPr>
          <w:rFonts w:asciiTheme="majorHAnsi" w:hAnsiTheme="majorHAnsi" w:cstheme="majorHAnsi"/>
          <w:sz w:val="24"/>
          <w:szCs w:val="24"/>
        </w:rPr>
        <w:t>4</w:t>
      </w:r>
      <w:r w:rsidRPr="00435EE8">
        <w:rPr>
          <w:rFonts w:asciiTheme="majorHAnsi" w:hAnsiTheme="majorHAnsi" w:cstheme="majorHAnsi"/>
          <w:sz w:val="24"/>
          <w:szCs w:val="24"/>
        </w:rPr>
        <w:t xml:space="preserve"> mil. </w:t>
      </w:r>
      <w:r w:rsidR="007160B9">
        <w:rPr>
          <w:rFonts w:asciiTheme="majorHAnsi" w:hAnsiTheme="majorHAnsi" w:cstheme="majorHAnsi"/>
          <w:sz w:val="24"/>
          <w:szCs w:val="24"/>
        </w:rPr>
        <w:t>MDL</w:t>
      </w:r>
      <w:r w:rsidR="004B51C4">
        <w:rPr>
          <w:rFonts w:asciiTheme="majorHAnsi" w:hAnsiTheme="majorHAnsi" w:cstheme="majorHAnsi"/>
          <w:sz w:val="24"/>
          <w:szCs w:val="24"/>
        </w:rPr>
        <w:t>, iar</w:t>
      </w:r>
      <w:r w:rsidRPr="00435EE8">
        <w:rPr>
          <w:rFonts w:asciiTheme="majorHAnsi" w:hAnsiTheme="majorHAnsi" w:cstheme="majorHAnsi"/>
          <w:sz w:val="24"/>
          <w:szCs w:val="24"/>
        </w:rPr>
        <w:t xml:space="preserve"> din contul proiectelor finanțate din surse externe –</w:t>
      </w:r>
      <w:r w:rsidR="004B51C4">
        <w:rPr>
          <w:rFonts w:asciiTheme="majorHAnsi" w:hAnsiTheme="majorHAnsi" w:cstheme="majorHAnsi"/>
          <w:sz w:val="24"/>
          <w:szCs w:val="24"/>
        </w:rPr>
        <w:t xml:space="preserve"> </w:t>
      </w:r>
      <w:r w:rsidRPr="00435EE8">
        <w:rPr>
          <w:rFonts w:asciiTheme="majorHAnsi" w:hAnsiTheme="majorHAnsi" w:cstheme="majorHAnsi"/>
          <w:sz w:val="24"/>
          <w:szCs w:val="24"/>
        </w:rPr>
        <w:t>87,1%</w:t>
      </w:r>
      <w:r w:rsidR="004B51C4">
        <w:rPr>
          <w:rFonts w:asciiTheme="majorHAnsi" w:hAnsiTheme="majorHAnsi" w:cstheme="majorHAnsi"/>
          <w:sz w:val="24"/>
          <w:szCs w:val="24"/>
        </w:rPr>
        <w:t>,</w:t>
      </w:r>
      <w:r w:rsidRPr="00435EE8">
        <w:rPr>
          <w:rFonts w:asciiTheme="majorHAnsi" w:hAnsiTheme="majorHAnsi" w:cstheme="majorHAnsi"/>
          <w:sz w:val="24"/>
          <w:szCs w:val="24"/>
        </w:rPr>
        <w:t xml:space="preserve"> sau 604,3 mil. </w:t>
      </w:r>
      <w:r w:rsidR="007160B9">
        <w:rPr>
          <w:rFonts w:asciiTheme="majorHAnsi" w:hAnsiTheme="majorHAnsi" w:cstheme="majorHAnsi"/>
          <w:sz w:val="24"/>
          <w:szCs w:val="24"/>
        </w:rPr>
        <w:t>MDL</w:t>
      </w:r>
      <w:r w:rsidRPr="00435EE8">
        <w:rPr>
          <w:rFonts w:asciiTheme="majorHAnsi" w:hAnsiTheme="majorHAnsi" w:cstheme="majorHAnsi"/>
          <w:sz w:val="24"/>
          <w:szCs w:val="24"/>
        </w:rPr>
        <w:t xml:space="preserve">. </w:t>
      </w:r>
    </w:p>
    <w:p w:rsidR="006E7799" w:rsidRDefault="006E7799" w:rsidP="006E7799">
      <w:pPr>
        <w:spacing w:after="0" w:line="276" w:lineRule="auto"/>
        <w:ind w:firstLine="709"/>
        <w:jc w:val="both"/>
        <w:rPr>
          <w:rFonts w:asciiTheme="majorHAnsi" w:eastAsia="Times New Roman" w:hAnsiTheme="majorHAnsi" w:cstheme="majorHAnsi"/>
          <w:i/>
          <w:iCs/>
          <w:sz w:val="24"/>
          <w:szCs w:val="24"/>
          <w:lang w:val="ro-MD"/>
        </w:rPr>
      </w:pPr>
      <w:r w:rsidRPr="00435EE8">
        <w:rPr>
          <w:rFonts w:asciiTheme="majorHAnsi" w:hAnsiTheme="majorHAnsi" w:cstheme="majorHAnsi"/>
          <w:sz w:val="24"/>
          <w:szCs w:val="24"/>
        </w:rPr>
        <w:t>Se relevă că</w:t>
      </w:r>
      <w:r w:rsidR="004B51C4">
        <w:rPr>
          <w:rFonts w:asciiTheme="majorHAnsi" w:hAnsiTheme="majorHAnsi" w:cstheme="majorHAnsi"/>
          <w:sz w:val="24"/>
          <w:szCs w:val="24"/>
        </w:rPr>
        <w:t>,</w:t>
      </w:r>
      <w:r w:rsidRPr="00435EE8">
        <w:rPr>
          <w:rFonts w:asciiTheme="majorHAnsi" w:hAnsiTheme="majorHAnsi" w:cstheme="majorHAnsi"/>
          <w:sz w:val="24"/>
          <w:szCs w:val="24"/>
        </w:rPr>
        <w:t xml:space="preserve"> la capitolul investiții capitale</w:t>
      </w:r>
      <w:r w:rsidR="004B51C4">
        <w:rPr>
          <w:rFonts w:asciiTheme="majorHAnsi" w:hAnsiTheme="majorHAnsi" w:cstheme="majorHAnsi"/>
          <w:sz w:val="24"/>
          <w:szCs w:val="24"/>
        </w:rPr>
        <w:t>,</w:t>
      </w:r>
      <w:r w:rsidRPr="00435EE8">
        <w:rPr>
          <w:rFonts w:asciiTheme="majorHAnsi" w:hAnsiTheme="majorHAnsi" w:cstheme="majorHAnsi"/>
          <w:sz w:val="24"/>
          <w:szCs w:val="24"/>
        </w:rPr>
        <w:t xml:space="preserve"> se aprobă </w:t>
      </w:r>
      <w:r w:rsidR="004B51C4" w:rsidRPr="00435EE8">
        <w:rPr>
          <w:rFonts w:asciiTheme="majorHAnsi" w:hAnsiTheme="majorHAnsi" w:cstheme="majorHAnsi"/>
          <w:sz w:val="24"/>
          <w:szCs w:val="24"/>
        </w:rPr>
        <w:t>anual</w:t>
      </w:r>
      <w:r w:rsidR="004B51C4">
        <w:rPr>
          <w:rFonts w:asciiTheme="majorHAnsi" w:hAnsiTheme="majorHAnsi" w:cstheme="majorHAnsi"/>
          <w:sz w:val="24"/>
          <w:szCs w:val="24"/>
        </w:rPr>
        <w:t xml:space="preserve"> </w:t>
      </w:r>
      <w:r w:rsidRPr="00435EE8">
        <w:rPr>
          <w:rFonts w:asciiTheme="majorHAnsi" w:hAnsiTheme="majorHAnsi" w:cstheme="majorHAnsi"/>
          <w:sz w:val="24"/>
          <w:szCs w:val="24"/>
        </w:rPr>
        <w:t xml:space="preserve">mijloace bugetare pentru elaborarea proiectelor de investiții capitale. </w:t>
      </w:r>
      <w:r w:rsidR="00EA2DA1">
        <w:rPr>
          <w:rFonts w:asciiTheme="majorHAnsi" w:hAnsiTheme="majorHAnsi" w:cstheme="majorHAnsi"/>
          <w:sz w:val="24"/>
          <w:szCs w:val="24"/>
        </w:rPr>
        <w:t>Verificările</w:t>
      </w:r>
      <w:r w:rsidRPr="00435EE8">
        <w:rPr>
          <w:rFonts w:asciiTheme="majorHAnsi" w:hAnsiTheme="majorHAnsi" w:cstheme="majorHAnsi"/>
          <w:sz w:val="24"/>
          <w:szCs w:val="24"/>
        </w:rPr>
        <w:t xml:space="preserve"> auditului referitor la cheltuielile aprobate, precizate și </w:t>
      </w:r>
      <w:r w:rsidRPr="004E6097">
        <w:rPr>
          <w:rFonts w:asciiTheme="majorHAnsi" w:hAnsiTheme="majorHAnsi" w:cstheme="majorHAnsi"/>
          <w:sz w:val="24"/>
          <w:szCs w:val="24"/>
        </w:rPr>
        <w:t>executate</w:t>
      </w:r>
      <w:r w:rsidR="00793C62">
        <w:rPr>
          <w:rFonts w:asciiTheme="majorHAnsi" w:hAnsiTheme="majorHAnsi" w:cstheme="majorHAnsi"/>
          <w:sz w:val="24"/>
          <w:szCs w:val="24"/>
        </w:rPr>
        <w:t xml:space="preserve"> </w:t>
      </w:r>
      <w:r w:rsidRPr="004E6097">
        <w:rPr>
          <w:rFonts w:asciiTheme="majorHAnsi" w:hAnsiTheme="majorHAnsi" w:cstheme="majorHAnsi"/>
          <w:sz w:val="24"/>
          <w:szCs w:val="24"/>
        </w:rPr>
        <w:t>pentru elaborarea proiectelor de investiții capitale</w:t>
      </w:r>
      <w:r w:rsidR="004B51C4">
        <w:rPr>
          <w:rFonts w:asciiTheme="majorHAnsi" w:hAnsiTheme="majorHAnsi" w:cstheme="majorHAnsi"/>
          <w:sz w:val="24"/>
          <w:szCs w:val="24"/>
        </w:rPr>
        <w:t>,</w:t>
      </w:r>
      <w:r w:rsidRPr="004E6097">
        <w:rPr>
          <w:rFonts w:asciiTheme="majorHAnsi" w:hAnsiTheme="majorHAnsi" w:cstheme="majorHAnsi"/>
          <w:sz w:val="24"/>
          <w:szCs w:val="24"/>
        </w:rPr>
        <w:t xml:space="preserve"> pe parcursul anilor 2016</w:t>
      </w:r>
      <w:r w:rsidR="009D4B29" w:rsidRPr="004E6097">
        <w:rPr>
          <w:rFonts w:asciiTheme="majorHAnsi" w:hAnsiTheme="majorHAnsi" w:cstheme="majorHAnsi"/>
          <w:sz w:val="24"/>
          <w:szCs w:val="24"/>
        </w:rPr>
        <w:t xml:space="preserve"> </w:t>
      </w:r>
      <w:r w:rsidRPr="004E6097">
        <w:rPr>
          <w:rFonts w:asciiTheme="majorHAnsi" w:hAnsiTheme="majorHAnsi" w:cstheme="majorHAnsi"/>
          <w:sz w:val="24"/>
          <w:szCs w:val="24"/>
        </w:rPr>
        <w:t>-</w:t>
      </w:r>
      <w:r w:rsidR="009D4B29" w:rsidRPr="004E6097">
        <w:rPr>
          <w:rFonts w:asciiTheme="majorHAnsi" w:hAnsiTheme="majorHAnsi" w:cstheme="majorHAnsi"/>
          <w:sz w:val="24"/>
          <w:szCs w:val="24"/>
        </w:rPr>
        <w:t xml:space="preserve"> </w:t>
      </w:r>
      <w:r w:rsidRPr="004E6097">
        <w:rPr>
          <w:rFonts w:asciiTheme="majorHAnsi" w:hAnsiTheme="majorHAnsi" w:cstheme="majorHAnsi"/>
          <w:sz w:val="24"/>
          <w:szCs w:val="24"/>
        </w:rPr>
        <w:t>2018, denotă un nivel scăzut de executare a acestora: de la 68,9 mil.</w:t>
      </w:r>
      <w:r w:rsidR="006F2817" w:rsidRPr="004E6097">
        <w:rPr>
          <w:rFonts w:asciiTheme="majorHAnsi" w:hAnsiTheme="majorHAnsi" w:cstheme="majorHAnsi"/>
          <w:sz w:val="24"/>
          <w:szCs w:val="24"/>
        </w:rPr>
        <w:t xml:space="preserve"> </w:t>
      </w:r>
      <w:r w:rsidR="007160B9">
        <w:rPr>
          <w:rFonts w:asciiTheme="majorHAnsi" w:hAnsiTheme="majorHAnsi" w:cstheme="majorHAnsi"/>
          <w:sz w:val="24"/>
          <w:szCs w:val="24"/>
        </w:rPr>
        <w:t>MDL</w:t>
      </w:r>
      <w:r w:rsidR="004B51C4">
        <w:rPr>
          <w:rFonts w:asciiTheme="majorHAnsi" w:hAnsiTheme="majorHAnsi" w:cstheme="majorHAnsi"/>
          <w:sz w:val="24"/>
          <w:szCs w:val="24"/>
        </w:rPr>
        <w:t>,</w:t>
      </w:r>
      <w:r w:rsidRPr="004E6097">
        <w:rPr>
          <w:rFonts w:asciiTheme="majorHAnsi" w:hAnsiTheme="majorHAnsi" w:cstheme="majorHAnsi"/>
          <w:sz w:val="24"/>
          <w:szCs w:val="24"/>
        </w:rPr>
        <w:t xml:space="preserve"> sau 85,0% în anul 2016</w:t>
      </w:r>
      <w:r w:rsidR="004B51C4">
        <w:rPr>
          <w:rFonts w:asciiTheme="majorHAnsi" w:hAnsiTheme="majorHAnsi" w:cstheme="majorHAnsi"/>
          <w:sz w:val="24"/>
          <w:szCs w:val="24"/>
        </w:rPr>
        <w:t>,</w:t>
      </w:r>
      <w:r w:rsidRPr="004E6097">
        <w:rPr>
          <w:rFonts w:asciiTheme="majorHAnsi" w:hAnsiTheme="majorHAnsi" w:cstheme="majorHAnsi"/>
          <w:sz w:val="24"/>
          <w:szCs w:val="24"/>
        </w:rPr>
        <w:t xml:space="preserve"> </w:t>
      </w:r>
      <w:r w:rsidR="00940846" w:rsidRPr="004E6097">
        <w:rPr>
          <w:rFonts w:asciiTheme="majorHAnsi" w:hAnsiTheme="majorHAnsi" w:cstheme="majorHAnsi"/>
          <w:sz w:val="24"/>
          <w:szCs w:val="24"/>
        </w:rPr>
        <w:t>până</w:t>
      </w:r>
      <w:r w:rsidRPr="004E6097">
        <w:rPr>
          <w:rFonts w:asciiTheme="majorHAnsi" w:hAnsiTheme="majorHAnsi" w:cstheme="majorHAnsi"/>
          <w:sz w:val="24"/>
          <w:szCs w:val="24"/>
        </w:rPr>
        <w:t xml:space="preserve"> la 3,7 mil.</w:t>
      </w:r>
      <w:r w:rsidR="00940846" w:rsidRPr="004E6097">
        <w:rPr>
          <w:rFonts w:asciiTheme="majorHAnsi" w:hAnsiTheme="majorHAnsi" w:cstheme="majorHAnsi"/>
          <w:sz w:val="24"/>
          <w:szCs w:val="24"/>
        </w:rPr>
        <w:t xml:space="preserve"> </w:t>
      </w:r>
      <w:r w:rsidR="007160B9">
        <w:rPr>
          <w:rFonts w:asciiTheme="majorHAnsi" w:hAnsiTheme="majorHAnsi" w:cstheme="majorHAnsi"/>
          <w:sz w:val="24"/>
          <w:szCs w:val="24"/>
        </w:rPr>
        <w:t>MDL</w:t>
      </w:r>
      <w:r w:rsidR="004B51C4">
        <w:rPr>
          <w:rFonts w:asciiTheme="majorHAnsi" w:hAnsiTheme="majorHAnsi" w:cstheme="majorHAnsi"/>
          <w:sz w:val="24"/>
          <w:szCs w:val="24"/>
        </w:rPr>
        <w:t>,</w:t>
      </w:r>
      <w:r w:rsidR="00793C62">
        <w:rPr>
          <w:rFonts w:asciiTheme="majorHAnsi" w:hAnsiTheme="majorHAnsi" w:cstheme="majorHAnsi"/>
          <w:sz w:val="24"/>
          <w:szCs w:val="24"/>
        </w:rPr>
        <w:t xml:space="preserve"> </w:t>
      </w:r>
      <w:r w:rsidRPr="004E6097">
        <w:rPr>
          <w:rFonts w:asciiTheme="majorHAnsi" w:hAnsiTheme="majorHAnsi" w:cstheme="majorHAnsi"/>
          <w:sz w:val="24"/>
          <w:szCs w:val="24"/>
        </w:rPr>
        <w:t xml:space="preserve">sau 13,0% în anul 2018. </w:t>
      </w:r>
      <w:r w:rsidRPr="004E6097">
        <w:rPr>
          <w:rFonts w:asciiTheme="majorHAnsi" w:eastAsia="Times New Roman" w:hAnsiTheme="majorHAnsi" w:cstheme="majorHAnsi"/>
          <w:i/>
          <w:iCs/>
          <w:sz w:val="24"/>
          <w:szCs w:val="24"/>
          <w:lang w:val="ro-MD"/>
        </w:rPr>
        <w:t>Rezultatele analizei cheltuielilor</w:t>
      </w:r>
      <w:r w:rsidRPr="00435EE8">
        <w:rPr>
          <w:rFonts w:asciiTheme="majorHAnsi" w:eastAsia="Times New Roman" w:hAnsiTheme="majorHAnsi" w:cstheme="majorHAnsi"/>
          <w:i/>
          <w:iCs/>
          <w:sz w:val="24"/>
          <w:szCs w:val="24"/>
          <w:lang w:val="ro-MD"/>
        </w:rPr>
        <w:t xml:space="preserve"> destinate elaborării proiectelor de investiții capitale se prezintă în mod gra</w:t>
      </w:r>
      <w:r w:rsidR="008102A8">
        <w:rPr>
          <w:rFonts w:asciiTheme="majorHAnsi" w:eastAsia="Times New Roman" w:hAnsiTheme="majorHAnsi" w:cstheme="majorHAnsi"/>
          <w:i/>
          <w:iCs/>
          <w:sz w:val="24"/>
          <w:szCs w:val="24"/>
          <w:lang w:val="ro-MD"/>
        </w:rPr>
        <w:t>fic în Diagrama nr.</w:t>
      </w:r>
      <w:r w:rsidR="008C396F">
        <w:rPr>
          <w:rFonts w:asciiTheme="majorHAnsi" w:eastAsia="Times New Roman" w:hAnsiTheme="majorHAnsi" w:cstheme="majorHAnsi"/>
          <w:i/>
          <w:iCs/>
          <w:sz w:val="24"/>
          <w:szCs w:val="24"/>
          <w:lang w:val="ro-MD"/>
        </w:rPr>
        <w:t>3</w:t>
      </w:r>
      <w:r w:rsidRPr="00435EE8">
        <w:rPr>
          <w:rFonts w:asciiTheme="majorHAnsi" w:eastAsia="Times New Roman" w:hAnsiTheme="majorHAnsi" w:cstheme="majorHAnsi"/>
          <w:i/>
          <w:iCs/>
          <w:sz w:val="24"/>
          <w:szCs w:val="24"/>
          <w:lang w:val="ro-MD"/>
        </w:rPr>
        <w:t>.</w:t>
      </w:r>
    </w:p>
    <w:p w:rsidR="008102A8" w:rsidRPr="00435EE8" w:rsidRDefault="008102A8" w:rsidP="008102A8">
      <w:pPr>
        <w:spacing w:after="0" w:line="276" w:lineRule="auto"/>
        <w:ind w:firstLine="709"/>
        <w:jc w:val="right"/>
        <w:rPr>
          <w:rFonts w:asciiTheme="majorHAnsi" w:eastAsia="Times New Roman" w:hAnsiTheme="majorHAnsi" w:cstheme="majorHAnsi"/>
          <w:i/>
          <w:iCs/>
          <w:sz w:val="24"/>
          <w:szCs w:val="24"/>
          <w:lang w:val="ro-MD"/>
        </w:rPr>
      </w:pPr>
      <w:r>
        <w:rPr>
          <w:rFonts w:asciiTheme="majorHAnsi" w:eastAsia="Times New Roman" w:hAnsiTheme="majorHAnsi" w:cstheme="majorHAnsi"/>
          <w:i/>
          <w:iCs/>
          <w:sz w:val="24"/>
          <w:szCs w:val="24"/>
          <w:lang w:val="ro-MD"/>
        </w:rPr>
        <w:t>Diagrama nr.</w:t>
      </w:r>
      <w:r w:rsidR="008C396F">
        <w:rPr>
          <w:rFonts w:asciiTheme="majorHAnsi" w:eastAsia="Times New Roman" w:hAnsiTheme="majorHAnsi" w:cstheme="majorHAnsi"/>
          <w:i/>
          <w:iCs/>
          <w:sz w:val="24"/>
          <w:szCs w:val="24"/>
          <w:lang w:val="ro-MD"/>
        </w:rPr>
        <w:t>3</w:t>
      </w:r>
    </w:p>
    <w:p w:rsidR="006E7799" w:rsidRPr="008102A8" w:rsidRDefault="00E430E8" w:rsidP="008102A8">
      <w:pPr>
        <w:spacing w:after="0" w:line="276" w:lineRule="auto"/>
        <w:ind w:right="49" w:firstLine="709"/>
        <w:jc w:val="center"/>
        <w:rPr>
          <w:rFonts w:asciiTheme="majorHAnsi" w:hAnsiTheme="majorHAnsi" w:cstheme="majorHAnsi"/>
          <w:b/>
          <w:sz w:val="24"/>
          <w:szCs w:val="24"/>
        </w:rPr>
      </w:pPr>
      <w:r>
        <w:rPr>
          <w:rFonts w:asciiTheme="majorHAnsi" w:eastAsia="Times New Roman" w:hAnsiTheme="majorHAnsi" w:cstheme="majorHAnsi"/>
          <w:b/>
          <w:iCs/>
          <w:sz w:val="24"/>
          <w:szCs w:val="24"/>
          <w:lang w:val="ro-MD"/>
        </w:rPr>
        <w:t>A</w:t>
      </w:r>
      <w:r w:rsidR="008102A8" w:rsidRPr="008102A8">
        <w:rPr>
          <w:rFonts w:asciiTheme="majorHAnsi" w:eastAsia="Times New Roman" w:hAnsiTheme="majorHAnsi" w:cstheme="majorHAnsi"/>
          <w:b/>
          <w:iCs/>
          <w:sz w:val="24"/>
          <w:szCs w:val="24"/>
          <w:lang w:val="ro-MD"/>
        </w:rPr>
        <w:t>naliz</w:t>
      </w:r>
      <w:r>
        <w:rPr>
          <w:rFonts w:asciiTheme="majorHAnsi" w:eastAsia="Times New Roman" w:hAnsiTheme="majorHAnsi" w:cstheme="majorHAnsi"/>
          <w:b/>
          <w:iCs/>
          <w:sz w:val="24"/>
          <w:szCs w:val="24"/>
          <w:lang w:val="ro-MD"/>
        </w:rPr>
        <w:t>a</w:t>
      </w:r>
      <w:r w:rsidR="008102A8" w:rsidRPr="008102A8">
        <w:rPr>
          <w:rFonts w:asciiTheme="majorHAnsi" w:eastAsia="Times New Roman" w:hAnsiTheme="majorHAnsi" w:cstheme="majorHAnsi"/>
          <w:b/>
          <w:iCs/>
          <w:sz w:val="24"/>
          <w:szCs w:val="24"/>
          <w:lang w:val="ro-MD"/>
        </w:rPr>
        <w:t xml:space="preserve"> cheltuielilor destinate elaborării proiectelor de investiții capitale</w:t>
      </w:r>
    </w:p>
    <w:p w:rsidR="006E7799" w:rsidRPr="008102A8" w:rsidRDefault="008102A8" w:rsidP="008102A8">
      <w:pPr>
        <w:spacing w:after="0" w:line="276" w:lineRule="auto"/>
        <w:ind w:right="757"/>
        <w:jc w:val="right"/>
        <w:rPr>
          <w:rFonts w:asciiTheme="majorHAnsi" w:hAnsiTheme="majorHAnsi" w:cstheme="majorHAnsi"/>
          <w:b/>
          <w:sz w:val="24"/>
          <w:szCs w:val="24"/>
        </w:rPr>
      </w:pPr>
      <w:r w:rsidRPr="008102A8">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sidRPr="008102A8">
        <w:rPr>
          <w:rFonts w:asciiTheme="majorHAnsi" w:hAnsiTheme="majorHAnsi" w:cstheme="majorHAnsi"/>
          <w:b/>
          <w:sz w:val="24"/>
          <w:szCs w:val="24"/>
        </w:rPr>
        <w:t>)</w:t>
      </w:r>
    </w:p>
    <w:p w:rsidR="006E7799" w:rsidRPr="00435EE8" w:rsidRDefault="006E7799" w:rsidP="008C28E5">
      <w:pPr>
        <w:jc w:val="center"/>
      </w:pPr>
      <w:r w:rsidRPr="00435EE8">
        <w:rPr>
          <w:noProof/>
          <w:lang w:val="en-US"/>
        </w:rPr>
        <w:drawing>
          <wp:inline distT="0" distB="0" distL="0" distR="0" wp14:anchorId="1B01D35E" wp14:editId="30167DD0">
            <wp:extent cx="5189220" cy="27736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799" w:rsidRDefault="006E7799" w:rsidP="006E7799">
      <w:pPr>
        <w:spacing w:after="0" w:line="276" w:lineRule="auto"/>
        <w:ind w:left="709" w:right="474"/>
        <w:jc w:val="both"/>
        <w:rPr>
          <w:rFonts w:asciiTheme="majorHAnsi" w:hAnsiTheme="majorHAnsi" w:cstheme="majorHAnsi"/>
          <w:i/>
          <w:sz w:val="20"/>
          <w:szCs w:val="20"/>
        </w:rPr>
      </w:pPr>
      <w:r w:rsidRPr="00435EE8">
        <w:rPr>
          <w:rFonts w:asciiTheme="majorHAnsi" w:hAnsiTheme="majorHAnsi" w:cstheme="majorHAnsi"/>
          <w:b/>
          <w:i/>
          <w:sz w:val="20"/>
          <w:szCs w:val="20"/>
        </w:rPr>
        <w:t>Sursă</w:t>
      </w:r>
      <w:r w:rsidRPr="00435EE8">
        <w:rPr>
          <w:rFonts w:asciiTheme="majorHAnsi" w:hAnsiTheme="majorHAnsi" w:cstheme="majorHAnsi"/>
          <w:i/>
          <w:sz w:val="20"/>
          <w:szCs w:val="20"/>
        </w:rPr>
        <w:t>: Date generalizate de echipa de audit din Rapoartele Ministerului Finanțelor privind executarea bugetului de stat pe anii 2016, 2017, 2018.</w:t>
      </w:r>
    </w:p>
    <w:p w:rsidR="00D72BA8" w:rsidRDefault="00D72BA8" w:rsidP="006E7799">
      <w:pPr>
        <w:spacing w:after="0" w:line="276" w:lineRule="auto"/>
        <w:ind w:right="49"/>
        <w:jc w:val="both"/>
        <w:rPr>
          <w:rFonts w:asciiTheme="majorHAnsi" w:hAnsiTheme="majorHAnsi" w:cstheme="majorHAnsi"/>
          <w:i/>
          <w:sz w:val="20"/>
          <w:szCs w:val="20"/>
        </w:rPr>
      </w:pPr>
    </w:p>
    <w:p w:rsidR="00B93FF4" w:rsidRDefault="006E7799" w:rsidP="00D72BA8">
      <w:pPr>
        <w:spacing w:after="0" w:line="276" w:lineRule="auto"/>
        <w:ind w:right="49" w:firstLine="709"/>
        <w:jc w:val="both"/>
        <w:rPr>
          <w:rFonts w:asciiTheme="majorHAnsi" w:hAnsiTheme="majorHAnsi" w:cstheme="majorHAnsi"/>
          <w:sz w:val="24"/>
          <w:szCs w:val="24"/>
        </w:rPr>
      </w:pPr>
      <w:r w:rsidRPr="00435EE8">
        <w:rPr>
          <w:rFonts w:asciiTheme="majorHAnsi" w:hAnsiTheme="majorHAnsi" w:cstheme="majorHAnsi"/>
          <w:sz w:val="24"/>
          <w:szCs w:val="24"/>
        </w:rPr>
        <w:t>Verificările efectuate de audit referitor la cheltuielile executate pentru elaborarea proiectelor de investiții capitale</w:t>
      </w:r>
      <w:r w:rsidR="0010605F">
        <w:rPr>
          <w:rFonts w:asciiTheme="majorHAnsi" w:hAnsiTheme="majorHAnsi" w:cstheme="majorHAnsi"/>
          <w:sz w:val="24"/>
          <w:szCs w:val="24"/>
        </w:rPr>
        <w:t>,</w:t>
      </w:r>
      <w:r w:rsidRPr="00435EE8">
        <w:rPr>
          <w:rFonts w:asciiTheme="majorHAnsi" w:hAnsiTheme="majorHAnsi" w:cstheme="majorHAnsi"/>
          <w:sz w:val="24"/>
          <w:szCs w:val="24"/>
        </w:rPr>
        <w:t xml:space="preserve"> pe un eșantion format din 17</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proiecte finanțate în perioada 2016-2018</w:t>
      </w:r>
      <w:r w:rsidR="0010605F">
        <w:rPr>
          <w:rFonts w:asciiTheme="majorHAnsi" w:hAnsiTheme="majorHAnsi" w:cstheme="majorHAnsi"/>
          <w:sz w:val="24"/>
          <w:szCs w:val="24"/>
        </w:rPr>
        <w:t>,</w:t>
      </w:r>
      <w:r w:rsidRPr="00435EE8">
        <w:rPr>
          <w:rFonts w:asciiTheme="majorHAnsi" w:hAnsiTheme="majorHAnsi" w:cstheme="majorHAnsi"/>
          <w:sz w:val="24"/>
          <w:szCs w:val="24"/>
        </w:rPr>
        <w:t xml:space="preserve"> </w:t>
      </w:r>
      <w:r w:rsidRPr="0010605F">
        <w:rPr>
          <w:rFonts w:asciiTheme="majorHAnsi" w:hAnsiTheme="majorHAnsi" w:cstheme="majorHAnsi"/>
          <w:sz w:val="24"/>
          <w:szCs w:val="24"/>
        </w:rPr>
        <w:t xml:space="preserve">denotă că au fost executate lucrări de elaborare a documentației de proiect în volum de 73,4 mil. </w:t>
      </w:r>
      <w:r w:rsidR="007160B9" w:rsidRPr="0010605F">
        <w:rPr>
          <w:rFonts w:asciiTheme="majorHAnsi" w:hAnsiTheme="majorHAnsi" w:cstheme="majorHAnsi"/>
          <w:sz w:val="24"/>
          <w:szCs w:val="24"/>
        </w:rPr>
        <w:t>MDL</w:t>
      </w:r>
      <w:r w:rsidR="0010605F">
        <w:rPr>
          <w:rFonts w:asciiTheme="majorHAnsi" w:hAnsiTheme="majorHAnsi" w:cstheme="majorHAnsi"/>
          <w:sz w:val="24"/>
          <w:szCs w:val="24"/>
        </w:rPr>
        <w:t>,</w:t>
      </w:r>
      <w:r w:rsidRPr="0010605F">
        <w:rPr>
          <w:rFonts w:asciiTheme="majorHAnsi" w:hAnsiTheme="majorHAnsi" w:cstheme="majorHAnsi"/>
          <w:sz w:val="24"/>
          <w:szCs w:val="24"/>
        </w:rPr>
        <w:t xml:space="preserve"> sau 86,</w:t>
      </w:r>
      <w:r w:rsidRPr="006526D1">
        <w:rPr>
          <w:rFonts w:asciiTheme="majorHAnsi" w:hAnsiTheme="majorHAnsi" w:cstheme="majorHAnsi"/>
          <w:sz w:val="24"/>
          <w:szCs w:val="24"/>
        </w:rPr>
        <w:t>0%</w:t>
      </w:r>
      <w:r w:rsidR="0010605F" w:rsidRPr="006526D1">
        <w:rPr>
          <w:rFonts w:asciiTheme="majorHAnsi" w:hAnsiTheme="majorHAnsi" w:cstheme="majorHAnsi"/>
          <w:sz w:val="24"/>
          <w:szCs w:val="24"/>
        </w:rPr>
        <w:t xml:space="preserve"> din suma </w:t>
      </w:r>
      <w:r w:rsidR="006526D1">
        <w:rPr>
          <w:rFonts w:asciiTheme="majorHAnsi" w:hAnsiTheme="majorHAnsi" w:cstheme="majorHAnsi"/>
          <w:sz w:val="24"/>
          <w:szCs w:val="24"/>
        </w:rPr>
        <w:t>precizată</w:t>
      </w:r>
      <w:r w:rsidRPr="006526D1">
        <w:rPr>
          <w:rFonts w:asciiTheme="majorHAnsi" w:hAnsiTheme="majorHAnsi" w:cstheme="majorHAnsi"/>
          <w:sz w:val="24"/>
          <w:szCs w:val="24"/>
        </w:rPr>
        <w:t>.</w:t>
      </w:r>
      <w:r w:rsidR="00793C62" w:rsidRPr="006526D1">
        <w:rPr>
          <w:rFonts w:asciiTheme="majorHAnsi" w:hAnsiTheme="majorHAnsi" w:cstheme="majorHAnsi"/>
          <w:sz w:val="24"/>
          <w:szCs w:val="24"/>
        </w:rPr>
        <w:t xml:space="preserve"> </w:t>
      </w:r>
      <w:r w:rsidRPr="006526D1">
        <w:rPr>
          <w:rFonts w:asciiTheme="majorHAnsi" w:hAnsiTheme="majorHAnsi" w:cstheme="majorHAnsi"/>
          <w:sz w:val="24"/>
          <w:szCs w:val="24"/>
        </w:rPr>
        <w:t>Totodată</w:t>
      </w:r>
      <w:r w:rsidR="0010605F" w:rsidRPr="006526D1">
        <w:rPr>
          <w:rFonts w:asciiTheme="majorHAnsi" w:hAnsiTheme="majorHAnsi" w:cstheme="majorHAnsi"/>
          <w:sz w:val="24"/>
          <w:szCs w:val="24"/>
        </w:rPr>
        <w:t>,</w:t>
      </w:r>
      <w:r w:rsidRPr="0010605F">
        <w:rPr>
          <w:rFonts w:asciiTheme="majorHAnsi" w:hAnsiTheme="majorHAnsi" w:cstheme="majorHAnsi"/>
          <w:sz w:val="24"/>
          <w:szCs w:val="24"/>
        </w:rPr>
        <w:t xml:space="preserve"> nu a</w:t>
      </w:r>
      <w:r w:rsidR="00793C62" w:rsidRPr="0010605F">
        <w:rPr>
          <w:rFonts w:asciiTheme="majorHAnsi" w:hAnsiTheme="majorHAnsi" w:cstheme="majorHAnsi"/>
          <w:sz w:val="24"/>
          <w:szCs w:val="24"/>
        </w:rPr>
        <w:t xml:space="preserve"> </w:t>
      </w:r>
      <w:r w:rsidRPr="0010605F">
        <w:rPr>
          <w:rFonts w:asciiTheme="majorHAnsi" w:hAnsiTheme="majorHAnsi" w:cstheme="majorHAnsi"/>
          <w:sz w:val="24"/>
          <w:szCs w:val="24"/>
        </w:rPr>
        <w:t xml:space="preserve">fost asigurată de către MEI primirea-predarea documentației </w:t>
      </w:r>
      <w:r w:rsidR="0010605F">
        <w:rPr>
          <w:rFonts w:asciiTheme="majorHAnsi" w:hAnsiTheme="majorHAnsi" w:cstheme="majorHAnsi"/>
          <w:sz w:val="24"/>
          <w:szCs w:val="24"/>
        </w:rPr>
        <w:t>aferente</w:t>
      </w:r>
      <w:r w:rsidRPr="0010605F">
        <w:rPr>
          <w:rFonts w:asciiTheme="majorHAnsi" w:hAnsiTheme="majorHAnsi" w:cstheme="majorHAnsi"/>
          <w:sz w:val="24"/>
          <w:szCs w:val="24"/>
        </w:rPr>
        <w:t xml:space="preserve"> proiect</w:t>
      </w:r>
      <w:r w:rsidR="0010605F">
        <w:rPr>
          <w:rFonts w:asciiTheme="majorHAnsi" w:hAnsiTheme="majorHAnsi" w:cstheme="majorHAnsi"/>
          <w:sz w:val="24"/>
          <w:szCs w:val="24"/>
        </w:rPr>
        <w:t xml:space="preserve">ului </w:t>
      </w:r>
      <w:r w:rsidR="00793C62" w:rsidRPr="0010605F">
        <w:rPr>
          <w:rFonts w:asciiTheme="majorHAnsi" w:hAnsiTheme="majorHAnsi" w:cstheme="majorHAnsi"/>
          <w:sz w:val="24"/>
          <w:szCs w:val="24"/>
        </w:rPr>
        <w:t xml:space="preserve"> </w:t>
      </w:r>
      <w:r w:rsidRPr="0010605F">
        <w:rPr>
          <w:rFonts w:asciiTheme="majorHAnsi" w:hAnsiTheme="majorHAnsi" w:cstheme="majorHAnsi"/>
          <w:b/>
          <w:sz w:val="24"/>
          <w:szCs w:val="24"/>
        </w:rPr>
        <w:t>„Construcția conductei de transport gaze naturale pe direcția Ungheni</w:t>
      </w:r>
      <w:r w:rsidRPr="00435EE8">
        <w:rPr>
          <w:rFonts w:asciiTheme="majorHAnsi" w:hAnsiTheme="majorHAnsi" w:cstheme="majorHAnsi"/>
          <w:b/>
          <w:sz w:val="24"/>
          <w:szCs w:val="24"/>
        </w:rPr>
        <w:t>-Chișinău”</w:t>
      </w:r>
      <w:r w:rsidR="0010605F">
        <w:rPr>
          <w:rFonts w:asciiTheme="majorHAnsi" w:hAnsiTheme="majorHAnsi" w:cstheme="majorHAnsi"/>
          <w:b/>
          <w:sz w:val="24"/>
          <w:szCs w:val="24"/>
        </w:rPr>
        <w:t>,</w:t>
      </w:r>
      <w:r w:rsidR="00793C62">
        <w:rPr>
          <w:rFonts w:asciiTheme="majorHAnsi" w:hAnsiTheme="majorHAnsi" w:cstheme="majorHAnsi"/>
          <w:b/>
          <w:sz w:val="24"/>
          <w:szCs w:val="24"/>
        </w:rPr>
        <w:t xml:space="preserve"> </w:t>
      </w:r>
      <w:r w:rsidRPr="00435EE8">
        <w:rPr>
          <w:rFonts w:asciiTheme="majorHAnsi" w:hAnsiTheme="majorHAnsi" w:cstheme="majorHAnsi"/>
          <w:sz w:val="24"/>
          <w:szCs w:val="24"/>
        </w:rPr>
        <w:t xml:space="preserve">în sumă de 11,7 </w:t>
      </w:r>
      <w:r w:rsidRPr="00F65B49">
        <w:rPr>
          <w:rFonts w:asciiTheme="majorHAnsi" w:hAnsiTheme="majorHAnsi" w:cstheme="majorHAnsi"/>
          <w:sz w:val="24"/>
          <w:szCs w:val="24"/>
        </w:rPr>
        <w:t xml:space="preserve">mil. </w:t>
      </w:r>
      <w:r w:rsidR="007160B9" w:rsidRPr="00F65B49">
        <w:rPr>
          <w:rFonts w:asciiTheme="majorHAnsi" w:hAnsiTheme="majorHAnsi" w:cstheme="majorHAnsi"/>
          <w:sz w:val="24"/>
          <w:szCs w:val="24"/>
        </w:rPr>
        <w:t>MDL</w:t>
      </w:r>
      <w:r w:rsidRPr="00F65B49">
        <w:rPr>
          <w:rFonts w:asciiTheme="majorHAnsi" w:hAnsiTheme="majorHAnsi" w:cstheme="majorHAnsi"/>
          <w:sz w:val="24"/>
          <w:szCs w:val="24"/>
        </w:rPr>
        <w:t>, raportat</w:t>
      </w:r>
      <w:r w:rsidR="008C4900" w:rsidRPr="00F65B49">
        <w:rPr>
          <w:rFonts w:asciiTheme="majorHAnsi" w:hAnsiTheme="majorHAnsi" w:cstheme="majorHAnsi"/>
          <w:sz w:val="24"/>
          <w:szCs w:val="24"/>
        </w:rPr>
        <w:t>ă</w:t>
      </w:r>
      <w:r w:rsidRPr="00F65B49">
        <w:rPr>
          <w:rFonts w:asciiTheme="majorHAnsi" w:hAnsiTheme="majorHAnsi" w:cstheme="majorHAnsi"/>
          <w:sz w:val="24"/>
          <w:szCs w:val="24"/>
        </w:rPr>
        <w:t xml:space="preserve"> la 31</w:t>
      </w:r>
      <w:r w:rsidRPr="00435EE8">
        <w:rPr>
          <w:rFonts w:asciiTheme="majorHAnsi" w:hAnsiTheme="majorHAnsi" w:cstheme="majorHAnsi"/>
          <w:sz w:val="24"/>
          <w:szCs w:val="24"/>
        </w:rPr>
        <w:t xml:space="preserve">.12.2018 de către MEI </w:t>
      </w:r>
      <w:r w:rsidR="0010605F">
        <w:rPr>
          <w:rFonts w:asciiTheme="majorHAnsi" w:hAnsiTheme="majorHAnsi" w:cstheme="majorHAnsi"/>
          <w:sz w:val="24"/>
          <w:szCs w:val="24"/>
        </w:rPr>
        <w:t>drept</w:t>
      </w:r>
      <w:r w:rsidR="0010605F" w:rsidRPr="00435EE8">
        <w:rPr>
          <w:rFonts w:asciiTheme="majorHAnsi" w:hAnsiTheme="majorHAnsi" w:cstheme="majorHAnsi"/>
          <w:sz w:val="24"/>
          <w:szCs w:val="24"/>
        </w:rPr>
        <w:t xml:space="preserve"> </w:t>
      </w:r>
      <w:r w:rsidRPr="00435EE8">
        <w:rPr>
          <w:rFonts w:asciiTheme="majorHAnsi" w:hAnsiTheme="majorHAnsi" w:cstheme="majorHAnsi"/>
          <w:sz w:val="24"/>
          <w:szCs w:val="24"/>
        </w:rPr>
        <w:t>creanțe.</w:t>
      </w:r>
      <w:r w:rsidR="00793C62">
        <w:rPr>
          <w:rFonts w:asciiTheme="majorHAnsi" w:hAnsiTheme="majorHAnsi" w:cstheme="majorHAnsi"/>
          <w:sz w:val="24"/>
          <w:szCs w:val="24"/>
        </w:rPr>
        <w:t xml:space="preserve">  </w:t>
      </w:r>
      <w:r w:rsidRPr="00435EE8">
        <w:rPr>
          <w:rFonts w:asciiTheme="majorHAnsi" w:hAnsiTheme="majorHAnsi" w:cstheme="majorHAnsi"/>
          <w:sz w:val="24"/>
          <w:szCs w:val="24"/>
        </w:rPr>
        <w:t xml:space="preserve"> </w:t>
      </w:r>
    </w:p>
    <w:p w:rsidR="009F1270" w:rsidRDefault="00B93FF4" w:rsidP="00D72BA8">
      <w:pPr>
        <w:spacing w:after="0" w:line="276" w:lineRule="auto"/>
        <w:ind w:right="49" w:firstLine="709"/>
        <w:jc w:val="both"/>
        <w:rPr>
          <w:rFonts w:asciiTheme="majorHAnsi" w:hAnsiTheme="majorHAnsi" w:cstheme="majorHAnsi"/>
          <w:sz w:val="24"/>
          <w:szCs w:val="24"/>
        </w:rPr>
      </w:pPr>
      <w:r>
        <w:rPr>
          <w:rFonts w:asciiTheme="majorHAnsi" w:hAnsiTheme="majorHAnsi" w:cstheme="majorHAnsi"/>
          <w:sz w:val="24"/>
          <w:szCs w:val="24"/>
        </w:rPr>
        <w:lastRenderedPageBreak/>
        <w:t>Auditul menționează că</w:t>
      </w:r>
      <w:r w:rsidR="0010605F">
        <w:rPr>
          <w:rFonts w:asciiTheme="majorHAnsi" w:hAnsiTheme="majorHAnsi" w:cstheme="majorHAnsi"/>
          <w:sz w:val="24"/>
          <w:szCs w:val="24"/>
        </w:rPr>
        <w:t>,</w:t>
      </w:r>
      <w:r w:rsidR="006E7799" w:rsidRPr="00435EE8">
        <w:rPr>
          <w:rFonts w:asciiTheme="majorHAnsi" w:hAnsiTheme="majorHAnsi" w:cstheme="majorHAnsi"/>
          <w:sz w:val="24"/>
          <w:szCs w:val="24"/>
        </w:rPr>
        <w:t xml:space="preserve"> din eșantionul </w:t>
      </w:r>
      <w:r>
        <w:rPr>
          <w:rFonts w:asciiTheme="majorHAnsi" w:hAnsiTheme="majorHAnsi" w:cstheme="majorHAnsi"/>
          <w:sz w:val="24"/>
          <w:szCs w:val="24"/>
        </w:rPr>
        <w:t>de 17 proiecte</w:t>
      </w:r>
      <w:r w:rsidR="006E7799" w:rsidRPr="00435EE8">
        <w:rPr>
          <w:rFonts w:asciiTheme="majorHAnsi" w:hAnsiTheme="majorHAnsi" w:cstheme="majorHAnsi"/>
          <w:sz w:val="24"/>
          <w:szCs w:val="24"/>
        </w:rPr>
        <w:t xml:space="preserve"> elaborate</w:t>
      </w:r>
      <w:r w:rsidR="0010605F">
        <w:rPr>
          <w:rFonts w:asciiTheme="majorHAnsi" w:hAnsiTheme="majorHAnsi" w:cstheme="majorHAnsi"/>
          <w:sz w:val="24"/>
          <w:szCs w:val="24"/>
        </w:rPr>
        <w:t>,</w:t>
      </w:r>
      <w:r w:rsidR="006E7799" w:rsidRPr="00435EE8">
        <w:rPr>
          <w:rFonts w:asciiTheme="majorHAnsi" w:hAnsiTheme="majorHAnsi" w:cstheme="majorHAnsi"/>
          <w:sz w:val="24"/>
          <w:szCs w:val="24"/>
        </w:rPr>
        <w:t xml:space="preserve"> au fost executate lucrări de investiții capitale în baza a doar 6 proiecte investiționale</w:t>
      </w:r>
      <w:r>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(cheltuielile </w:t>
      </w:r>
      <w:r>
        <w:rPr>
          <w:rFonts w:asciiTheme="majorHAnsi" w:hAnsiTheme="majorHAnsi" w:cstheme="majorHAnsi"/>
          <w:sz w:val="24"/>
          <w:szCs w:val="24"/>
        </w:rPr>
        <w:t>aferente</w:t>
      </w:r>
      <w:r w:rsidR="006E7799" w:rsidRPr="00435EE8">
        <w:rPr>
          <w:rFonts w:asciiTheme="majorHAnsi" w:hAnsiTheme="majorHAnsi" w:cstheme="majorHAnsi"/>
          <w:sz w:val="24"/>
          <w:szCs w:val="24"/>
        </w:rPr>
        <w:t xml:space="preserve"> acestora </w:t>
      </w:r>
      <w:r w:rsidR="009F1270" w:rsidRPr="00435EE8">
        <w:rPr>
          <w:rFonts w:asciiTheme="majorHAnsi" w:hAnsiTheme="majorHAnsi" w:cstheme="majorHAnsi"/>
          <w:sz w:val="24"/>
          <w:szCs w:val="24"/>
        </w:rPr>
        <w:t>însumând</w:t>
      </w:r>
      <w:r w:rsidR="006E7799" w:rsidRPr="00435EE8">
        <w:rPr>
          <w:rFonts w:asciiTheme="majorHAnsi" w:hAnsiTheme="majorHAnsi" w:cstheme="majorHAnsi"/>
          <w:sz w:val="24"/>
          <w:szCs w:val="24"/>
        </w:rPr>
        <w:t xml:space="preserve"> circa 2,7 mil</w:t>
      </w:r>
      <w:r>
        <w:rPr>
          <w:rFonts w:asciiTheme="majorHAnsi" w:hAnsiTheme="majorHAnsi" w:cstheme="majorHAnsi"/>
          <w:sz w:val="24"/>
          <w:szCs w:val="24"/>
        </w:rPr>
        <w:t>.</w:t>
      </w:r>
      <w:r w:rsidR="006E7799" w:rsidRPr="00435EE8">
        <w:rPr>
          <w:rFonts w:asciiTheme="majorHAnsi" w:hAnsiTheme="majorHAnsi" w:cstheme="majorHAnsi"/>
          <w:sz w:val="24"/>
          <w:szCs w:val="24"/>
        </w:rPr>
        <w:t xml:space="preserve"> </w:t>
      </w:r>
      <w:r w:rsidR="007160B9">
        <w:rPr>
          <w:rFonts w:asciiTheme="majorHAnsi" w:hAnsiTheme="majorHAnsi" w:cstheme="majorHAnsi"/>
          <w:sz w:val="24"/>
          <w:szCs w:val="24"/>
        </w:rPr>
        <w:t>MDL</w:t>
      </w:r>
      <w:r w:rsidR="0010605F">
        <w:rPr>
          <w:rFonts w:asciiTheme="majorHAnsi" w:hAnsiTheme="majorHAnsi" w:cstheme="majorHAnsi"/>
          <w:sz w:val="24"/>
          <w:szCs w:val="24"/>
        </w:rPr>
        <w:t>,</w:t>
      </w:r>
      <w:r w:rsidR="006E7799" w:rsidRPr="00435EE8">
        <w:rPr>
          <w:rFonts w:asciiTheme="majorHAnsi" w:hAnsiTheme="majorHAnsi" w:cstheme="majorHAnsi"/>
          <w:sz w:val="24"/>
          <w:szCs w:val="24"/>
        </w:rPr>
        <w:t xml:space="preserve"> sau 35,0% din </w:t>
      </w:r>
      <w:r w:rsidR="000802A5">
        <w:rPr>
          <w:rFonts w:asciiTheme="majorHAnsi" w:hAnsiTheme="majorHAnsi" w:cstheme="majorHAnsi"/>
          <w:sz w:val="24"/>
          <w:szCs w:val="24"/>
        </w:rPr>
        <w:t xml:space="preserve">totalul de </w:t>
      </w:r>
      <w:r w:rsidR="009F1270">
        <w:rPr>
          <w:rFonts w:asciiTheme="majorHAnsi" w:hAnsiTheme="majorHAnsi" w:cstheme="majorHAnsi"/>
          <w:sz w:val="24"/>
          <w:szCs w:val="24"/>
        </w:rPr>
        <w:t xml:space="preserve">73,4 mil. </w:t>
      </w:r>
      <w:r w:rsidR="007160B9">
        <w:rPr>
          <w:rFonts w:asciiTheme="majorHAnsi" w:hAnsiTheme="majorHAnsi" w:cstheme="majorHAnsi"/>
          <w:sz w:val="24"/>
          <w:szCs w:val="24"/>
        </w:rPr>
        <w:t>MDL</w:t>
      </w:r>
      <w:r w:rsidR="008C4900">
        <w:rPr>
          <w:rFonts w:asciiTheme="majorHAnsi" w:hAnsiTheme="majorHAnsi" w:cstheme="majorHAnsi"/>
          <w:sz w:val="24"/>
          <w:szCs w:val="24"/>
        </w:rPr>
        <w:t>)</w:t>
      </w:r>
      <w:r w:rsidR="0010605F">
        <w:rPr>
          <w:rFonts w:asciiTheme="majorHAnsi" w:hAnsiTheme="majorHAnsi" w:cstheme="majorHAnsi"/>
          <w:sz w:val="24"/>
          <w:szCs w:val="24"/>
        </w:rPr>
        <w:t>.</w:t>
      </w:r>
      <w:r w:rsidR="007160B9">
        <w:rPr>
          <w:rFonts w:asciiTheme="majorHAnsi" w:hAnsiTheme="majorHAnsi" w:cstheme="majorHAnsi"/>
          <w:sz w:val="24"/>
          <w:szCs w:val="24"/>
        </w:rPr>
        <w:t xml:space="preserve"> </w:t>
      </w:r>
    </w:p>
    <w:p w:rsidR="009F1270" w:rsidRDefault="0010605F" w:rsidP="009F1270">
      <w:pPr>
        <w:spacing w:after="0" w:line="276" w:lineRule="auto"/>
        <w:ind w:right="49" w:firstLine="709"/>
        <w:jc w:val="both"/>
        <w:rPr>
          <w:rFonts w:asciiTheme="majorHAnsi" w:hAnsiTheme="majorHAnsi" w:cstheme="majorHAnsi"/>
          <w:sz w:val="24"/>
          <w:szCs w:val="24"/>
        </w:rPr>
      </w:pPr>
      <w:r>
        <w:rPr>
          <w:rFonts w:asciiTheme="majorHAnsi" w:hAnsiTheme="majorHAnsi" w:cstheme="majorHAnsi"/>
          <w:sz w:val="24"/>
          <w:szCs w:val="24"/>
        </w:rPr>
        <w:t>Ca u</w:t>
      </w:r>
      <w:r w:rsidR="009F1270">
        <w:rPr>
          <w:rFonts w:asciiTheme="majorHAnsi" w:hAnsiTheme="majorHAnsi" w:cstheme="majorHAnsi"/>
          <w:sz w:val="24"/>
          <w:szCs w:val="24"/>
        </w:rPr>
        <w:t>rmare, în anii</w:t>
      </w:r>
      <w:r w:rsidR="006E7799" w:rsidRPr="00435EE8">
        <w:rPr>
          <w:rFonts w:asciiTheme="majorHAnsi" w:hAnsiTheme="majorHAnsi" w:cstheme="majorHAnsi"/>
          <w:sz w:val="24"/>
          <w:szCs w:val="24"/>
        </w:rPr>
        <w:t xml:space="preserve"> 2016-2018 au fost executate lucrări de investiții capitale în volum de circa 113,7 mil.</w:t>
      </w:r>
      <w:r w:rsidR="002D640C">
        <w:rPr>
          <w:rFonts w:asciiTheme="majorHAnsi" w:hAnsiTheme="majorHAnsi" w:cstheme="majorHAnsi"/>
          <w:sz w:val="24"/>
          <w:szCs w:val="24"/>
        </w:rPr>
        <w:t xml:space="preserve">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în baza acestor 6</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proiecte investiționale.</w:t>
      </w:r>
      <w:r w:rsidR="00793C62">
        <w:rPr>
          <w:rFonts w:asciiTheme="majorHAnsi" w:hAnsiTheme="majorHAnsi" w:cstheme="majorHAnsi"/>
          <w:sz w:val="24"/>
          <w:szCs w:val="24"/>
        </w:rPr>
        <w:t xml:space="preserve"> </w:t>
      </w:r>
    </w:p>
    <w:p w:rsidR="007B3A11" w:rsidRDefault="006E7799" w:rsidP="009D45B3">
      <w:pPr>
        <w:spacing w:after="0" w:line="276" w:lineRule="auto"/>
        <w:ind w:right="49" w:firstLine="709"/>
        <w:jc w:val="both"/>
        <w:rPr>
          <w:rFonts w:asciiTheme="majorHAnsi" w:hAnsiTheme="majorHAnsi" w:cstheme="majorHAnsi"/>
          <w:sz w:val="24"/>
          <w:szCs w:val="24"/>
        </w:rPr>
      </w:pPr>
      <w:r w:rsidRPr="00435EE8">
        <w:rPr>
          <w:rFonts w:asciiTheme="majorHAnsi" w:hAnsiTheme="majorHAnsi" w:cstheme="majorHAnsi"/>
          <w:sz w:val="24"/>
          <w:szCs w:val="24"/>
        </w:rPr>
        <w:t>Totodată</w:t>
      </w:r>
      <w:r w:rsidR="009D45B3">
        <w:rPr>
          <w:rFonts w:asciiTheme="majorHAnsi" w:hAnsiTheme="majorHAnsi" w:cstheme="majorHAnsi"/>
          <w:sz w:val="24"/>
          <w:szCs w:val="24"/>
        </w:rPr>
        <w:t>,</w:t>
      </w:r>
      <w:r w:rsidRPr="00435EE8">
        <w:rPr>
          <w:rFonts w:asciiTheme="majorHAnsi" w:hAnsiTheme="majorHAnsi" w:cstheme="majorHAnsi"/>
          <w:sz w:val="24"/>
          <w:szCs w:val="24"/>
        </w:rPr>
        <w:t xml:space="preserve"> </w:t>
      </w:r>
      <w:r w:rsidR="009D45B3">
        <w:rPr>
          <w:rFonts w:asciiTheme="majorHAnsi" w:hAnsiTheme="majorHAnsi" w:cstheme="majorHAnsi"/>
          <w:sz w:val="24"/>
          <w:szCs w:val="24"/>
        </w:rPr>
        <w:t xml:space="preserve">pentru restul </w:t>
      </w:r>
      <w:r w:rsidR="007B3A11" w:rsidRPr="00435EE8">
        <w:rPr>
          <w:rFonts w:asciiTheme="majorHAnsi" w:hAnsiTheme="majorHAnsi" w:cstheme="majorHAnsi"/>
          <w:sz w:val="24"/>
          <w:szCs w:val="24"/>
        </w:rPr>
        <w:t xml:space="preserve">11 proiecte </w:t>
      </w:r>
      <w:r w:rsidR="009D45B3">
        <w:rPr>
          <w:rFonts w:asciiTheme="majorHAnsi" w:hAnsiTheme="majorHAnsi" w:cstheme="majorHAnsi"/>
          <w:sz w:val="24"/>
          <w:szCs w:val="24"/>
        </w:rPr>
        <w:t>elaborate au fost</w:t>
      </w:r>
      <w:r w:rsidRPr="00435EE8">
        <w:rPr>
          <w:rFonts w:asciiTheme="majorHAnsi" w:hAnsiTheme="majorHAnsi" w:cstheme="majorHAnsi"/>
          <w:sz w:val="24"/>
          <w:szCs w:val="24"/>
        </w:rPr>
        <w:t xml:space="preserve"> achitat</w:t>
      </w:r>
      <w:r w:rsidR="009D45B3">
        <w:rPr>
          <w:rFonts w:asciiTheme="majorHAnsi" w:hAnsiTheme="majorHAnsi" w:cstheme="majorHAnsi"/>
          <w:sz w:val="24"/>
          <w:szCs w:val="24"/>
        </w:rPr>
        <w:t>e</w:t>
      </w:r>
      <w:r w:rsidRPr="00435EE8">
        <w:rPr>
          <w:rFonts w:asciiTheme="majorHAnsi" w:hAnsiTheme="majorHAnsi" w:cstheme="majorHAnsi"/>
          <w:sz w:val="24"/>
          <w:szCs w:val="24"/>
        </w:rPr>
        <w:t xml:space="preserve"> mijloace bugetare de circa 82,4 mil</w:t>
      </w:r>
      <w:r w:rsidR="0010605F">
        <w:rPr>
          <w:rFonts w:asciiTheme="majorHAnsi" w:hAnsiTheme="majorHAnsi" w:cstheme="majorHAnsi"/>
          <w:sz w:val="24"/>
          <w:szCs w:val="24"/>
        </w:rPr>
        <w:t>.</w:t>
      </w:r>
      <w:r w:rsidRPr="00435EE8">
        <w:rPr>
          <w:rFonts w:asciiTheme="majorHAnsi" w:hAnsiTheme="majorHAnsi" w:cstheme="majorHAnsi"/>
          <w:sz w:val="24"/>
          <w:szCs w:val="24"/>
        </w:rPr>
        <w:t xml:space="preserve"> </w:t>
      </w:r>
      <w:r w:rsidR="007160B9">
        <w:rPr>
          <w:rFonts w:asciiTheme="majorHAnsi" w:hAnsiTheme="majorHAnsi" w:cstheme="majorHAnsi"/>
          <w:sz w:val="24"/>
          <w:szCs w:val="24"/>
        </w:rPr>
        <w:t>MDL</w:t>
      </w:r>
      <w:r w:rsidR="009D45B3">
        <w:rPr>
          <w:rFonts w:asciiTheme="majorHAnsi" w:hAnsiTheme="majorHAnsi" w:cstheme="majorHAnsi"/>
          <w:sz w:val="24"/>
          <w:szCs w:val="24"/>
        </w:rPr>
        <w:t>,</w:t>
      </w:r>
      <w:r w:rsidRPr="00435EE8">
        <w:rPr>
          <w:rFonts w:asciiTheme="majorHAnsi" w:hAnsiTheme="majorHAnsi" w:cstheme="majorHAnsi"/>
          <w:sz w:val="24"/>
          <w:szCs w:val="24"/>
        </w:rPr>
        <w:t xml:space="preserve"> </w:t>
      </w:r>
      <w:r w:rsidR="009D45B3" w:rsidRPr="00435EE8">
        <w:rPr>
          <w:rFonts w:asciiTheme="majorHAnsi" w:hAnsiTheme="majorHAnsi" w:cstheme="majorHAnsi"/>
          <w:sz w:val="24"/>
          <w:szCs w:val="24"/>
        </w:rPr>
        <w:t>lucrări</w:t>
      </w:r>
      <w:r w:rsidR="0010605F">
        <w:rPr>
          <w:rFonts w:asciiTheme="majorHAnsi" w:hAnsiTheme="majorHAnsi" w:cstheme="majorHAnsi"/>
          <w:sz w:val="24"/>
          <w:szCs w:val="24"/>
        </w:rPr>
        <w:t>le</w:t>
      </w:r>
      <w:r w:rsidR="009D45B3" w:rsidRPr="00435EE8">
        <w:rPr>
          <w:rFonts w:asciiTheme="majorHAnsi" w:hAnsiTheme="majorHAnsi" w:cstheme="majorHAnsi"/>
          <w:sz w:val="24"/>
          <w:szCs w:val="24"/>
        </w:rPr>
        <w:t xml:space="preserve"> de investiții capitale </w:t>
      </w:r>
      <w:r w:rsidR="0010605F">
        <w:rPr>
          <w:rFonts w:asciiTheme="majorHAnsi" w:hAnsiTheme="majorHAnsi" w:cstheme="majorHAnsi"/>
          <w:sz w:val="24"/>
          <w:szCs w:val="24"/>
        </w:rPr>
        <w:t>nefiind</w:t>
      </w:r>
      <w:r w:rsidRPr="00435EE8">
        <w:rPr>
          <w:rFonts w:asciiTheme="majorHAnsi" w:hAnsiTheme="majorHAnsi" w:cstheme="majorHAnsi"/>
          <w:sz w:val="24"/>
          <w:szCs w:val="24"/>
        </w:rPr>
        <w:t xml:space="preserve"> executate</w:t>
      </w:r>
      <w:r w:rsidR="0010605F">
        <w:rPr>
          <w:rFonts w:asciiTheme="majorHAnsi" w:hAnsiTheme="majorHAnsi" w:cstheme="majorHAnsi"/>
          <w:sz w:val="24"/>
          <w:szCs w:val="24"/>
        </w:rPr>
        <w:t>.</w:t>
      </w:r>
      <w:r w:rsidR="009D45B3">
        <w:rPr>
          <w:rFonts w:asciiTheme="majorHAnsi" w:hAnsiTheme="majorHAnsi" w:cstheme="majorHAnsi"/>
          <w:sz w:val="24"/>
          <w:szCs w:val="24"/>
        </w:rPr>
        <w:t xml:space="preserve"> </w:t>
      </w:r>
      <w:r w:rsidR="0010605F">
        <w:rPr>
          <w:rFonts w:asciiTheme="majorHAnsi" w:hAnsiTheme="majorHAnsi" w:cstheme="majorHAnsi"/>
          <w:sz w:val="24"/>
          <w:szCs w:val="24"/>
        </w:rPr>
        <w:t>Astfel,</w:t>
      </w:r>
      <w:r w:rsidR="007B3A11">
        <w:rPr>
          <w:rFonts w:asciiTheme="majorHAnsi" w:hAnsiTheme="majorHAnsi" w:cstheme="majorHAnsi"/>
          <w:sz w:val="24"/>
          <w:szCs w:val="24"/>
        </w:rPr>
        <w:t xml:space="preserve"> acest</w:t>
      </w:r>
      <w:r w:rsidR="0010605F">
        <w:rPr>
          <w:rFonts w:asciiTheme="majorHAnsi" w:hAnsiTheme="majorHAnsi" w:cstheme="majorHAnsi"/>
          <w:sz w:val="24"/>
          <w:szCs w:val="24"/>
        </w:rPr>
        <w:t>e</w:t>
      </w:r>
      <w:r w:rsidR="007B3A11">
        <w:rPr>
          <w:rFonts w:asciiTheme="majorHAnsi" w:hAnsiTheme="majorHAnsi" w:cstheme="majorHAnsi"/>
          <w:sz w:val="24"/>
          <w:szCs w:val="24"/>
        </w:rPr>
        <w:t xml:space="preserve"> </w:t>
      </w:r>
      <w:r w:rsidR="00EA6FDE">
        <w:rPr>
          <w:rFonts w:asciiTheme="majorHAnsi" w:hAnsiTheme="majorHAnsi" w:cstheme="majorHAnsi"/>
          <w:sz w:val="24"/>
          <w:szCs w:val="24"/>
        </w:rPr>
        <w:t xml:space="preserve">resurse </w:t>
      </w:r>
      <w:r w:rsidR="007B3A11">
        <w:rPr>
          <w:rFonts w:asciiTheme="majorHAnsi" w:hAnsiTheme="majorHAnsi" w:cstheme="majorHAnsi"/>
          <w:sz w:val="24"/>
          <w:szCs w:val="24"/>
        </w:rPr>
        <w:t>publice</w:t>
      </w:r>
      <w:r w:rsidR="009D45B3">
        <w:rPr>
          <w:rFonts w:asciiTheme="majorHAnsi" w:hAnsiTheme="majorHAnsi" w:cstheme="majorHAnsi"/>
          <w:sz w:val="24"/>
          <w:szCs w:val="24"/>
        </w:rPr>
        <w:t xml:space="preserve"> </w:t>
      </w:r>
      <w:r w:rsidR="0010605F">
        <w:rPr>
          <w:rFonts w:asciiTheme="majorHAnsi" w:hAnsiTheme="majorHAnsi" w:cstheme="majorHAnsi"/>
          <w:sz w:val="24"/>
          <w:szCs w:val="24"/>
        </w:rPr>
        <w:t>au</w:t>
      </w:r>
      <w:r w:rsidR="009D45B3">
        <w:rPr>
          <w:rFonts w:asciiTheme="majorHAnsi" w:hAnsiTheme="majorHAnsi" w:cstheme="majorHAnsi"/>
          <w:sz w:val="24"/>
          <w:szCs w:val="24"/>
        </w:rPr>
        <w:t xml:space="preserve"> risc sporit de irosire</w:t>
      </w:r>
      <w:r w:rsidR="007B3A11">
        <w:rPr>
          <w:rFonts w:asciiTheme="majorHAnsi" w:hAnsiTheme="majorHAnsi" w:cstheme="majorHAnsi"/>
          <w:sz w:val="24"/>
          <w:szCs w:val="24"/>
        </w:rPr>
        <w:t>, în condițiile în care proiecte</w:t>
      </w:r>
      <w:r w:rsidR="0010605F">
        <w:rPr>
          <w:rFonts w:asciiTheme="majorHAnsi" w:hAnsiTheme="majorHAnsi" w:cstheme="majorHAnsi"/>
          <w:sz w:val="24"/>
          <w:szCs w:val="24"/>
        </w:rPr>
        <w:t>le</w:t>
      </w:r>
      <w:r w:rsidR="007B3A11">
        <w:rPr>
          <w:rFonts w:asciiTheme="majorHAnsi" w:hAnsiTheme="majorHAnsi" w:cstheme="majorHAnsi"/>
          <w:sz w:val="24"/>
          <w:szCs w:val="24"/>
        </w:rPr>
        <w:t xml:space="preserve"> nu vor fi implementate și vor atrage mijloace bugetare suplimentare pentru ajustarea/actualizarea acestora</w:t>
      </w:r>
      <w:r w:rsidRPr="00435EE8">
        <w:rPr>
          <w:rFonts w:asciiTheme="majorHAnsi" w:hAnsiTheme="majorHAnsi" w:cstheme="majorHAnsi"/>
          <w:sz w:val="24"/>
          <w:szCs w:val="24"/>
        </w:rPr>
        <w:t xml:space="preserve">. </w:t>
      </w:r>
    </w:p>
    <w:p w:rsidR="0009310A" w:rsidRDefault="00B54E21" w:rsidP="009D45B3">
      <w:pPr>
        <w:spacing w:after="0" w:line="276" w:lineRule="auto"/>
        <w:ind w:right="49" w:firstLine="709"/>
        <w:jc w:val="both"/>
        <w:rPr>
          <w:rFonts w:asciiTheme="majorHAnsi" w:hAnsiTheme="majorHAnsi" w:cstheme="majorHAnsi"/>
          <w:sz w:val="24"/>
          <w:szCs w:val="24"/>
        </w:rPr>
      </w:pPr>
      <w:r>
        <w:rPr>
          <w:rFonts w:asciiTheme="majorHAnsi" w:hAnsiTheme="majorHAnsi" w:cstheme="majorHAnsi"/>
          <w:sz w:val="24"/>
          <w:szCs w:val="24"/>
        </w:rPr>
        <w:t>Examinările auditului</w:t>
      </w:r>
      <w:r w:rsidR="006E7799" w:rsidRPr="00435EE8">
        <w:rPr>
          <w:rFonts w:asciiTheme="majorHAnsi" w:hAnsiTheme="majorHAnsi" w:cstheme="majorHAnsi"/>
          <w:sz w:val="24"/>
          <w:szCs w:val="24"/>
        </w:rPr>
        <w:t xml:space="preserve"> relevă că,</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la contul 319</w:t>
      </w:r>
      <w:r w:rsidR="002D06F2">
        <w:rPr>
          <w:rFonts w:asciiTheme="majorHAnsi" w:hAnsiTheme="majorHAnsi" w:cstheme="majorHAnsi"/>
          <w:sz w:val="24"/>
          <w:szCs w:val="24"/>
        </w:rPr>
        <w:t xml:space="preserve"> </w:t>
      </w:r>
      <w:r w:rsidR="006E7799" w:rsidRPr="00435EE8">
        <w:rPr>
          <w:rFonts w:asciiTheme="majorHAnsi" w:hAnsiTheme="majorHAnsi" w:cstheme="majorHAnsi"/>
          <w:sz w:val="24"/>
          <w:szCs w:val="24"/>
        </w:rPr>
        <w:t>„Investiții capitale în active în curs de execuție” se ține informația privind activele nemateriale și materiale în curs de execuție. Astfel, la instituțiile din subordinea MECC</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 xml:space="preserve">potrivit informației consolidate la </w:t>
      </w:r>
      <w:proofErr w:type="spellStart"/>
      <w:r w:rsidR="006E7799" w:rsidRPr="00435EE8">
        <w:rPr>
          <w:rFonts w:asciiTheme="majorHAnsi" w:hAnsiTheme="majorHAnsi" w:cstheme="majorHAnsi"/>
          <w:sz w:val="24"/>
          <w:szCs w:val="24"/>
        </w:rPr>
        <w:t>subcontul</w:t>
      </w:r>
      <w:proofErr w:type="spellEnd"/>
      <w:r w:rsidR="006E7799" w:rsidRPr="00435EE8">
        <w:rPr>
          <w:rFonts w:asciiTheme="majorHAnsi" w:hAnsiTheme="majorHAnsi" w:cstheme="majorHAnsi"/>
          <w:sz w:val="24"/>
          <w:szCs w:val="24"/>
        </w:rPr>
        <w:t xml:space="preserve"> 319240 „Pregătirea proiectelor”</w:t>
      </w:r>
      <w:r w:rsidR="00793C62">
        <w:rPr>
          <w:rFonts w:asciiTheme="majorHAnsi" w:hAnsiTheme="majorHAnsi" w:cstheme="majorHAnsi"/>
          <w:sz w:val="24"/>
          <w:szCs w:val="24"/>
        </w:rPr>
        <w:t xml:space="preserve"> </w:t>
      </w:r>
      <w:r w:rsidR="006E7799" w:rsidRPr="00435EE8">
        <w:rPr>
          <w:rFonts w:asciiTheme="majorHAnsi" w:hAnsiTheme="majorHAnsi" w:cstheme="majorHAnsi"/>
          <w:sz w:val="24"/>
          <w:szCs w:val="24"/>
        </w:rPr>
        <w:t>sunt înregistrate și raportate la 31.12.2018 cheltuieli în volum de 7</w:t>
      </w:r>
      <w:r w:rsidR="002735B7">
        <w:rPr>
          <w:rFonts w:asciiTheme="majorHAnsi" w:hAnsiTheme="majorHAnsi" w:cstheme="majorHAnsi"/>
          <w:sz w:val="24"/>
          <w:szCs w:val="24"/>
        </w:rPr>
        <w:t>,8 mil.</w:t>
      </w:r>
      <w:r w:rsidR="006E7799" w:rsidRPr="00435EE8">
        <w:rPr>
          <w:rFonts w:asciiTheme="majorHAnsi" w:hAnsiTheme="majorHAnsi" w:cstheme="majorHAnsi"/>
          <w:sz w:val="24"/>
          <w:szCs w:val="24"/>
        </w:rPr>
        <w:t xml:space="preserve"> </w:t>
      </w:r>
      <w:r w:rsidR="007160B9">
        <w:rPr>
          <w:rFonts w:asciiTheme="majorHAnsi" w:hAnsiTheme="majorHAnsi" w:cstheme="majorHAnsi"/>
          <w:sz w:val="24"/>
          <w:szCs w:val="24"/>
        </w:rPr>
        <w:t>MDL</w:t>
      </w:r>
      <w:r w:rsidR="006E7799" w:rsidRPr="00435EE8">
        <w:rPr>
          <w:rFonts w:asciiTheme="majorHAnsi" w:hAnsiTheme="majorHAnsi" w:cstheme="majorHAnsi"/>
          <w:sz w:val="24"/>
          <w:szCs w:val="24"/>
        </w:rPr>
        <w:t xml:space="preserve">. </w:t>
      </w:r>
      <w:r w:rsidR="004D4B06">
        <w:rPr>
          <w:rFonts w:asciiTheme="majorHAnsi" w:hAnsiTheme="majorHAnsi" w:cstheme="majorHAnsi"/>
          <w:sz w:val="24"/>
          <w:szCs w:val="24"/>
        </w:rPr>
        <w:t>Această situație</w:t>
      </w:r>
      <w:r w:rsidR="006E7799" w:rsidRPr="00435EE8">
        <w:rPr>
          <w:rFonts w:asciiTheme="majorHAnsi" w:hAnsiTheme="majorHAnsi" w:cstheme="majorHAnsi"/>
          <w:sz w:val="24"/>
          <w:szCs w:val="24"/>
        </w:rPr>
        <w:t xml:space="preserve"> </w:t>
      </w:r>
      <w:r w:rsidR="008C4900">
        <w:rPr>
          <w:rFonts w:asciiTheme="majorHAnsi" w:hAnsiTheme="majorHAnsi" w:cstheme="majorHAnsi"/>
          <w:sz w:val="24"/>
          <w:szCs w:val="24"/>
        </w:rPr>
        <w:t xml:space="preserve">este condiționată </w:t>
      </w:r>
      <w:r w:rsidR="006E7799" w:rsidRPr="00435EE8">
        <w:rPr>
          <w:rFonts w:asciiTheme="majorHAnsi" w:hAnsiTheme="majorHAnsi" w:cstheme="majorHAnsi"/>
          <w:sz w:val="24"/>
          <w:szCs w:val="24"/>
        </w:rPr>
        <w:t xml:space="preserve">și </w:t>
      </w:r>
      <w:r w:rsidR="008C4900">
        <w:rPr>
          <w:rFonts w:asciiTheme="majorHAnsi" w:hAnsiTheme="majorHAnsi" w:cstheme="majorHAnsi"/>
          <w:sz w:val="24"/>
          <w:szCs w:val="24"/>
        </w:rPr>
        <w:t xml:space="preserve">de </w:t>
      </w:r>
      <w:r w:rsidR="006E7799" w:rsidRPr="00435EE8">
        <w:rPr>
          <w:rFonts w:asciiTheme="majorHAnsi" w:hAnsiTheme="majorHAnsi" w:cstheme="majorHAnsi"/>
          <w:sz w:val="24"/>
          <w:szCs w:val="24"/>
        </w:rPr>
        <w:t>nerespect</w:t>
      </w:r>
      <w:r w:rsidR="008C4900">
        <w:rPr>
          <w:rFonts w:asciiTheme="majorHAnsi" w:hAnsiTheme="majorHAnsi" w:cstheme="majorHAnsi"/>
          <w:sz w:val="24"/>
          <w:szCs w:val="24"/>
        </w:rPr>
        <w:t>area</w:t>
      </w:r>
      <w:r w:rsidR="006E7799" w:rsidRPr="00435EE8">
        <w:rPr>
          <w:rFonts w:asciiTheme="majorHAnsi" w:hAnsiTheme="majorHAnsi" w:cstheme="majorHAnsi"/>
          <w:sz w:val="24"/>
          <w:szCs w:val="24"/>
        </w:rPr>
        <w:t xml:space="preserve"> cerințelor actelor normative ce reglementează procesul de includere </w:t>
      </w:r>
      <w:r w:rsidR="00D5176F">
        <w:rPr>
          <w:rFonts w:asciiTheme="majorHAnsi" w:hAnsiTheme="majorHAnsi" w:cstheme="majorHAnsi"/>
          <w:sz w:val="24"/>
          <w:szCs w:val="24"/>
        </w:rPr>
        <w:t xml:space="preserve">pentru finanțarea din </w:t>
      </w:r>
      <w:r w:rsidR="006E7799" w:rsidRPr="00435EE8">
        <w:rPr>
          <w:rFonts w:asciiTheme="majorHAnsi" w:hAnsiTheme="majorHAnsi" w:cstheme="majorHAnsi"/>
          <w:sz w:val="24"/>
          <w:szCs w:val="24"/>
        </w:rPr>
        <w:t>buget</w:t>
      </w:r>
      <w:r w:rsidR="00D5176F">
        <w:rPr>
          <w:rFonts w:asciiTheme="majorHAnsi" w:hAnsiTheme="majorHAnsi" w:cstheme="majorHAnsi"/>
          <w:sz w:val="24"/>
          <w:szCs w:val="24"/>
        </w:rPr>
        <w:t xml:space="preserve"> a obiectelor de investiții capitale</w:t>
      </w:r>
      <w:r w:rsidR="006E7799" w:rsidRPr="00435EE8">
        <w:rPr>
          <w:rFonts w:asciiTheme="majorHAnsi" w:hAnsiTheme="majorHAnsi" w:cstheme="majorHAnsi"/>
          <w:sz w:val="24"/>
          <w:szCs w:val="24"/>
        </w:rPr>
        <w:t xml:space="preserve">, precum și </w:t>
      </w:r>
      <w:r w:rsidR="00471938">
        <w:rPr>
          <w:rFonts w:asciiTheme="majorHAnsi" w:hAnsiTheme="majorHAnsi" w:cstheme="majorHAnsi"/>
          <w:sz w:val="24"/>
          <w:szCs w:val="24"/>
        </w:rPr>
        <w:t xml:space="preserve">de </w:t>
      </w:r>
      <w:proofErr w:type="spellStart"/>
      <w:r w:rsidR="00471938">
        <w:rPr>
          <w:rFonts w:asciiTheme="majorHAnsi" w:hAnsiTheme="majorHAnsi" w:cstheme="majorHAnsi"/>
          <w:sz w:val="24"/>
          <w:szCs w:val="24"/>
        </w:rPr>
        <w:t>ne</w:t>
      </w:r>
      <w:r w:rsidR="006E7799" w:rsidRPr="00435EE8">
        <w:rPr>
          <w:rFonts w:asciiTheme="majorHAnsi" w:hAnsiTheme="majorHAnsi" w:cstheme="majorHAnsi"/>
          <w:sz w:val="24"/>
          <w:szCs w:val="24"/>
        </w:rPr>
        <w:t>monitoriz</w:t>
      </w:r>
      <w:r w:rsidR="00471938">
        <w:rPr>
          <w:rFonts w:asciiTheme="majorHAnsi" w:hAnsiTheme="majorHAnsi" w:cstheme="majorHAnsi"/>
          <w:sz w:val="24"/>
          <w:szCs w:val="24"/>
        </w:rPr>
        <w:t>area</w:t>
      </w:r>
      <w:proofErr w:type="spellEnd"/>
      <w:r w:rsidR="006E7799" w:rsidRPr="00435EE8">
        <w:rPr>
          <w:rFonts w:asciiTheme="majorHAnsi" w:hAnsiTheme="majorHAnsi" w:cstheme="majorHAnsi"/>
          <w:sz w:val="24"/>
          <w:szCs w:val="24"/>
        </w:rPr>
        <w:t xml:space="preserve"> </w:t>
      </w:r>
      <w:r w:rsidR="00D5176F">
        <w:rPr>
          <w:rFonts w:asciiTheme="majorHAnsi" w:hAnsiTheme="majorHAnsi" w:cstheme="majorHAnsi"/>
          <w:sz w:val="24"/>
          <w:szCs w:val="24"/>
        </w:rPr>
        <w:t>execuției</w:t>
      </w:r>
      <w:r w:rsidR="006E7799" w:rsidRPr="00435EE8">
        <w:rPr>
          <w:rFonts w:asciiTheme="majorHAnsi" w:hAnsiTheme="majorHAnsi" w:cstheme="majorHAnsi"/>
          <w:sz w:val="24"/>
          <w:szCs w:val="24"/>
        </w:rPr>
        <w:t xml:space="preserve"> obiectelor de investiții c</w:t>
      </w:r>
      <w:r w:rsidR="00D5176F">
        <w:rPr>
          <w:rFonts w:asciiTheme="majorHAnsi" w:hAnsiTheme="majorHAnsi" w:cstheme="majorHAnsi"/>
          <w:sz w:val="24"/>
          <w:szCs w:val="24"/>
        </w:rPr>
        <w:t>apitale, în special neasigurarea</w:t>
      </w:r>
      <w:r w:rsidR="006E7799" w:rsidRPr="00435EE8">
        <w:rPr>
          <w:rFonts w:asciiTheme="majorHAnsi" w:hAnsiTheme="majorHAnsi" w:cstheme="majorHAnsi"/>
          <w:sz w:val="24"/>
          <w:szCs w:val="24"/>
        </w:rPr>
        <w:t xml:space="preserve"> funcționalității grupului de lucru pentru investiții capitale</w:t>
      </w:r>
      <w:r w:rsidR="006E7799" w:rsidRPr="00435EE8">
        <w:rPr>
          <w:rFonts w:asciiTheme="majorHAnsi" w:hAnsiTheme="majorHAnsi" w:cstheme="majorHAnsi"/>
          <w:sz w:val="24"/>
          <w:szCs w:val="24"/>
          <w:vertAlign w:val="superscript"/>
        </w:rPr>
        <w:footnoteReference w:id="27"/>
      </w:r>
      <w:r w:rsidR="006E7799" w:rsidRPr="00435EE8">
        <w:rPr>
          <w:rFonts w:asciiTheme="majorHAnsi" w:hAnsiTheme="majorHAnsi" w:cstheme="majorHAnsi"/>
          <w:sz w:val="24"/>
          <w:szCs w:val="24"/>
        </w:rPr>
        <w:t>, cerința</w:t>
      </w:r>
      <w:r w:rsidR="006E7799" w:rsidRPr="00435EE8">
        <w:rPr>
          <w:rFonts w:asciiTheme="majorHAnsi" w:hAnsiTheme="majorHAnsi" w:cstheme="majorHAnsi"/>
          <w:sz w:val="24"/>
          <w:szCs w:val="24"/>
          <w:vertAlign w:val="superscript"/>
        </w:rPr>
        <w:footnoteReference w:id="28"/>
      </w:r>
      <w:r w:rsidR="006E7799" w:rsidRPr="00435EE8">
        <w:rPr>
          <w:rFonts w:asciiTheme="majorHAnsi" w:hAnsiTheme="majorHAnsi" w:cstheme="majorHAnsi"/>
          <w:sz w:val="24"/>
          <w:szCs w:val="24"/>
        </w:rPr>
        <w:t xml:space="preserve"> auditului precedent neexecutată de MF </w:t>
      </w:r>
      <w:r w:rsidR="00D72BA8" w:rsidRPr="00435EE8">
        <w:rPr>
          <w:rFonts w:asciiTheme="majorHAnsi" w:hAnsiTheme="majorHAnsi" w:cstheme="majorHAnsi"/>
          <w:sz w:val="24"/>
          <w:szCs w:val="24"/>
        </w:rPr>
        <w:t>până</w:t>
      </w:r>
      <w:r w:rsidR="006E7799" w:rsidRPr="00435EE8">
        <w:rPr>
          <w:rFonts w:asciiTheme="majorHAnsi" w:hAnsiTheme="majorHAnsi" w:cstheme="majorHAnsi"/>
          <w:sz w:val="24"/>
          <w:szCs w:val="24"/>
        </w:rPr>
        <w:t xml:space="preserve"> în prezent. </w:t>
      </w:r>
    </w:p>
    <w:p w:rsidR="00B85FA2" w:rsidRPr="00000B65" w:rsidRDefault="00B85FA2" w:rsidP="0038629D">
      <w:pPr>
        <w:tabs>
          <w:tab w:val="left" w:pos="993"/>
        </w:tabs>
        <w:spacing w:after="0"/>
        <w:jc w:val="both"/>
        <w:rPr>
          <w:rFonts w:asciiTheme="majorHAnsi" w:hAnsiTheme="majorHAnsi" w:cstheme="majorHAnsi"/>
          <w:sz w:val="24"/>
          <w:szCs w:val="24"/>
        </w:rPr>
      </w:pPr>
    </w:p>
    <w:p w:rsidR="00463CB3" w:rsidRPr="00212145" w:rsidRDefault="007E62CB" w:rsidP="00463CB3">
      <w:pPr>
        <w:pStyle w:val="Heading3"/>
        <w:jc w:val="both"/>
        <w:rPr>
          <w:rFonts w:eastAsia="Times New Roman" w:cstheme="majorHAnsi"/>
          <w:b/>
          <w:iCs/>
          <w:color w:val="000000" w:themeColor="text1"/>
          <w:lang w:val="ro-MD"/>
        </w:rPr>
      </w:pPr>
      <w:r>
        <w:rPr>
          <w:rFonts w:eastAsia="Times New Roman" w:cstheme="majorHAnsi"/>
          <w:b/>
          <w:iCs/>
          <w:color w:val="000000" w:themeColor="text1"/>
          <w:lang w:val="ro-MD"/>
        </w:rPr>
        <w:t xml:space="preserve"> </w:t>
      </w:r>
      <w:bookmarkStart w:id="15" w:name="_Toc10126087"/>
      <w:r w:rsidR="00C22DF8">
        <w:rPr>
          <w:rFonts w:eastAsia="Times New Roman" w:cstheme="majorHAnsi"/>
          <w:b/>
          <w:iCs/>
          <w:color w:val="000000" w:themeColor="text1"/>
          <w:lang w:val="ro-MD"/>
        </w:rPr>
        <w:t>3.2</w:t>
      </w:r>
      <w:r w:rsidR="005537C7">
        <w:rPr>
          <w:rFonts w:eastAsia="Times New Roman" w:cstheme="majorHAnsi"/>
          <w:b/>
          <w:iCs/>
          <w:color w:val="000000" w:themeColor="text1"/>
          <w:lang w:val="ro-MD"/>
        </w:rPr>
        <w:t>.7</w:t>
      </w:r>
      <w:r w:rsidR="00463CB3" w:rsidRPr="00463CB3">
        <w:rPr>
          <w:rFonts w:eastAsia="Times New Roman" w:cstheme="majorHAnsi"/>
          <w:b/>
          <w:iCs/>
          <w:color w:val="000000" w:themeColor="text1"/>
          <w:lang w:val="ro-MD"/>
        </w:rPr>
        <w:t xml:space="preserve"> </w:t>
      </w:r>
      <w:r w:rsidR="00463CB3" w:rsidRPr="00212145">
        <w:rPr>
          <w:rFonts w:eastAsia="Times New Roman" w:cstheme="majorHAnsi"/>
          <w:b/>
          <w:iCs/>
          <w:color w:val="000000" w:themeColor="text1"/>
          <w:lang w:val="ro-MD"/>
        </w:rPr>
        <w:t>Soldurile de mijloace bănești la finele anului 2018 au fost raportate regulamentar.</w:t>
      </w:r>
      <w:bookmarkEnd w:id="15"/>
    </w:p>
    <w:p w:rsidR="004F00B9" w:rsidRPr="00212145" w:rsidRDefault="00EA6FDE" w:rsidP="00463CB3">
      <w:pPr>
        <w:tabs>
          <w:tab w:val="left" w:pos="0"/>
        </w:tabs>
        <w:spacing w:after="0" w:line="276" w:lineRule="auto"/>
        <w:jc w:val="both"/>
        <w:rPr>
          <w:rFonts w:asciiTheme="majorHAnsi" w:eastAsia="Times New Roman" w:hAnsiTheme="majorHAnsi" w:cstheme="majorHAnsi"/>
          <w:iCs/>
          <w:sz w:val="24"/>
          <w:szCs w:val="24"/>
          <w:lang w:val="ro-MD"/>
        </w:rPr>
      </w:pPr>
      <w:r w:rsidRPr="00212145">
        <w:rPr>
          <w:rFonts w:asciiTheme="majorHAnsi" w:eastAsia="Times New Roman" w:hAnsiTheme="majorHAnsi" w:cstheme="majorHAnsi"/>
          <w:iCs/>
          <w:sz w:val="24"/>
          <w:szCs w:val="24"/>
          <w:lang w:val="ro-MD"/>
        </w:rPr>
        <w:tab/>
      </w:r>
      <w:r w:rsidR="00463CB3" w:rsidRPr="00212145">
        <w:rPr>
          <w:rFonts w:asciiTheme="majorHAnsi" w:eastAsia="Times New Roman" w:hAnsiTheme="majorHAnsi" w:cstheme="majorHAnsi"/>
          <w:iCs/>
          <w:sz w:val="24"/>
          <w:szCs w:val="24"/>
          <w:lang w:val="ro-MD"/>
        </w:rPr>
        <w:t xml:space="preserve">Potrivit datelor raportate de </w:t>
      </w:r>
      <w:r w:rsidR="004F00B9" w:rsidRPr="00212145">
        <w:rPr>
          <w:rFonts w:asciiTheme="majorHAnsi" w:eastAsia="Times New Roman" w:hAnsiTheme="majorHAnsi" w:cstheme="majorHAnsi"/>
          <w:iCs/>
          <w:sz w:val="24"/>
          <w:szCs w:val="24"/>
          <w:lang w:val="ro-MD"/>
        </w:rPr>
        <w:t>MF,</w:t>
      </w:r>
      <w:r w:rsidR="00463CB3" w:rsidRPr="00212145">
        <w:rPr>
          <w:rFonts w:asciiTheme="majorHAnsi" w:eastAsia="Times New Roman" w:hAnsiTheme="majorHAnsi" w:cstheme="majorHAnsi"/>
          <w:iCs/>
          <w:sz w:val="24"/>
          <w:szCs w:val="24"/>
          <w:lang w:val="ro-MD"/>
        </w:rPr>
        <w:t xml:space="preserve"> soldurile mijloacelor bănești la situația din 31.12.2018</w:t>
      </w:r>
      <w:r w:rsidR="00793C62" w:rsidRPr="00212145">
        <w:rPr>
          <w:rFonts w:asciiTheme="majorHAnsi" w:eastAsia="Times New Roman" w:hAnsiTheme="majorHAnsi" w:cstheme="majorHAnsi"/>
          <w:iCs/>
          <w:sz w:val="24"/>
          <w:szCs w:val="24"/>
          <w:lang w:val="ro-MD"/>
        </w:rPr>
        <w:t xml:space="preserve"> </w:t>
      </w:r>
      <w:r w:rsidR="00463CB3" w:rsidRPr="00212145">
        <w:rPr>
          <w:rFonts w:asciiTheme="majorHAnsi" w:eastAsia="Times New Roman" w:hAnsiTheme="majorHAnsi" w:cstheme="majorHAnsi"/>
          <w:iCs/>
          <w:sz w:val="24"/>
          <w:szCs w:val="24"/>
          <w:lang w:val="ro-MD"/>
        </w:rPr>
        <w:t>au însumat</w:t>
      </w:r>
      <w:r w:rsidR="00793C62" w:rsidRPr="00212145">
        <w:rPr>
          <w:rFonts w:asciiTheme="majorHAnsi" w:eastAsia="Times New Roman" w:hAnsiTheme="majorHAnsi" w:cstheme="majorHAnsi"/>
          <w:iCs/>
          <w:sz w:val="24"/>
          <w:szCs w:val="24"/>
          <w:lang w:val="ro-MD"/>
        </w:rPr>
        <w:t xml:space="preserve"> </w:t>
      </w:r>
      <w:r w:rsidR="008A4595" w:rsidRPr="00212145">
        <w:rPr>
          <w:rFonts w:asciiTheme="majorHAnsi" w:eastAsia="Times New Roman" w:hAnsiTheme="majorHAnsi" w:cstheme="majorHAnsi"/>
          <w:iCs/>
          <w:sz w:val="24"/>
          <w:szCs w:val="24"/>
          <w:lang w:val="ro-MD"/>
        </w:rPr>
        <w:t xml:space="preserve"> </w:t>
      </w:r>
      <w:r w:rsidR="00463CB3" w:rsidRPr="00212145">
        <w:rPr>
          <w:rFonts w:asciiTheme="majorHAnsi" w:eastAsia="Times New Roman" w:hAnsiTheme="majorHAnsi" w:cstheme="majorHAnsi"/>
          <w:iCs/>
          <w:sz w:val="24"/>
          <w:szCs w:val="24"/>
          <w:lang w:val="ro-MD"/>
        </w:rPr>
        <w:t xml:space="preserve">4 299,1 mil. </w:t>
      </w:r>
      <w:r w:rsidR="007160B9" w:rsidRPr="00212145">
        <w:rPr>
          <w:rFonts w:asciiTheme="majorHAnsi" w:eastAsia="Times New Roman" w:hAnsiTheme="majorHAnsi" w:cstheme="majorHAnsi"/>
          <w:iCs/>
          <w:sz w:val="24"/>
          <w:szCs w:val="24"/>
          <w:lang w:val="ro-MD"/>
        </w:rPr>
        <w:t>MDL</w:t>
      </w:r>
      <w:r w:rsidR="00463CB3" w:rsidRPr="00212145">
        <w:rPr>
          <w:rFonts w:asciiTheme="majorHAnsi" w:eastAsia="Times New Roman" w:hAnsiTheme="majorHAnsi" w:cstheme="majorHAnsi"/>
          <w:iCs/>
          <w:sz w:val="24"/>
          <w:szCs w:val="24"/>
          <w:lang w:val="ro-MD"/>
        </w:rPr>
        <w:t>, înreg</w:t>
      </w:r>
      <w:r w:rsidR="006D31FF" w:rsidRPr="00212145">
        <w:rPr>
          <w:rFonts w:asciiTheme="majorHAnsi" w:eastAsia="Times New Roman" w:hAnsiTheme="majorHAnsi" w:cstheme="majorHAnsi"/>
          <w:iCs/>
          <w:sz w:val="24"/>
          <w:szCs w:val="24"/>
          <w:lang w:val="ro-MD"/>
        </w:rPr>
        <w:t xml:space="preserve">istrând o descreștere de 634,8 </w:t>
      </w:r>
      <w:r w:rsidR="00463CB3" w:rsidRPr="00212145">
        <w:rPr>
          <w:rFonts w:asciiTheme="majorHAnsi" w:eastAsia="Times New Roman" w:hAnsiTheme="majorHAnsi" w:cstheme="majorHAnsi"/>
          <w:iCs/>
          <w:sz w:val="24"/>
          <w:szCs w:val="24"/>
          <w:lang w:val="ro-MD"/>
        </w:rPr>
        <w:t xml:space="preserve">mil. </w:t>
      </w:r>
      <w:r w:rsidR="007160B9" w:rsidRPr="00212145">
        <w:rPr>
          <w:rFonts w:asciiTheme="majorHAnsi" w:eastAsia="Times New Roman" w:hAnsiTheme="majorHAnsi" w:cstheme="majorHAnsi"/>
          <w:iCs/>
          <w:sz w:val="24"/>
          <w:szCs w:val="24"/>
          <w:lang w:val="ro-MD"/>
        </w:rPr>
        <w:t>MDL</w:t>
      </w:r>
      <w:r w:rsidR="00463CB3" w:rsidRPr="00212145">
        <w:rPr>
          <w:rFonts w:asciiTheme="majorHAnsi" w:eastAsia="Times New Roman" w:hAnsiTheme="majorHAnsi" w:cstheme="majorHAnsi"/>
          <w:iCs/>
          <w:sz w:val="24"/>
          <w:szCs w:val="24"/>
          <w:lang w:val="ro-MD"/>
        </w:rPr>
        <w:t xml:space="preserve"> (14,8%)</w:t>
      </w:r>
      <w:r w:rsidRPr="00212145">
        <w:rPr>
          <w:rFonts w:asciiTheme="majorHAnsi" w:eastAsia="Times New Roman" w:hAnsiTheme="majorHAnsi" w:cstheme="majorHAnsi"/>
          <w:iCs/>
          <w:sz w:val="24"/>
          <w:szCs w:val="24"/>
          <w:lang w:val="ro-MD"/>
        </w:rPr>
        <w:t>,</w:t>
      </w:r>
      <w:r w:rsidR="00463CB3" w:rsidRPr="00212145">
        <w:rPr>
          <w:rFonts w:asciiTheme="majorHAnsi" w:eastAsia="Times New Roman" w:hAnsiTheme="majorHAnsi" w:cstheme="majorHAnsi"/>
          <w:iCs/>
          <w:sz w:val="24"/>
          <w:szCs w:val="24"/>
          <w:lang w:val="ro-MD"/>
        </w:rPr>
        <w:t xml:space="preserve"> comparativ cu situația din 31.12.2017. </w:t>
      </w:r>
    </w:p>
    <w:p w:rsidR="00463CB3" w:rsidRPr="00212145" w:rsidRDefault="00463CB3" w:rsidP="004F00B9">
      <w:pPr>
        <w:tabs>
          <w:tab w:val="left" w:pos="0"/>
        </w:tabs>
        <w:spacing w:after="0" w:line="276" w:lineRule="auto"/>
        <w:ind w:firstLine="709"/>
        <w:jc w:val="both"/>
        <w:rPr>
          <w:rFonts w:asciiTheme="majorHAnsi" w:eastAsia="Times New Roman" w:hAnsiTheme="majorHAnsi" w:cstheme="majorHAnsi"/>
          <w:iCs/>
          <w:sz w:val="24"/>
          <w:szCs w:val="24"/>
          <w:lang w:val="ro-MD"/>
        </w:rPr>
      </w:pPr>
      <w:r w:rsidRPr="00212145">
        <w:rPr>
          <w:rFonts w:asciiTheme="majorHAnsi" w:eastAsia="Times New Roman" w:hAnsiTheme="majorHAnsi" w:cstheme="majorHAnsi"/>
          <w:iCs/>
          <w:sz w:val="24"/>
          <w:szCs w:val="24"/>
          <w:lang w:val="ro-MD"/>
        </w:rPr>
        <w:t>Se atestă că soldul mijloacelor bănești în conturile bugetului de</w:t>
      </w:r>
      <w:r w:rsidR="009E3148" w:rsidRPr="00212145">
        <w:rPr>
          <w:rFonts w:asciiTheme="majorHAnsi" w:eastAsia="Times New Roman" w:hAnsiTheme="majorHAnsi" w:cstheme="majorHAnsi"/>
          <w:iCs/>
          <w:sz w:val="24"/>
          <w:szCs w:val="24"/>
          <w:lang w:val="ro-MD"/>
        </w:rPr>
        <w:t xml:space="preserve"> stat este constituit din:</w:t>
      </w:r>
      <w:r w:rsidRPr="00212145">
        <w:rPr>
          <w:rFonts w:asciiTheme="majorHAnsi" w:eastAsia="Times New Roman" w:hAnsiTheme="majorHAnsi" w:cstheme="majorHAnsi"/>
          <w:iCs/>
          <w:sz w:val="24"/>
          <w:szCs w:val="24"/>
          <w:lang w:val="ro-MD"/>
        </w:rPr>
        <w:t xml:space="preserve"> </w:t>
      </w:r>
      <w:r w:rsidRPr="00212145">
        <w:rPr>
          <w:rFonts w:asciiTheme="majorHAnsi" w:eastAsia="Times New Roman" w:hAnsiTheme="majorHAnsi" w:cstheme="majorHAnsi"/>
          <w:i/>
          <w:iCs/>
          <w:sz w:val="24"/>
          <w:szCs w:val="24"/>
          <w:lang w:val="ro-MD"/>
        </w:rPr>
        <w:t xml:space="preserve">i) </w:t>
      </w:r>
      <w:r w:rsidRPr="00212145">
        <w:rPr>
          <w:rFonts w:asciiTheme="majorHAnsi" w:eastAsia="Times New Roman" w:hAnsiTheme="majorHAnsi" w:cstheme="majorHAnsi"/>
          <w:iCs/>
          <w:sz w:val="24"/>
          <w:szCs w:val="24"/>
          <w:lang w:val="ro-MD"/>
        </w:rPr>
        <w:t xml:space="preserve">soldurile mijloacelor bugetare – 3 156,7 mil. </w:t>
      </w:r>
      <w:r w:rsidR="007160B9" w:rsidRPr="00212145">
        <w:rPr>
          <w:rFonts w:asciiTheme="majorHAnsi" w:eastAsia="Times New Roman" w:hAnsiTheme="majorHAnsi" w:cstheme="majorHAnsi"/>
          <w:iCs/>
          <w:sz w:val="24"/>
          <w:szCs w:val="24"/>
          <w:lang w:val="ro-MD"/>
        </w:rPr>
        <w:t>MDL</w:t>
      </w:r>
      <w:r w:rsidRPr="00212145">
        <w:rPr>
          <w:rFonts w:asciiTheme="majorHAnsi" w:eastAsia="Times New Roman" w:hAnsiTheme="majorHAnsi" w:cstheme="majorHAnsi"/>
          <w:iCs/>
          <w:sz w:val="24"/>
          <w:szCs w:val="24"/>
          <w:lang w:val="ro-MD"/>
        </w:rPr>
        <w:t xml:space="preserve">, inclusiv rezerva de lichidități </w:t>
      </w:r>
      <w:r w:rsidR="00EA6FDE" w:rsidRPr="00212145">
        <w:rPr>
          <w:rFonts w:asciiTheme="majorHAnsi" w:eastAsia="Times New Roman" w:hAnsiTheme="majorHAnsi" w:cstheme="majorHAnsi"/>
          <w:iCs/>
          <w:sz w:val="24"/>
          <w:szCs w:val="24"/>
          <w:lang w:val="ro-MD"/>
        </w:rPr>
        <w:t xml:space="preserve">în sumă de </w:t>
      </w:r>
      <w:r w:rsidRPr="00212145">
        <w:rPr>
          <w:rFonts w:asciiTheme="majorHAnsi" w:eastAsia="Times New Roman" w:hAnsiTheme="majorHAnsi" w:cstheme="majorHAnsi"/>
          <w:iCs/>
          <w:sz w:val="24"/>
          <w:szCs w:val="24"/>
          <w:lang w:val="ro-MD"/>
        </w:rPr>
        <w:t>598,9 mil.</w:t>
      </w:r>
      <w:r w:rsidR="004F20E0" w:rsidRPr="00212145">
        <w:rPr>
          <w:rFonts w:asciiTheme="majorHAnsi" w:eastAsia="Times New Roman" w:hAnsiTheme="majorHAnsi" w:cstheme="majorHAnsi"/>
          <w:iCs/>
          <w:sz w:val="24"/>
          <w:szCs w:val="24"/>
          <w:lang w:val="ro-MD"/>
        </w:rPr>
        <w:t xml:space="preserve"> </w:t>
      </w:r>
      <w:r w:rsidR="007160B9" w:rsidRPr="00212145">
        <w:rPr>
          <w:rFonts w:asciiTheme="majorHAnsi" w:eastAsia="Times New Roman" w:hAnsiTheme="majorHAnsi" w:cstheme="majorHAnsi"/>
          <w:iCs/>
          <w:sz w:val="24"/>
          <w:szCs w:val="24"/>
          <w:lang w:val="ro-MD"/>
        </w:rPr>
        <w:t>MDL</w:t>
      </w:r>
      <w:r w:rsidR="008A4595" w:rsidRPr="00212145">
        <w:rPr>
          <w:rFonts w:asciiTheme="majorHAnsi" w:eastAsia="Times New Roman" w:hAnsiTheme="majorHAnsi" w:cstheme="majorHAnsi"/>
          <w:iCs/>
          <w:sz w:val="24"/>
          <w:szCs w:val="24"/>
          <w:lang w:val="ro-MD"/>
        </w:rPr>
        <w:t xml:space="preserve"> (depozitate în conturile BNM)</w:t>
      </w:r>
      <w:r w:rsidRPr="00212145">
        <w:rPr>
          <w:rFonts w:asciiTheme="majorHAnsi" w:eastAsia="Times New Roman" w:hAnsiTheme="majorHAnsi" w:cstheme="majorHAnsi"/>
          <w:iCs/>
          <w:sz w:val="24"/>
          <w:szCs w:val="24"/>
          <w:lang w:val="ro-MD"/>
        </w:rPr>
        <w:t xml:space="preserve"> și</w:t>
      </w:r>
      <w:r w:rsidR="00793C62" w:rsidRPr="00212145">
        <w:rPr>
          <w:rFonts w:asciiTheme="majorHAnsi" w:eastAsia="Times New Roman" w:hAnsiTheme="majorHAnsi" w:cstheme="majorHAnsi"/>
          <w:iCs/>
          <w:sz w:val="24"/>
          <w:szCs w:val="24"/>
          <w:lang w:val="ro-MD"/>
        </w:rPr>
        <w:t xml:space="preserve"> </w:t>
      </w:r>
      <w:r w:rsidRPr="00212145">
        <w:rPr>
          <w:rFonts w:asciiTheme="majorHAnsi" w:eastAsia="Times New Roman" w:hAnsiTheme="majorHAnsi" w:cstheme="majorHAnsi"/>
          <w:i/>
          <w:iCs/>
          <w:sz w:val="24"/>
          <w:szCs w:val="24"/>
          <w:lang w:val="ro-MD"/>
        </w:rPr>
        <w:t>ii)</w:t>
      </w:r>
      <w:r w:rsidRPr="00212145">
        <w:rPr>
          <w:rFonts w:asciiTheme="majorHAnsi" w:eastAsia="Times New Roman" w:hAnsiTheme="majorHAnsi" w:cstheme="majorHAnsi"/>
          <w:iCs/>
          <w:sz w:val="24"/>
          <w:szCs w:val="24"/>
          <w:lang w:val="ro-MD"/>
        </w:rPr>
        <w:t xml:space="preserve"> soldurile proiectelor finanțate din surse externe </w:t>
      </w:r>
      <w:r w:rsidR="00EA6FDE" w:rsidRPr="00212145">
        <w:rPr>
          <w:rFonts w:asciiTheme="majorHAnsi" w:eastAsia="Times New Roman" w:hAnsiTheme="majorHAnsi" w:cstheme="majorHAnsi"/>
          <w:iCs/>
          <w:sz w:val="24"/>
          <w:szCs w:val="24"/>
          <w:lang w:val="ro-MD"/>
        </w:rPr>
        <w:t>în valoare de</w:t>
      </w:r>
      <w:r w:rsidRPr="00212145">
        <w:rPr>
          <w:rFonts w:asciiTheme="majorHAnsi" w:eastAsia="Times New Roman" w:hAnsiTheme="majorHAnsi" w:cstheme="majorHAnsi"/>
          <w:iCs/>
          <w:sz w:val="24"/>
          <w:szCs w:val="24"/>
          <w:lang w:val="ro-MD"/>
        </w:rPr>
        <w:t xml:space="preserve"> 1 142,4 mil. </w:t>
      </w:r>
      <w:r w:rsidR="007160B9" w:rsidRPr="00212145">
        <w:rPr>
          <w:rFonts w:asciiTheme="majorHAnsi" w:eastAsia="Times New Roman" w:hAnsiTheme="majorHAnsi" w:cstheme="majorHAnsi"/>
          <w:iCs/>
          <w:sz w:val="24"/>
          <w:szCs w:val="24"/>
          <w:lang w:val="ro-MD"/>
        </w:rPr>
        <w:t>MDL</w:t>
      </w:r>
      <w:r w:rsidRPr="00212145">
        <w:rPr>
          <w:rFonts w:asciiTheme="majorHAnsi" w:eastAsia="Times New Roman" w:hAnsiTheme="majorHAnsi" w:cstheme="majorHAnsi"/>
          <w:iCs/>
          <w:sz w:val="24"/>
          <w:szCs w:val="24"/>
          <w:lang w:val="ro-MD"/>
        </w:rPr>
        <w:t>.</w:t>
      </w:r>
      <w:r w:rsidR="00793C62" w:rsidRPr="00212145">
        <w:rPr>
          <w:rFonts w:asciiTheme="majorHAnsi" w:eastAsia="Times New Roman" w:hAnsiTheme="majorHAnsi" w:cstheme="majorHAnsi"/>
          <w:iCs/>
          <w:sz w:val="24"/>
          <w:szCs w:val="24"/>
          <w:lang w:val="ro-MD"/>
        </w:rPr>
        <w:t xml:space="preserve"> </w:t>
      </w:r>
      <w:r w:rsidRPr="00212145">
        <w:rPr>
          <w:rFonts w:asciiTheme="majorHAnsi" w:eastAsia="Times New Roman" w:hAnsiTheme="majorHAnsi" w:cstheme="majorHAnsi"/>
          <w:iCs/>
          <w:sz w:val="24"/>
          <w:szCs w:val="24"/>
          <w:lang w:val="ro-MD"/>
        </w:rPr>
        <w:t xml:space="preserve"> </w:t>
      </w:r>
    </w:p>
    <w:p w:rsidR="00463CB3" w:rsidRPr="00212145" w:rsidRDefault="00463CB3" w:rsidP="006D31FF">
      <w:pPr>
        <w:tabs>
          <w:tab w:val="left" w:pos="0"/>
        </w:tabs>
        <w:spacing w:after="0" w:line="276" w:lineRule="auto"/>
        <w:ind w:firstLine="709"/>
        <w:jc w:val="both"/>
        <w:rPr>
          <w:rFonts w:asciiTheme="majorHAnsi" w:eastAsia="Times New Roman" w:hAnsiTheme="majorHAnsi" w:cstheme="majorHAnsi"/>
          <w:iCs/>
          <w:sz w:val="24"/>
          <w:szCs w:val="24"/>
          <w:lang w:val="ro-MD"/>
        </w:rPr>
      </w:pPr>
      <w:r w:rsidRPr="00212145">
        <w:rPr>
          <w:rFonts w:asciiTheme="majorHAnsi" w:eastAsia="Times New Roman" w:hAnsiTheme="majorHAnsi" w:cstheme="majorHAnsi"/>
          <w:iCs/>
          <w:sz w:val="24"/>
          <w:szCs w:val="24"/>
          <w:lang w:val="ro-MD"/>
        </w:rPr>
        <w:t>Totodată, soldurile mijloacelor bănești ale bugetului de stat sunt înregistrate în:</w:t>
      </w:r>
    </w:p>
    <w:p w:rsidR="004F00B9" w:rsidRDefault="00463CB3" w:rsidP="00463CB3">
      <w:pPr>
        <w:tabs>
          <w:tab w:val="left" w:pos="0"/>
        </w:tabs>
        <w:spacing w:after="0" w:line="276" w:lineRule="auto"/>
        <w:ind w:firstLine="709"/>
        <w:jc w:val="both"/>
        <w:rPr>
          <w:rFonts w:asciiTheme="majorHAnsi" w:eastAsia="Times New Roman" w:hAnsiTheme="majorHAnsi" w:cstheme="majorHAnsi"/>
          <w:iCs/>
          <w:sz w:val="24"/>
          <w:szCs w:val="24"/>
          <w:lang w:val="ro-MD"/>
        </w:rPr>
      </w:pPr>
      <w:r w:rsidRPr="00212145">
        <w:rPr>
          <w:rFonts w:asciiTheme="majorHAnsi" w:eastAsia="Times New Roman" w:hAnsiTheme="majorHAnsi" w:cstheme="majorHAnsi"/>
          <w:iCs/>
          <w:sz w:val="24"/>
          <w:szCs w:val="24"/>
          <w:lang w:val="ro-MD"/>
        </w:rPr>
        <w:t xml:space="preserve"> </w:t>
      </w:r>
      <w:r w:rsidRPr="00212145">
        <w:rPr>
          <w:rFonts w:asciiTheme="majorHAnsi" w:eastAsia="Times New Roman" w:hAnsiTheme="majorHAnsi" w:cstheme="majorHAnsi"/>
          <w:i/>
          <w:iCs/>
          <w:sz w:val="24"/>
          <w:szCs w:val="24"/>
          <w:lang w:val="ro-MD"/>
        </w:rPr>
        <w:t>i)</w:t>
      </w:r>
      <w:r w:rsidRPr="00212145">
        <w:rPr>
          <w:rFonts w:asciiTheme="majorHAnsi" w:eastAsia="Times New Roman" w:hAnsiTheme="majorHAnsi" w:cstheme="majorHAnsi"/>
          <w:iCs/>
          <w:sz w:val="24"/>
          <w:szCs w:val="24"/>
          <w:lang w:val="ro-MD"/>
        </w:rPr>
        <w:t xml:space="preserve"> </w:t>
      </w:r>
      <w:r w:rsidR="006D31FF" w:rsidRPr="00212145">
        <w:rPr>
          <w:rFonts w:asciiTheme="majorHAnsi" w:eastAsia="Times New Roman" w:hAnsiTheme="majorHAnsi" w:cstheme="majorHAnsi"/>
          <w:iCs/>
          <w:sz w:val="24"/>
          <w:szCs w:val="24"/>
          <w:lang w:val="ro-MD"/>
        </w:rPr>
        <w:t>conturile curente</w:t>
      </w:r>
      <w:r w:rsidRPr="00212145">
        <w:rPr>
          <w:rFonts w:asciiTheme="majorHAnsi" w:eastAsia="Times New Roman" w:hAnsiTheme="majorHAnsi" w:cstheme="majorHAnsi"/>
          <w:iCs/>
          <w:sz w:val="24"/>
          <w:szCs w:val="24"/>
          <w:lang w:val="ro-MD"/>
        </w:rPr>
        <w:t xml:space="preserve"> </w:t>
      </w:r>
      <w:r w:rsidR="00EA6FDE" w:rsidRPr="00212145">
        <w:rPr>
          <w:rFonts w:asciiTheme="majorHAnsi" w:eastAsia="Times New Roman" w:hAnsiTheme="majorHAnsi" w:cstheme="majorHAnsi"/>
          <w:iCs/>
          <w:sz w:val="24"/>
          <w:szCs w:val="24"/>
          <w:lang w:val="ro-MD"/>
        </w:rPr>
        <w:t>ale</w:t>
      </w:r>
      <w:r w:rsidRPr="00212145">
        <w:rPr>
          <w:rFonts w:asciiTheme="majorHAnsi" w:eastAsia="Times New Roman" w:hAnsiTheme="majorHAnsi" w:cstheme="majorHAnsi"/>
          <w:iCs/>
          <w:sz w:val="24"/>
          <w:szCs w:val="24"/>
          <w:lang w:val="ro-MD"/>
        </w:rPr>
        <w:t xml:space="preserve"> sistemul</w:t>
      </w:r>
      <w:r w:rsidR="00EA6FDE" w:rsidRPr="00212145">
        <w:rPr>
          <w:rFonts w:asciiTheme="majorHAnsi" w:eastAsia="Times New Roman" w:hAnsiTheme="majorHAnsi" w:cstheme="majorHAnsi"/>
          <w:iCs/>
          <w:sz w:val="24"/>
          <w:szCs w:val="24"/>
          <w:lang w:val="ro-MD"/>
        </w:rPr>
        <w:t>ui</w:t>
      </w:r>
      <w:r w:rsidRPr="00212145">
        <w:rPr>
          <w:rFonts w:asciiTheme="majorHAnsi" w:eastAsia="Times New Roman" w:hAnsiTheme="majorHAnsi" w:cstheme="majorHAnsi"/>
          <w:iCs/>
          <w:sz w:val="24"/>
          <w:szCs w:val="24"/>
          <w:lang w:val="ro-MD"/>
        </w:rPr>
        <w:t xml:space="preserve"> </w:t>
      </w:r>
      <w:proofErr w:type="spellStart"/>
      <w:r w:rsidRPr="00212145">
        <w:rPr>
          <w:rFonts w:asciiTheme="majorHAnsi" w:eastAsia="Times New Roman" w:hAnsiTheme="majorHAnsi" w:cstheme="majorHAnsi"/>
          <w:iCs/>
          <w:sz w:val="24"/>
          <w:szCs w:val="24"/>
          <w:lang w:val="ro-MD"/>
        </w:rPr>
        <w:t>t</w:t>
      </w:r>
      <w:r w:rsidR="006D31FF" w:rsidRPr="00212145">
        <w:rPr>
          <w:rFonts w:asciiTheme="majorHAnsi" w:eastAsia="Times New Roman" w:hAnsiTheme="majorHAnsi" w:cstheme="majorHAnsi"/>
          <w:iCs/>
          <w:sz w:val="24"/>
          <w:szCs w:val="24"/>
          <w:lang w:val="ro-MD"/>
        </w:rPr>
        <w:t>rezorerial</w:t>
      </w:r>
      <w:proofErr w:type="spellEnd"/>
      <w:r w:rsidR="006D31FF" w:rsidRPr="00212145">
        <w:rPr>
          <w:rFonts w:asciiTheme="majorHAnsi" w:eastAsia="Times New Roman" w:hAnsiTheme="majorHAnsi" w:cstheme="majorHAnsi"/>
          <w:iCs/>
          <w:sz w:val="24"/>
          <w:szCs w:val="24"/>
          <w:lang w:val="ro-MD"/>
        </w:rPr>
        <w:t xml:space="preserve"> în monedă națională</w:t>
      </w:r>
      <w:r w:rsidR="00EA6FDE" w:rsidRPr="00212145">
        <w:rPr>
          <w:rFonts w:asciiTheme="majorHAnsi" w:eastAsia="Times New Roman" w:hAnsiTheme="majorHAnsi" w:cstheme="majorHAnsi"/>
          <w:iCs/>
          <w:sz w:val="24"/>
          <w:szCs w:val="24"/>
          <w:lang w:val="ro-MD"/>
        </w:rPr>
        <w:t>,</w:t>
      </w:r>
      <w:r w:rsidRPr="00212145">
        <w:rPr>
          <w:rFonts w:asciiTheme="majorHAnsi" w:eastAsia="Times New Roman" w:hAnsiTheme="majorHAnsi" w:cstheme="majorHAnsi"/>
          <w:iCs/>
          <w:sz w:val="24"/>
          <w:szCs w:val="24"/>
          <w:lang w:val="ro-MD"/>
        </w:rPr>
        <w:t xml:space="preserve"> în volum de 795,0 mil. </w:t>
      </w:r>
      <w:r w:rsidR="007160B9" w:rsidRPr="00212145">
        <w:rPr>
          <w:rFonts w:asciiTheme="majorHAnsi" w:eastAsia="Times New Roman" w:hAnsiTheme="majorHAnsi" w:cstheme="majorHAnsi"/>
          <w:iCs/>
          <w:sz w:val="24"/>
          <w:szCs w:val="24"/>
          <w:lang w:val="ro-MD"/>
        </w:rPr>
        <w:t>MDL</w:t>
      </w:r>
      <w:r w:rsidRPr="00212145">
        <w:rPr>
          <w:rFonts w:asciiTheme="majorHAnsi" w:eastAsia="Times New Roman" w:hAnsiTheme="majorHAnsi" w:cstheme="majorHAnsi"/>
          <w:iCs/>
          <w:sz w:val="24"/>
          <w:szCs w:val="24"/>
          <w:lang w:val="ro-MD"/>
        </w:rPr>
        <w:t xml:space="preserve">; </w:t>
      </w:r>
      <w:r w:rsidRPr="00212145">
        <w:rPr>
          <w:rFonts w:asciiTheme="majorHAnsi" w:eastAsia="Times New Roman" w:hAnsiTheme="majorHAnsi" w:cstheme="majorHAnsi"/>
          <w:i/>
          <w:iCs/>
          <w:sz w:val="24"/>
          <w:szCs w:val="24"/>
          <w:lang w:val="ro-MD"/>
        </w:rPr>
        <w:t>ii)</w:t>
      </w:r>
      <w:r w:rsidRPr="00212145">
        <w:rPr>
          <w:rFonts w:asciiTheme="majorHAnsi" w:eastAsia="Times New Roman" w:hAnsiTheme="majorHAnsi" w:cstheme="majorHAnsi"/>
          <w:iCs/>
          <w:sz w:val="24"/>
          <w:szCs w:val="24"/>
          <w:lang w:val="ro-MD"/>
        </w:rPr>
        <w:t xml:space="preserve"> conturile BNM </w:t>
      </w:r>
      <w:r w:rsidR="006D31FF" w:rsidRPr="00212145">
        <w:rPr>
          <w:rFonts w:asciiTheme="majorHAnsi" w:eastAsia="Times New Roman" w:hAnsiTheme="majorHAnsi" w:cstheme="majorHAnsi"/>
          <w:iCs/>
          <w:sz w:val="24"/>
          <w:szCs w:val="24"/>
          <w:lang w:val="ro-MD"/>
        </w:rPr>
        <w:t>în valută străină</w:t>
      </w:r>
      <w:r w:rsidR="00EA6FDE" w:rsidRPr="00212145">
        <w:rPr>
          <w:rFonts w:asciiTheme="majorHAnsi" w:eastAsia="Times New Roman" w:hAnsiTheme="majorHAnsi" w:cstheme="majorHAnsi"/>
          <w:iCs/>
          <w:sz w:val="24"/>
          <w:szCs w:val="24"/>
          <w:lang w:val="ro-MD"/>
        </w:rPr>
        <w:t>,</w:t>
      </w:r>
      <w:r w:rsidRPr="00212145">
        <w:rPr>
          <w:rFonts w:asciiTheme="majorHAnsi" w:eastAsia="Times New Roman" w:hAnsiTheme="majorHAnsi" w:cstheme="majorHAnsi"/>
          <w:iCs/>
          <w:sz w:val="24"/>
          <w:szCs w:val="24"/>
          <w:lang w:val="ro-MD"/>
        </w:rPr>
        <w:t xml:space="preserve"> în sumă de</w:t>
      </w:r>
      <w:r w:rsidR="004C3D84">
        <w:rPr>
          <w:rFonts w:asciiTheme="majorHAnsi" w:eastAsia="Times New Roman" w:hAnsiTheme="majorHAnsi" w:cstheme="majorHAnsi"/>
          <w:iCs/>
          <w:sz w:val="24"/>
          <w:szCs w:val="24"/>
          <w:lang w:val="ro-MD"/>
        </w:rPr>
        <w:t xml:space="preserve"> </w:t>
      </w:r>
      <w:r w:rsidRPr="00CC05D7">
        <w:rPr>
          <w:rFonts w:asciiTheme="majorHAnsi" w:eastAsia="Times New Roman" w:hAnsiTheme="majorHAnsi" w:cstheme="majorHAnsi"/>
          <w:iCs/>
          <w:sz w:val="24"/>
          <w:szCs w:val="24"/>
          <w:lang w:val="ro-MD"/>
        </w:rPr>
        <w:t>2</w:t>
      </w:r>
      <w:r>
        <w:rPr>
          <w:rFonts w:asciiTheme="majorHAnsi" w:eastAsia="Times New Roman" w:hAnsiTheme="majorHAnsi" w:cstheme="majorHAnsi"/>
          <w:iCs/>
          <w:sz w:val="24"/>
          <w:szCs w:val="24"/>
          <w:lang w:val="ro-MD"/>
        </w:rPr>
        <w:t xml:space="preserve"> </w:t>
      </w:r>
      <w:r w:rsidRPr="00CC05D7">
        <w:rPr>
          <w:rFonts w:asciiTheme="majorHAnsi" w:eastAsia="Times New Roman" w:hAnsiTheme="majorHAnsi" w:cstheme="majorHAnsi"/>
          <w:iCs/>
          <w:sz w:val="24"/>
          <w:szCs w:val="24"/>
          <w:lang w:val="ro-MD"/>
        </w:rPr>
        <w:t>787,3 mil.</w:t>
      </w:r>
      <w:r>
        <w:rPr>
          <w:rFonts w:asciiTheme="majorHAnsi" w:eastAsia="Times New Roman" w:hAnsiTheme="majorHAnsi" w:cstheme="majorHAnsi"/>
          <w:iCs/>
          <w:sz w:val="24"/>
          <w:szCs w:val="24"/>
          <w:lang w:val="ro-MD"/>
        </w:rPr>
        <w:t xml:space="preserve"> </w:t>
      </w:r>
      <w:r w:rsidR="007160B9">
        <w:rPr>
          <w:rFonts w:asciiTheme="majorHAnsi" w:eastAsia="Times New Roman" w:hAnsiTheme="majorHAnsi" w:cstheme="majorHAnsi"/>
          <w:iCs/>
          <w:sz w:val="24"/>
          <w:szCs w:val="24"/>
          <w:lang w:val="ro-MD"/>
        </w:rPr>
        <w:t>MDL</w:t>
      </w:r>
      <w:r w:rsidRPr="00CC05D7">
        <w:rPr>
          <w:rFonts w:asciiTheme="majorHAnsi" w:eastAsia="Times New Roman" w:hAnsiTheme="majorHAnsi" w:cstheme="majorHAnsi"/>
          <w:iCs/>
          <w:sz w:val="24"/>
          <w:szCs w:val="24"/>
          <w:lang w:val="ro-MD"/>
        </w:rPr>
        <w:t xml:space="preserve">; </w:t>
      </w:r>
      <w:r w:rsidRPr="00DC7092">
        <w:rPr>
          <w:rFonts w:asciiTheme="majorHAnsi" w:eastAsia="Times New Roman" w:hAnsiTheme="majorHAnsi" w:cstheme="majorHAnsi"/>
          <w:i/>
          <w:iCs/>
          <w:sz w:val="24"/>
          <w:szCs w:val="24"/>
          <w:lang w:val="ro-MD"/>
        </w:rPr>
        <w:t>ii</w:t>
      </w:r>
      <w:r>
        <w:rPr>
          <w:rFonts w:asciiTheme="majorHAnsi" w:eastAsia="Times New Roman" w:hAnsiTheme="majorHAnsi" w:cstheme="majorHAnsi"/>
          <w:i/>
          <w:iCs/>
          <w:sz w:val="24"/>
          <w:szCs w:val="24"/>
          <w:lang w:val="ro-MD"/>
        </w:rPr>
        <w:t>i</w:t>
      </w:r>
      <w:r w:rsidRPr="00DC7092">
        <w:rPr>
          <w:rFonts w:asciiTheme="majorHAnsi" w:eastAsia="Times New Roman" w:hAnsiTheme="majorHAnsi" w:cstheme="majorHAnsi"/>
          <w:i/>
          <w:iCs/>
          <w:sz w:val="24"/>
          <w:szCs w:val="24"/>
          <w:lang w:val="ro-MD"/>
        </w:rPr>
        <w:t>)</w:t>
      </w:r>
      <w:r w:rsidRPr="00CC05D7">
        <w:rPr>
          <w:rFonts w:asciiTheme="majorHAnsi" w:eastAsia="Times New Roman" w:hAnsiTheme="majorHAnsi" w:cstheme="majorHAnsi"/>
          <w:iCs/>
          <w:sz w:val="24"/>
          <w:szCs w:val="24"/>
          <w:lang w:val="ro-MD"/>
        </w:rPr>
        <w:t xml:space="preserve"> conturi</w:t>
      </w:r>
      <w:r w:rsidR="00EA6FDE">
        <w:rPr>
          <w:rFonts w:asciiTheme="majorHAnsi" w:eastAsia="Times New Roman" w:hAnsiTheme="majorHAnsi" w:cstheme="majorHAnsi"/>
          <w:iCs/>
          <w:sz w:val="24"/>
          <w:szCs w:val="24"/>
          <w:lang w:val="ro-MD"/>
        </w:rPr>
        <w:t>le</w:t>
      </w:r>
      <w:r w:rsidRPr="00CC05D7">
        <w:rPr>
          <w:rFonts w:asciiTheme="majorHAnsi" w:eastAsia="Times New Roman" w:hAnsiTheme="majorHAnsi" w:cstheme="majorHAnsi"/>
          <w:iCs/>
          <w:sz w:val="24"/>
          <w:szCs w:val="24"/>
          <w:lang w:val="ro-MD"/>
        </w:rPr>
        <w:t xml:space="preserve"> curente în afara sistemului </w:t>
      </w:r>
      <w:proofErr w:type="spellStart"/>
      <w:r w:rsidRPr="00CC05D7">
        <w:rPr>
          <w:rFonts w:asciiTheme="majorHAnsi" w:eastAsia="Times New Roman" w:hAnsiTheme="majorHAnsi" w:cstheme="majorHAnsi"/>
          <w:iCs/>
          <w:sz w:val="24"/>
          <w:szCs w:val="24"/>
          <w:lang w:val="ro-MD"/>
        </w:rPr>
        <w:t>trezorerial</w:t>
      </w:r>
      <w:proofErr w:type="spellEnd"/>
      <w:r w:rsidRPr="00CC05D7">
        <w:rPr>
          <w:rFonts w:asciiTheme="majorHAnsi" w:eastAsia="Times New Roman" w:hAnsiTheme="majorHAnsi" w:cstheme="majorHAnsi"/>
          <w:iCs/>
          <w:sz w:val="24"/>
          <w:szCs w:val="24"/>
          <w:lang w:val="ro-MD"/>
        </w:rPr>
        <w:t xml:space="preserve"> în monedă națională</w:t>
      </w:r>
      <w:r w:rsidR="00EA6FDE">
        <w:rPr>
          <w:rFonts w:asciiTheme="majorHAnsi" w:eastAsia="Times New Roman" w:hAnsiTheme="majorHAnsi" w:cstheme="majorHAnsi"/>
          <w:iCs/>
          <w:sz w:val="24"/>
          <w:szCs w:val="24"/>
          <w:lang w:val="ro-MD"/>
        </w:rPr>
        <w:t>,</w:t>
      </w:r>
      <w:r>
        <w:rPr>
          <w:rFonts w:asciiTheme="majorHAnsi" w:eastAsia="Times New Roman" w:hAnsiTheme="majorHAnsi" w:cstheme="majorHAnsi"/>
          <w:iCs/>
          <w:sz w:val="24"/>
          <w:szCs w:val="24"/>
          <w:lang w:val="ro-MD"/>
        </w:rPr>
        <w:t xml:space="preserve"> </w:t>
      </w:r>
      <w:r w:rsidR="00EA6FDE">
        <w:rPr>
          <w:rFonts w:asciiTheme="majorHAnsi" w:eastAsia="Times New Roman" w:hAnsiTheme="majorHAnsi" w:cstheme="majorHAnsi"/>
          <w:iCs/>
          <w:sz w:val="24"/>
          <w:szCs w:val="24"/>
          <w:lang w:val="ro-MD"/>
        </w:rPr>
        <w:t>în sumă de</w:t>
      </w:r>
      <w:r>
        <w:rPr>
          <w:rFonts w:asciiTheme="majorHAnsi" w:eastAsia="Times New Roman" w:hAnsiTheme="majorHAnsi" w:cstheme="majorHAnsi"/>
          <w:iCs/>
          <w:sz w:val="24"/>
          <w:szCs w:val="24"/>
          <w:lang w:val="ro-MD"/>
        </w:rPr>
        <w:t xml:space="preserve"> </w:t>
      </w:r>
      <w:r w:rsidRPr="00CC05D7">
        <w:rPr>
          <w:rFonts w:asciiTheme="majorHAnsi" w:eastAsia="Times New Roman" w:hAnsiTheme="majorHAnsi" w:cstheme="majorHAnsi"/>
          <w:iCs/>
          <w:sz w:val="24"/>
          <w:szCs w:val="24"/>
          <w:lang w:val="ro-MD"/>
        </w:rPr>
        <w:t>117,8 mil.</w:t>
      </w:r>
      <w:r>
        <w:rPr>
          <w:rFonts w:asciiTheme="majorHAnsi" w:eastAsia="Times New Roman" w:hAnsiTheme="majorHAnsi" w:cstheme="majorHAnsi"/>
          <w:iCs/>
          <w:sz w:val="24"/>
          <w:szCs w:val="24"/>
          <w:lang w:val="ro-MD"/>
        </w:rPr>
        <w:t xml:space="preserve"> </w:t>
      </w:r>
      <w:r w:rsidR="007160B9">
        <w:rPr>
          <w:rFonts w:asciiTheme="majorHAnsi" w:eastAsia="Times New Roman" w:hAnsiTheme="majorHAnsi" w:cstheme="majorHAnsi"/>
          <w:iCs/>
          <w:sz w:val="24"/>
          <w:szCs w:val="24"/>
          <w:lang w:val="ro-MD"/>
        </w:rPr>
        <w:t>MDL</w:t>
      </w:r>
      <w:r>
        <w:rPr>
          <w:rFonts w:asciiTheme="majorHAnsi" w:eastAsia="Times New Roman" w:hAnsiTheme="majorHAnsi" w:cstheme="majorHAnsi"/>
          <w:iCs/>
          <w:sz w:val="24"/>
          <w:szCs w:val="24"/>
          <w:lang w:val="ro-MD"/>
        </w:rPr>
        <w:t xml:space="preserve">, și </w:t>
      </w:r>
      <w:r>
        <w:rPr>
          <w:rFonts w:asciiTheme="majorHAnsi" w:eastAsia="Times New Roman" w:hAnsiTheme="majorHAnsi" w:cstheme="majorHAnsi"/>
          <w:i/>
          <w:iCs/>
          <w:sz w:val="24"/>
          <w:szCs w:val="24"/>
          <w:lang w:val="ro-MD"/>
        </w:rPr>
        <w:t>iv</w:t>
      </w:r>
      <w:r w:rsidRPr="00DC7092">
        <w:rPr>
          <w:rFonts w:asciiTheme="majorHAnsi" w:eastAsia="Times New Roman" w:hAnsiTheme="majorHAnsi" w:cstheme="majorHAnsi"/>
          <w:i/>
          <w:iCs/>
          <w:sz w:val="24"/>
          <w:szCs w:val="24"/>
          <w:lang w:val="ro-MD"/>
        </w:rPr>
        <w:t>)</w:t>
      </w:r>
      <w:r w:rsidRPr="00CC05D7">
        <w:rPr>
          <w:rFonts w:asciiTheme="majorHAnsi" w:eastAsia="Times New Roman" w:hAnsiTheme="majorHAnsi" w:cstheme="majorHAnsi"/>
          <w:iCs/>
          <w:sz w:val="24"/>
          <w:szCs w:val="24"/>
          <w:lang w:val="ro-MD"/>
        </w:rPr>
        <w:t xml:space="preserve"> cont</w:t>
      </w:r>
      <w:r w:rsidR="00EA6FDE">
        <w:rPr>
          <w:rFonts w:asciiTheme="majorHAnsi" w:eastAsia="Times New Roman" w:hAnsiTheme="majorHAnsi" w:cstheme="majorHAnsi"/>
          <w:iCs/>
          <w:sz w:val="24"/>
          <w:szCs w:val="24"/>
          <w:lang w:val="ro-MD"/>
        </w:rPr>
        <w:t>ul</w:t>
      </w:r>
      <w:r w:rsidRPr="00CC05D7">
        <w:rPr>
          <w:rFonts w:asciiTheme="majorHAnsi" w:eastAsia="Times New Roman" w:hAnsiTheme="majorHAnsi" w:cstheme="majorHAnsi"/>
          <w:iCs/>
          <w:sz w:val="24"/>
          <w:szCs w:val="24"/>
          <w:lang w:val="ro-MD"/>
        </w:rPr>
        <w:t xml:space="preserve"> de depozit în BNM </w:t>
      </w:r>
      <w:r w:rsidR="00EA6FDE">
        <w:rPr>
          <w:rFonts w:asciiTheme="majorHAnsi" w:eastAsia="Times New Roman" w:hAnsiTheme="majorHAnsi" w:cstheme="majorHAnsi"/>
          <w:iCs/>
          <w:sz w:val="24"/>
          <w:szCs w:val="24"/>
          <w:lang w:val="ro-MD"/>
        </w:rPr>
        <w:t>în sumă de</w:t>
      </w:r>
      <w:r w:rsidRPr="00CC05D7">
        <w:rPr>
          <w:rFonts w:asciiTheme="majorHAnsi" w:eastAsia="Times New Roman" w:hAnsiTheme="majorHAnsi" w:cstheme="majorHAnsi"/>
          <w:iCs/>
          <w:sz w:val="24"/>
          <w:szCs w:val="24"/>
          <w:lang w:val="ro-MD"/>
        </w:rPr>
        <w:t xml:space="preserve"> 598,9 mil.</w:t>
      </w:r>
      <w:r>
        <w:rPr>
          <w:rFonts w:asciiTheme="majorHAnsi" w:eastAsia="Times New Roman" w:hAnsiTheme="majorHAnsi" w:cstheme="majorHAnsi"/>
          <w:iCs/>
          <w:sz w:val="24"/>
          <w:szCs w:val="24"/>
          <w:lang w:val="ro-MD"/>
        </w:rPr>
        <w:t xml:space="preserve"> </w:t>
      </w:r>
      <w:r w:rsidR="007160B9">
        <w:rPr>
          <w:rFonts w:asciiTheme="majorHAnsi" w:eastAsia="Times New Roman" w:hAnsiTheme="majorHAnsi" w:cstheme="majorHAnsi"/>
          <w:iCs/>
          <w:sz w:val="24"/>
          <w:szCs w:val="24"/>
          <w:lang w:val="ro-MD"/>
        </w:rPr>
        <w:t>MDL</w:t>
      </w:r>
      <w:r>
        <w:rPr>
          <w:rFonts w:asciiTheme="majorHAnsi" w:eastAsia="Times New Roman" w:hAnsiTheme="majorHAnsi" w:cstheme="majorHAnsi"/>
          <w:iCs/>
          <w:sz w:val="24"/>
          <w:szCs w:val="24"/>
          <w:lang w:val="ro-MD"/>
        </w:rPr>
        <w:t>.</w:t>
      </w:r>
      <w:r w:rsidR="00793C62">
        <w:rPr>
          <w:rFonts w:asciiTheme="majorHAnsi" w:eastAsia="Times New Roman" w:hAnsiTheme="majorHAnsi" w:cstheme="majorHAnsi"/>
          <w:iCs/>
          <w:sz w:val="24"/>
          <w:szCs w:val="24"/>
          <w:lang w:val="ro-MD"/>
        </w:rPr>
        <w:t xml:space="preserve"> </w:t>
      </w:r>
    </w:p>
    <w:p w:rsidR="00370FED" w:rsidRPr="002B5751" w:rsidRDefault="00463CB3" w:rsidP="002B5751">
      <w:pPr>
        <w:tabs>
          <w:tab w:val="left" w:pos="0"/>
        </w:tabs>
        <w:spacing w:after="0" w:line="276" w:lineRule="auto"/>
        <w:ind w:firstLine="709"/>
        <w:jc w:val="both"/>
        <w:rPr>
          <w:rFonts w:asciiTheme="majorHAnsi" w:eastAsia="Times New Roman" w:hAnsiTheme="majorHAnsi" w:cstheme="majorHAnsi"/>
          <w:iCs/>
          <w:sz w:val="24"/>
          <w:szCs w:val="24"/>
          <w:lang w:val="ro-MD"/>
        </w:rPr>
      </w:pPr>
      <w:r w:rsidRPr="00CC05D7">
        <w:rPr>
          <w:rFonts w:asciiTheme="majorHAnsi" w:eastAsia="Times New Roman" w:hAnsiTheme="majorHAnsi" w:cstheme="majorHAnsi"/>
          <w:iCs/>
          <w:sz w:val="24"/>
          <w:szCs w:val="24"/>
          <w:lang w:val="ro-MD"/>
        </w:rPr>
        <w:t xml:space="preserve">Verificările auditului au </w:t>
      </w:r>
      <w:r w:rsidR="00EA6FDE">
        <w:rPr>
          <w:rFonts w:asciiTheme="majorHAnsi" w:eastAsia="Times New Roman" w:hAnsiTheme="majorHAnsi" w:cstheme="majorHAnsi"/>
          <w:iCs/>
          <w:sz w:val="24"/>
          <w:szCs w:val="24"/>
          <w:lang w:val="ro-MD"/>
        </w:rPr>
        <w:t>relevat</w:t>
      </w:r>
      <w:r w:rsidRPr="00CC05D7">
        <w:rPr>
          <w:rFonts w:asciiTheme="majorHAnsi" w:eastAsia="Times New Roman" w:hAnsiTheme="majorHAnsi" w:cstheme="majorHAnsi"/>
          <w:iCs/>
          <w:sz w:val="24"/>
          <w:szCs w:val="24"/>
          <w:lang w:val="ro-MD"/>
        </w:rPr>
        <w:t xml:space="preserve"> că soldurile mijloacelor bănești menționate sunt confirmate prin extras</w:t>
      </w:r>
      <w:r>
        <w:rPr>
          <w:rFonts w:asciiTheme="majorHAnsi" w:eastAsia="Times New Roman" w:hAnsiTheme="majorHAnsi" w:cstheme="majorHAnsi"/>
          <w:iCs/>
          <w:sz w:val="24"/>
          <w:szCs w:val="24"/>
          <w:lang w:val="ro-MD"/>
        </w:rPr>
        <w:t xml:space="preserve">ele bancare și </w:t>
      </w:r>
      <w:proofErr w:type="spellStart"/>
      <w:r>
        <w:rPr>
          <w:rFonts w:asciiTheme="majorHAnsi" w:eastAsia="Times New Roman" w:hAnsiTheme="majorHAnsi" w:cstheme="majorHAnsi"/>
          <w:iCs/>
          <w:sz w:val="24"/>
          <w:szCs w:val="24"/>
          <w:lang w:val="ro-MD"/>
        </w:rPr>
        <w:t>trezoreriale</w:t>
      </w:r>
      <w:proofErr w:type="spellEnd"/>
      <w:r>
        <w:rPr>
          <w:rFonts w:asciiTheme="majorHAnsi" w:eastAsia="Times New Roman" w:hAnsiTheme="majorHAnsi" w:cstheme="majorHAnsi"/>
          <w:iCs/>
          <w:sz w:val="24"/>
          <w:szCs w:val="24"/>
          <w:lang w:val="ro-MD"/>
        </w:rPr>
        <w:t>, ne</w:t>
      </w:r>
      <w:r w:rsidRPr="00CC05D7">
        <w:rPr>
          <w:rFonts w:asciiTheme="majorHAnsi" w:eastAsia="Times New Roman" w:hAnsiTheme="majorHAnsi" w:cstheme="majorHAnsi"/>
          <w:iCs/>
          <w:sz w:val="24"/>
          <w:szCs w:val="24"/>
          <w:lang w:val="ro-MD"/>
        </w:rPr>
        <w:t>fiind constatate abateri.</w:t>
      </w:r>
    </w:p>
    <w:p w:rsidR="00370FED" w:rsidRPr="00F61920" w:rsidRDefault="00370FED" w:rsidP="00CB0A2A">
      <w:pPr>
        <w:tabs>
          <w:tab w:val="left" w:pos="993"/>
        </w:tabs>
        <w:spacing w:after="0" w:line="276" w:lineRule="auto"/>
        <w:jc w:val="both"/>
        <w:rPr>
          <w:rFonts w:asciiTheme="majorHAnsi" w:hAnsiTheme="majorHAnsi" w:cstheme="majorHAnsi"/>
          <w:b/>
          <w:sz w:val="24"/>
          <w:szCs w:val="24"/>
          <w:lang w:val="ro-MD"/>
        </w:rPr>
      </w:pPr>
    </w:p>
    <w:p w:rsidR="00CB0A2A" w:rsidRDefault="00C22DF8" w:rsidP="005537C7">
      <w:pPr>
        <w:pStyle w:val="ListParagraph"/>
        <w:tabs>
          <w:tab w:val="left" w:pos="0"/>
        </w:tabs>
        <w:spacing w:after="0" w:line="276" w:lineRule="auto"/>
        <w:ind w:left="0"/>
        <w:jc w:val="both"/>
        <w:outlineLvl w:val="2"/>
        <w:rPr>
          <w:rFonts w:asciiTheme="majorHAnsi" w:hAnsiTheme="majorHAnsi" w:cstheme="majorHAnsi"/>
          <w:b/>
          <w:sz w:val="24"/>
          <w:szCs w:val="24"/>
          <w:lang w:val="ro-MD"/>
        </w:rPr>
      </w:pPr>
      <w:bookmarkStart w:id="16" w:name="_Toc8975718"/>
      <w:bookmarkStart w:id="17" w:name="_Toc10126088"/>
      <w:r>
        <w:rPr>
          <w:rFonts w:asciiTheme="majorHAnsi" w:hAnsiTheme="majorHAnsi" w:cstheme="majorHAnsi"/>
          <w:b/>
          <w:sz w:val="24"/>
          <w:szCs w:val="24"/>
          <w:lang w:val="ro-MD"/>
        </w:rPr>
        <w:t>3.2</w:t>
      </w:r>
      <w:r w:rsidR="005537C7">
        <w:rPr>
          <w:rFonts w:asciiTheme="majorHAnsi" w:hAnsiTheme="majorHAnsi" w:cstheme="majorHAnsi"/>
          <w:b/>
          <w:sz w:val="24"/>
          <w:szCs w:val="24"/>
          <w:lang w:val="ro-MD"/>
        </w:rPr>
        <w:t>.8</w:t>
      </w:r>
      <w:r w:rsidR="00CB0A2A">
        <w:rPr>
          <w:rFonts w:asciiTheme="majorHAnsi" w:hAnsiTheme="majorHAnsi" w:cstheme="majorHAnsi"/>
          <w:b/>
          <w:sz w:val="24"/>
          <w:szCs w:val="24"/>
          <w:lang w:val="ro-MD"/>
        </w:rPr>
        <w:t xml:space="preserve"> </w:t>
      </w:r>
      <w:bookmarkEnd w:id="16"/>
      <w:r w:rsidR="00CA4E28">
        <w:rPr>
          <w:rFonts w:asciiTheme="majorHAnsi" w:hAnsiTheme="majorHAnsi" w:cstheme="majorHAnsi"/>
          <w:b/>
          <w:sz w:val="24"/>
          <w:szCs w:val="24"/>
          <w:lang w:val="ro-MD"/>
        </w:rPr>
        <w:t xml:space="preserve">Rezultatul execuției </w:t>
      </w:r>
      <w:r w:rsidR="00E430E8">
        <w:rPr>
          <w:rFonts w:asciiTheme="majorHAnsi" w:hAnsiTheme="majorHAnsi" w:cstheme="majorHAnsi"/>
          <w:b/>
          <w:sz w:val="24"/>
          <w:szCs w:val="24"/>
          <w:lang w:val="ro-MD"/>
        </w:rPr>
        <w:t>bugetului de stat</w:t>
      </w:r>
      <w:r w:rsidR="00CA4E28">
        <w:rPr>
          <w:rFonts w:asciiTheme="majorHAnsi" w:hAnsiTheme="majorHAnsi" w:cstheme="majorHAnsi"/>
          <w:b/>
          <w:sz w:val="24"/>
          <w:szCs w:val="24"/>
          <w:lang w:val="ro-MD"/>
        </w:rPr>
        <w:t xml:space="preserve"> înregistrează un deficit de 2 275,6 mil. </w:t>
      </w:r>
      <w:r w:rsidR="007160B9">
        <w:rPr>
          <w:rFonts w:asciiTheme="majorHAnsi" w:hAnsiTheme="majorHAnsi" w:cstheme="majorHAnsi"/>
          <w:b/>
          <w:sz w:val="24"/>
          <w:szCs w:val="24"/>
          <w:lang w:val="ro-MD"/>
        </w:rPr>
        <w:t>MDL</w:t>
      </w:r>
      <w:r w:rsidR="00CA4E28">
        <w:rPr>
          <w:rFonts w:asciiTheme="majorHAnsi" w:hAnsiTheme="majorHAnsi" w:cstheme="majorHAnsi"/>
          <w:b/>
          <w:sz w:val="24"/>
          <w:szCs w:val="24"/>
          <w:lang w:val="ro-MD"/>
        </w:rPr>
        <w:t>.</w:t>
      </w:r>
      <w:bookmarkEnd w:id="17"/>
    </w:p>
    <w:p w:rsidR="00CB0A2A" w:rsidRPr="00014818" w:rsidRDefault="00CB0A2A" w:rsidP="00FB186A">
      <w:pPr>
        <w:spacing w:after="0" w:line="276" w:lineRule="auto"/>
        <w:ind w:firstLine="720"/>
        <w:jc w:val="both"/>
        <w:rPr>
          <w:rFonts w:asciiTheme="majorHAnsi" w:hAnsiTheme="majorHAnsi" w:cstheme="majorHAnsi"/>
          <w:sz w:val="24"/>
          <w:szCs w:val="24"/>
        </w:rPr>
      </w:pPr>
      <w:r w:rsidRPr="00014818">
        <w:rPr>
          <w:rFonts w:asciiTheme="majorHAnsi" w:hAnsiTheme="majorHAnsi" w:cstheme="majorHAnsi"/>
          <w:sz w:val="24"/>
          <w:szCs w:val="24"/>
        </w:rPr>
        <w:lastRenderedPageBreak/>
        <w:t>Analiza auditului asupra Raportului privind executarea indicatorilor generali și surselor de finanțare ale bugetului de stat</w:t>
      </w:r>
      <w:r w:rsidRPr="00014818">
        <w:rPr>
          <w:rFonts w:asciiTheme="majorHAnsi" w:hAnsiTheme="majorHAnsi" w:cstheme="majorHAnsi"/>
          <w:sz w:val="24"/>
          <w:szCs w:val="24"/>
          <w:vertAlign w:val="superscript"/>
        </w:rPr>
        <w:footnoteReference w:id="29"/>
      </w:r>
      <w:r w:rsidRPr="00014818">
        <w:rPr>
          <w:rFonts w:asciiTheme="majorHAnsi" w:hAnsiTheme="majorHAnsi" w:cstheme="majorHAnsi"/>
          <w:sz w:val="24"/>
          <w:szCs w:val="24"/>
        </w:rPr>
        <w:t xml:space="preserve"> pentru anul 2018 relevă că execuția bugetului de stat la 31.12.2018 s-a încheiat cu un deficit de (-2</w:t>
      </w:r>
      <w:r>
        <w:rPr>
          <w:rFonts w:asciiTheme="majorHAnsi" w:hAnsiTheme="majorHAnsi" w:cstheme="majorHAnsi"/>
          <w:sz w:val="24"/>
          <w:szCs w:val="24"/>
        </w:rPr>
        <w:t xml:space="preserve"> </w:t>
      </w:r>
      <w:r w:rsidRPr="00014818">
        <w:rPr>
          <w:rFonts w:asciiTheme="majorHAnsi" w:hAnsiTheme="majorHAnsi" w:cstheme="majorHAnsi"/>
          <w:sz w:val="24"/>
          <w:szCs w:val="24"/>
        </w:rPr>
        <w:t>275,6)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w:t>
      </w:r>
      <w:r w:rsidRPr="00014818">
        <w:rPr>
          <w:rFonts w:asciiTheme="majorHAnsi" w:hAnsiTheme="majorHAnsi" w:cstheme="majorHAnsi"/>
          <w:sz w:val="24"/>
          <w:szCs w:val="24"/>
        </w:rPr>
        <w:t xml:space="preserve"> </w:t>
      </w:r>
      <w:r w:rsidR="00E430E8">
        <w:rPr>
          <w:rFonts w:asciiTheme="majorHAnsi" w:hAnsiTheme="majorHAnsi" w:cstheme="majorHAnsi"/>
          <w:sz w:val="24"/>
          <w:szCs w:val="24"/>
        </w:rPr>
        <w:t xml:space="preserve">fiind </w:t>
      </w:r>
      <w:r w:rsidRPr="00014818">
        <w:rPr>
          <w:rFonts w:asciiTheme="majorHAnsi" w:hAnsiTheme="majorHAnsi" w:cstheme="majorHAnsi"/>
          <w:sz w:val="24"/>
          <w:szCs w:val="24"/>
        </w:rPr>
        <w:t>cu 2</w:t>
      </w:r>
      <w:r>
        <w:rPr>
          <w:rFonts w:asciiTheme="majorHAnsi" w:hAnsiTheme="majorHAnsi" w:cstheme="majorHAnsi"/>
          <w:sz w:val="24"/>
          <w:szCs w:val="24"/>
        </w:rPr>
        <w:t xml:space="preserve"> </w:t>
      </w:r>
      <w:r w:rsidRPr="00014818">
        <w:rPr>
          <w:rFonts w:asciiTheme="majorHAnsi" w:hAnsiTheme="majorHAnsi" w:cstheme="majorHAnsi"/>
          <w:sz w:val="24"/>
          <w:szCs w:val="24"/>
        </w:rPr>
        <w:t xml:space="preserve">786,9 mil. </w:t>
      </w:r>
      <w:r w:rsidR="007160B9">
        <w:rPr>
          <w:rFonts w:asciiTheme="majorHAnsi" w:hAnsiTheme="majorHAnsi" w:cstheme="majorHAnsi"/>
          <w:sz w:val="24"/>
          <w:szCs w:val="24"/>
        </w:rPr>
        <w:t>MDL</w:t>
      </w:r>
      <w:r w:rsidRPr="00014818">
        <w:rPr>
          <w:rFonts w:asciiTheme="majorHAnsi" w:hAnsiTheme="majorHAnsi" w:cstheme="majorHAnsi"/>
          <w:sz w:val="24"/>
          <w:szCs w:val="24"/>
        </w:rPr>
        <w:t xml:space="preserve"> </w:t>
      </w:r>
      <w:r>
        <w:rPr>
          <w:rFonts w:asciiTheme="majorHAnsi" w:hAnsiTheme="majorHAnsi" w:cstheme="majorHAnsi"/>
          <w:sz w:val="24"/>
          <w:szCs w:val="24"/>
        </w:rPr>
        <w:t>sub</w:t>
      </w:r>
      <w:r w:rsidRPr="00014818">
        <w:rPr>
          <w:rFonts w:asciiTheme="majorHAnsi" w:hAnsiTheme="majorHAnsi" w:cstheme="majorHAnsi"/>
          <w:sz w:val="24"/>
          <w:szCs w:val="24"/>
        </w:rPr>
        <w:t xml:space="preserve"> nivelul deficitului precizat.</w:t>
      </w:r>
      <w:r w:rsidR="00793C62">
        <w:rPr>
          <w:rFonts w:asciiTheme="majorHAnsi" w:hAnsiTheme="majorHAnsi" w:cstheme="majorHAnsi"/>
          <w:sz w:val="24"/>
          <w:szCs w:val="24"/>
        </w:rPr>
        <w:t xml:space="preserve"> </w:t>
      </w:r>
      <w:r w:rsidRPr="00014818">
        <w:rPr>
          <w:rFonts w:asciiTheme="majorHAnsi" w:hAnsiTheme="majorHAnsi" w:cstheme="majorHAnsi"/>
          <w:i/>
          <w:sz w:val="24"/>
          <w:szCs w:val="24"/>
        </w:rPr>
        <w:t>Tendințele deficitului bugetului de stat pe anul 2018, în dinamică</w:t>
      </w:r>
      <w:r w:rsidR="00E430E8">
        <w:rPr>
          <w:rFonts w:asciiTheme="majorHAnsi" w:hAnsiTheme="majorHAnsi" w:cstheme="majorHAnsi"/>
          <w:i/>
          <w:sz w:val="24"/>
          <w:szCs w:val="24"/>
        </w:rPr>
        <w:t>,</w:t>
      </w:r>
      <w:r w:rsidRPr="00014818">
        <w:rPr>
          <w:rFonts w:asciiTheme="majorHAnsi" w:hAnsiTheme="majorHAnsi" w:cstheme="majorHAnsi"/>
          <w:i/>
          <w:sz w:val="24"/>
          <w:szCs w:val="24"/>
        </w:rPr>
        <w:t xml:space="preserve"> precum și ponderea acestuia în PIB sunt prezentate în</w:t>
      </w:r>
      <w:r w:rsidRPr="00014818">
        <w:rPr>
          <w:rFonts w:asciiTheme="majorHAnsi" w:hAnsiTheme="majorHAnsi" w:cstheme="majorHAnsi"/>
          <w:sz w:val="24"/>
          <w:szCs w:val="24"/>
        </w:rPr>
        <w:t xml:space="preserve"> </w:t>
      </w:r>
      <w:r w:rsidR="00C01FE4">
        <w:rPr>
          <w:rFonts w:asciiTheme="majorHAnsi" w:hAnsiTheme="majorHAnsi" w:cstheme="majorHAnsi"/>
          <w:b/>
          <w:i/>
          <w:sz w:val="24"/>
          <w:szCs w:val="24"/>
        </w:rPr>
        <w:t>Tabelul nr.6</w:t>
      </w:r>
      <w:r w:rsidRPr="004F2B68">
        <w:rPr>
          <w:rFonts w:asciiTheme="majorHAnsi" w:hAnsiTheme="majorHAnsi" w:cstheme="majorHAnsi"/>
          <w:b/>
          <w:i/>
          <w:sz w:val="24"/>
          <w:szCs w:val="24"/>
        </w:rPr>
        <w:t>.</w:t>
      </w:r>
      <w:r w:rsidRPr="00014818">
        <w:rPr>
          <w:rFonts w:asciiTheme="majorHAnsi" w:hAnsiTheme="majorHAnsi" w:cstheme="majorHAnsi"/>
          <w:sz w:val="24"/>
          <w:szCs w:val="24"/>
        </w:rPr>
        <w:t xml:space="preserve"> </w:t>
      </w:r>
    </w:p>
    <w:p w:rsidR="00CB0A2A" w:rsidRPr="00F65B49" w:rsidRDefault="00C01FE4" w:rsidP="00CB0A2A">
      <w:pPr>
        <w:spacing w:after="0" w:line="276" w:lineRule="auto"/>
        <w:jc w:val="right"/>
        <w:rPr>
          <w:rFonts w:asciiTheme="majorHAnsi" w:eastAsia="Times New Roman" w:hAnsiTheme="majorHAnsi" w:cstheme="majorHAnsi"/>
          <w:i/>
          <w:sz w:val="24"/>
          <w:szCs w:val="24"/>
          <w:lang w:eastAsia="ru-RU"/>
        </w:rPr>
      </w:pPr>
      <w:r w:rsidRPr="00F65B49">
        <w:rPr>
          <w:rFonts w:asciiTheme="majorHAnsi" w:eastAsia="Times New Roman" w:hAnsiTheme="majorHAnsi" w:cstheme="majorHAnsi"/>
          <w:i/>
          <w:sz w:val="24"/>
          <w:szCs w:val="24"/>
          <w:lang w:eastAsia="ru-RU"/>
        </w:rPr>
        <w:t>Tabelul nr.6</w:t>
      </w:r>
    </w:p>
    <w:p w:rsidR="00CB0A2A" w:rsidRPr="007C478A" w:rsidRDefault="00CB0A2A" w:rsidP="00CB0A2A">
      <w:pPr>
        <w:spacing w:after="0" w:line="276" w:lineRule="auto"/>
        <w:ind w:right="51"/>
        <w:jc w:val="center"/>
        <w:rPr>
          <w:rFonts w:asciiTheme="majorHAnsi" w:eastAsia="Times New Roman" w:hAnsiTheme="majorHAnsi" w:cstheme="majorHAnsi"/>
          <w:b/>
          <w:sz w:val="24"/>
          <w:szCs w:val="24"/>
          <w:lang w:eastAsia="ru-RU"/>
        </w:rPr>
      </w:pPr>
      <w:r w:rsidRPr="007C478A">
        <w:rPr>
          <w:rFonts w:asciiTheme="majorHAnsi" w:eastAsia="Times New Roman" w:hAnsiTheme="majorHAnsi" w:cstheme="majorHAnsi"/>
          <w:b/>
          <w:sz w:val="24"/>
          <w:szCs w:val="24"/>
          <w:lang w:eastAsia="ru-RU"/>
        </w:rPr>
        <w:t>Tendințele deficitului bugetului de stat pe anii 2016</w:t>
      </w:r>
      <w:r>
        <w:rPr>
          <w:rFonts w:asciiTheme="majorHAnsi" w:eastAsia="Times New Roman" w:hAnsiTheme="majorHAnsi" w:cstheme="majorHAnsi"/>
          <w:b/>
          <w:sz w:val="24"/>
          <w:szCs w:val="24"/>
          <w:lang w:eastAsia="ru-RU"/>
        </w:rPr>
        <w:t>-2018</w:t>
      </w:r>
      <w:r w:rsidRPr="007C478A">
        <w:rPr>
          <w:rFonts w:asciiTheme="majorHAnsi" w:eastAsia="Times New Roman" w:hAnsiTheme="majorHAnsi" w:cstheme="majorHAnsi"/>
          <w:b/>
          <w:sz w:val="24"/>
          <w:szCs w:val="24"/>
          <w:lang w:eastAsia="ru-RU"/>
        </w:rPr>
        <w:t xml:space="preserve"> și ponderea acestuia în PIB</w:t>
      </w:r>
    </w:p>
    <w:p w:rsidR="00CB0A2A" w:rsidRPr="007C478A" w:rsidRDefault="00CB0A2A" w:rsidP="00CB0A2A">
      <w:pPr>
        <w:spacing w:after="0" w:line="276" w:lineRule="auto"/>
        <w:jc w:val="right"/>
        <w:rPr>
          <w:rFonts w:asciiTheme="majorHAnsi" w:eastAsia="Times New Roman" w:hAnsiTheme="majorHAnsi" w:cstheme="majorHAnsi"/>
          <w:b/>
          <w:sz w:val="24"/>
          <w:szCs w:val="24"/>
          <w:lang w:eastAsia="ru-RU"/>
        </w:rPr>
      </w:pPr>
      <w:r w:rsidRPr="007C478A">
        <w:rPr>
          <w:rFonts w:asciiTheme="majorHAnsi" w:eastAsia="Times New Roman" w:hAnsiTheme="majorHAnsi" w:cstheme="majorHAnsi"/>
          <w:b/>
          <w:sz w:val="24"/>
          <w:szCs w:val="24"/>
          <w:lang w:eastAsia="ru-RU"/>
        </w:rPr>
        <w:t>(mil.</w:t>
      </w:r>
      <w:r>
        <w:rPr>
          <w:rFonts w:asciiTheme="majorHAnsi" w:eastAsia="Times New Roman" w:hAnsiTheme="majorHAnsi" w:cstheme="majorHAnsi"/>
          <w:b/>
          <w:sz w:val="24"/>
          <w:szCs w:val="24"/>
          <w:lang w:eastAsia="ru-RU"/>
        </w:rPr>
        <w:t xml:space="preserve"> </w:t>
      </w:r>
      <w:r w:rsidR="007160B9">
        <w:rPr>
          <w:rFonts w:asciiTheme="majorHAnsi" w:eastAsia="Times New Roman" w:hAnsiTheme="majorHAnsi" w:cstheme="majorHAnsi"/>
          <w:b/>
          <w:sz w:val="24"/>
          <w:szCs w:val="24"/>
          <w:lang w:eastAsia="ru-RU"/>
        </w:rPr>
        <w:t>MDL</w:t>
      </w:r>
      <w:r w:rsidRPr="007C478A">
        <w:rPr>
          <w:rFonts w:asciiTheme="majorHAnsi" w:eastAsia="Times New Roman" w:hAnsiTheme="majorHAnsi" w:cstheme="majorHAnsi"/>
          <w:b/>
          <w:sz w:val="24"/>
          <w:szCs w:val="24"/>
          <w:lang w:eastAsia="ru-RU"/>
        </w:rPr>
        <w:t>)</w:t>
      </w:r>
    </w:p>
    <w:tbl>
      <w:tblPr>
        <w:tblStyle w:val="GridTable1Light1"/>
        <w:tblW w:w="9624" w:type="dxa"/>
        <w:tblLook w:val="04A0" w:firstRow="1" w:lastRow="0" w:firstColumn="1" w:lastColumn="0" w:noHBand="0" w:noVBand="1"/>
      </w:tblPr>
      <w:tblGrid>
        <w:gridCol w:w="2537"/>
        <w:gridCol w:w="1332"/>
        <w:gridCol w:w="1333"/>
        <w:gridCol w:w="1333"/>
        <w:gridCol w:w="1530"/>
        <w:gridCol w:w="1559"/>
      </w:tblGrid>
      <w:tr w:rsidR="00CB0A2A" w:rsidRPr="00912B17" w:rsidTr="00463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vMerge w:val="restart"/>
            <w:vAlign w:val="center"/>
          </w:tcPr>
          <w:p w:rsidR="00CB0A2A" w:rsidRPr="00E2521A" w:rsidRDefault="00CB0A2A" w:rsidP="00463CB3">
            <w:pPr>
              <w:ind w:left="-125" w:right="-37"/>
              <w:jc w:val="center"/>
              <w:rPr>
                <w:rFonts w:asciiTheme="majorHAnsi" w:eastAsia="Times New Roman" w:hAnsiTheme="majorHAnsi" w:cstheme="majorHAnsi"/>
                <w:i/>
                <w:sz w:val="24"/>
                <w:szCs w:val="24"/>
                <w:lang w:eastAsia="ru-RU"/>
              </w:rPr>
            </w:pPr>
            <w:r w:rsidRPr="00E2521A">
              <w:rPr>
                <w:rFonts w:asciiTheme="majorHAnsi" w:eastAsia="Times New Roman" w:hAnsiTheme="majorHAnsi" w:cstheme="majorHAnsi"/>
                <w:i/>
                <w:sz w:val="24"/>
                <w:szCs w:val="24"/>
                <w:lang w:eastAsia="ru-RU"/>
              </w:rPr>
              <w:t>Indicator</w:t>
            </w:r>
          </w:p>
        </w:tc>
        <w:tc>
          <w:tcPr>
            <w:tcW w:w="3998" w:type="dxa"/>
            <w:gridSpan w:val="3"/>
            <w:vAlign w:val="center"/>
          </w:tcPr>
          <w:p w:rsidR="00CB0A2A" w:rsidRPr="00E2521A" w:rsidRDefault="00CB0A2A" w:rsidP="00463CB3">
            <w:pPr>
              <w:ind w:right="-563"/>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E2521A">
              <w:rPr>
                <w:rFonts w:asciiTheme="majorHAnsi" w:eastAsia="Times New Roman" w:hAnsiTheme="majorHAnsi" w:cstheme="majorHAnsi"/>
                <w:i/>
                <w:sz w:val="24"/>
                <w:szCs w:val="24"/>
                <w:lang w:eastAsia="ru-RU"/>
              </w:rPr>
              <w:t>Executat</w:t>
            </w:r>
          </w:p>
        </w:tc>
        <w:tc>
          <w:tcPr>
            <w:tcW w:w="3089" w:type="dxa"/>
            <w:gridSpan w:val="2"/>
            <w:vAlign w:val="center"/>
          </w:tcPr>
          <w:p w:rsidR="00CB0A2A" w:rsidRPr="00E2521A" w:rsidRDefault="00CB0A2A" w:rsidP="00463CB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E2521A">
              <w:rPr>
                <w:rFonts w:asciiTheme="majorHAnsi" w:eastAsia="Times New Roman" w:hAnsiTheme="majorHAnsi" w:cstheme="majorHAnsi"/>
                <w:i/>
                <w:sz w:val="24"/>
                <w:szCs w:val="24"/>
                <w:lang w:eastAsia="ru-RU"/>
              </w:rPr>
              <w:t>Devieri (+/-)</w:t>
            </w:r>
          </w:p>
        </w:tc>
      </w:tr>
      <w:tr w:rsidR="00CB0A2A" w:rsidRPr="00912B17" w:rsidTr="00463CB3">
        <w:tc>
          <w:tcPr>
            <w:cnfStyle w:val="001000000000" w:firstRow="0" w:lastRow="0" w:firstColumn="1" w:lastColumn="0" w:oddVBand="0" w:evenVBand="0" w:oddHBand="0" w:evenHBand="0" w:firstRowFirstColumn="0" w:firstRowLastColumn="0" w:lastRowFirstColumn="0" w:lastRowLastColumn="0"/>
            <w:tcW w:w="2537" w:type="dxa"/>
            <w:vMerge/>
            <w:vAlign w:val="center"/>
          </w:tcPr>
          <w:p w:rsidR="00CB0A2A" w:rsidRPr="00E2521A" w:rsidRDefault="00CB0A2A" w:rsidP="00463CB3">
            <w:pPr>
              <w:ind w:right="-563"/>
              <w:rPr>
                <w:rFonts w:asciiTheme="majorHAnsi" w:eastAsia="Times New Roman" w:hAnsiTheme="majorHAnsi" w:cstheme="majorHAnsi"/>
                <w:i/>
                <w:sz w:val="24"/>
                <w:szCs w:val="24"/>
                <w:lang w:eastAsia="ru-RU"/>
              </w:rPr>
            </w:pPr>
          </w:p>
        </w:tc>
        <w:tc>
          <w:tcPr>
            <w:tcW w:w="1332" w:type="dxa"/>
            <w:vAlign w:val="center"/>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eastAsia="ru-RU"/>
              </w:rPr>
            </w:pPr>
            <w:r w:rsidRPr="00E2521A">
              <w:rPr>
                <w:rFonts w:asciiTheme="majorHAnsi" w:eastAsia="Times New Roman" w:hAnsiTheme="majorHAnsi" w:cstheme="majorHAnsi"/>
                <w:b/>
                <w:i/>
                <w:sz w:val="24"/>
                <w:szCs w:val="24"/>
                <w:lang w:eastAsia="ru-RU"/>
              </w:rPr>
              <w:t>2016</w:t>
            </w:r>
          </w:p>
        </w:tc>
        <w:tc>
          <w:tcPr>
            <w:tcW w:w="1333" w:type="dxa"/>
            <w:vAlign w:val="center"/>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eastAsia="ru-RU"/>
              </w:rPr>
            </w:pPr>
            <w:r w:rsidRPr="00E2521A">
              <w:rPr>
                <w:rFonts w:asciiTheme="majorHAnsi" w:eastAsia="Times New Roman" w:hAnsiTheme="majorHAnsi" w:cstheme="majorHAnsi"/>
                <w:b/>
                <w:i/>
                <w:sz w:val="24"/>
                <w:szCs w:val="24"/>
                <w:lang w:eastAsia="ru-RU"/>
              </w:rPr>
              <w:t>2017</w:t>
            </w:r>
          </w:p>
        </w:tc>
        <w:tc>
          <w:tcPr>
            <w:tcW w:w="1333" w:type="dxa"/>
            <w:vAlign w:val="center"/>
          </w:tcPr>
          <w:p w:rsidR="00CB0A2A" w:rsidRPr="00E2521A" w:rsidRDefault="00CB0A2A" w:rsidP="00463CB3">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eastAsia="ru-RU"/>
              </w:rPr>
            </w:pPr>
            <w:r w:rsidRPr="00E2521A">
              <w:rPr>
                <w:rFonts w:asciiTheme="majorHAnsi" w:eastAsia="Times New Roman" w:hAnsiTheme="majorHAnsi" w:cstheme="majorHAnsi"/>
                <w:b/>
                <w:i/>
                <w:sz w:val="24"/>
                <w:szCs w:val="24"/>
                <w:lang w:eastAsia="ru-RU"/>
              </w:rPr>
              <w:t>2018</w:t>
            </w:r>
          </w:p>
        </w:tc>
        <w:tc>
          <w:tcPr>
            <w:tcW w:w="1530" w:type="dxa"/>
            <w:vAlign w:val="center"/>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eastAsia="ru-RU"/>
              </w:rPr>
            </w:pPr>
            <w:r w:rsidRPr="00E2521A">
              <w:rPr>
                <w:rFonts w:asciiTheme="majorHAnsi" w:eastAsia="Times New Roman" w:hAnsiTheme="majorHAnsi" w:cstheme="majorHAnsi"/>
                <w:b/>
                <w:i/>
                <w:sz w:val="24"/>
                <w:szCs w:val="24"/>
                <w:lang w:eastAsia="ru-RU"/>
              </w:rPr>
              <w:t>2018/2017</w:t>
            </w:r>
          </w:p>
        </w:tc>
        <w:tc>
          <w:tcPr>
            <w:tcW w:w="1559" w:type="dxa"/>
            <w:vAlign w:val="center"/>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eastAsia="ru-RU"/>
              </w:rPr>
            </w:pPr>
            <w:r w:rsidRPr="00E2521A">
              <w:rPr>
                <w:rFonts w:asciiTheme="majorHAnsi" w:eastAsia="Times New Roman" w:hAnsiTheme="majorHAnsi" w:cstheme="majorHAnsi"/>
                <w:b/>
                <w:i/>
                <w:sz w:val="24"/>
                <w:szCs w:val="24"/>
                <w:lang w:eastAsia="ru-RU"/>
              </w:rPr>
              <w:t>2018/2016</w:t>
            </w:r>
          </w:p>
        </w:tc>
      </w:tr>
      <w:tr w:rsidR="00CB0A2A" w:rsidRPr="00912B17" w:rsidTr="00463CB3">
        <w:tc>
          <w:tcPr>
            <w:cnfStyle w:val="001000000000" w:firstRow="0" w:lastRow="0" w:firstColumn="1" w:lastColumn="0" w:oddVBand="0" w:evenVBand="0" w:oddHBand="0" w:evenHBand="0" w:firstRowFirstColumn="0" w:firstRowLastColumn="0" w:lastRowFirstColumn="0" w:lastRowLastColumn="0"/>
            <w:tcW w:w="2537" w:type="dxa"/>
          </w:tcPr>
          <w:p w:rsidR="00CB0A2A" w:rsidRPr="00E2521A" w:rsidRDefault="00CB0A2A" w:rsidP="00463CB3">
            <w:pPr>
              <w:jc w:val="center"/>
              <w:rPr>
                <w:rFonts w:asciiTheme="majorHAnsi" w:eastAsia="Times New Roman" w:hAnsiTheme="majorHAnsi" w:cstheme="majorHAnsi"/>
                <w:b w:val="0"/>
                <w:i/>
                <w:sz w:val="18"/>
                <w:szCs w:val="18"/>
                <w:lang w:eastAsia="ru-RU"/>
              </w:rPr>
            </w:pPr>
            <w:r w:rsidRPr="00E2521A">
              <w:rPr>
                <w:rFonts w:asciiTheme="majorHAnsi" w:eastAsia="Times New Roman" w:hAnsiTheme="majorHAnsi" w:cstheme="majorHAnsi"/>
                <w:b w:val="0"/>
                <w:i/>
                <w:sz w:val="18"/>
                <w:szCs w:val="18"/>
                <w:lang w:eastAsia="ru-RU"/>
              </w:rPr>
              <w:t>1</w:t>
            </w:r>
          </w:p>
        </w:tc>
        <w:tc>
          <w:tcPr>
            <w:tcW w:w="1332" w:type="dxa"/>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2521A">
              <w:rPr>
                <w:rFonts w:asciiTheme="majorHAnsi" w:eastAsia="Times New Roman" w:hAnsiTheme="majorHAnsi" w:cstheme="majorHAnsi"/>
                <w:i/>
                <w:sz w:val="18"/>
                <w:szCs w:val="18"/>
                <w:lang w:eastAsia="ru-RU"/>
              </w:rPr>
              <w:t>2</w:t>
            </w:r>
          </w:p>
        </w:tc>
        <w:tc>
          <w:tcPr>
            <w:tcW w:w="1333" w:type="dxa"/>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2521A">
              <w:rPr>
                <w:rFonts w:asciiTheme="majorHAnsi" w:eastAsia="Times New Roman" w:hAnsiTheme="majorHAnsi" w:cstheme="majorHAnsi"/>
                <w:i/>
                <w:sz w:val="18"/>
                <w:szCs w:val="18"/>
                <w:lang w:eastAsia="ru-RU"/>
              </w:rPr>
              <w:t>3</w:t>
            </w:r>
          </w:p>
        </w:tc>
        <w:tc>
          <w:tcPr>
            <w:tcW w:w="1333" w:type="dxa"/>
          </w:tcPr>
          <w:p w:rsidR="00CB0A2A" w:rsidRPr="00E2521A" w:rsidRDefault="00CB0A2A" w:rsidP="00463CB3">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2521A">
              <w:rPr>
                <w:rFonts w:asciiTheme="majorHAnsi" w:eastAsia="Times New Roman" w:hAnsiTheme="majorHAnsi" w:cstheme="majorHAnsi"/>
                <w:i/>
                <w:sz w:val="18"/>
                <w:szCs w:val="18"/>
                <w:lang w:eastAsia="ru-RU"/>
              </w:rPr>
              <w:t>4</w:t>
            </w:r>
          </w:p>
        </w:tc>
        <w:tc>
          <w:tcPr>
            <w:tcW w:w="1530" w:type="dxa"/>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2521A">
              <w:rPr>
                <w:rFonts w:asciiTheme="majorHAnsi" w:eastAsia="Times New Roman" w:hAnsiTheme="majorHAnsi" w:cstheme="majorHAnsi"/>
                <w:i/>
                <w:sz w:val="18"/>
                <w:szCs w:val="18"/>
                <w:lang w:eastAsia="ru-RU"/>
              </w:rPr>
              <w:t>5=4-3</w:t>
            </w:r>
          </w:p>
        </w:tc>
        <w:tc>
          <w:tcPr>
            <w:tcW w:w="1559" w:type="dxa"/>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E2521A">
              <w:rPr>
                <w:rFonts w:asciiTheme="majorHAnsi" w:eastAsia="Times New Roman" w:hAnsiTheme="majorHAnsi" w:cstheme="majorHAnsi"/>
                <w:i/>
                <w:sz w:val="18"/>
                <w:szCs w:val="18"/>
                <w:lang w:eastAsia="ru-RU"/>
              </w:rPr>
              <w:t>6=4-2</w:t>
            </w:r>
          </w:p>
        </w:tc>
      </w:tr>
      <w:tr w:rsidR="00CB0A2A" w:rsidRPr="00912B17" w:rsidTr="00463CB3">
        <w:tc>
          <w:tcPr>
            <w:cnfStyle w:val="001000000000" w:firstRow="0" w:lastRow="0" w:firstColumn="1" w:lastColumn="0" w:oddVBand="0" w:evenVBand="0" w:oddHBand="0" w:evenHBand="0" w:firstRowFirstColumn="0" w:firstRowLastColumn="0" w:lastRowFirstColumn="0" w:lastRowLastColumn="0"/>
            <w:tcW w:w="2537" w:type="dxa"/>
          </w:tcPr>
          <w:p w:rsidR="00CB0A2A" w:rsidRPr="00E2521A" w:rsidRDefault="00CB0A2A" w:rsidP="00463CB3">
            <w:pPr>
              <w:ind w:right="-37"/>
              <w:rPr>
                <w:rFonts w:asciiTheme="majorHAnsi" w:eastAsia="Times New Roman" w:hAnsiTheme="majorHAnsi" w:cstheme="majorHAnsi"/>
                <w:sz w:val="24"/>
                <w:szCs w:val="24"/>
                <w:lang w:eastAsia="ru-RU"/>
              </w:rPr>
            </w:pPr>
            <w:r w:rsidRPr="00E2521A">
              <w:rPr>
                <w:rFonts w:asciiTheme="majorHAnsi" w:eastAsia="Times New Roman" w:hAnsiTheme="majorHAnsi" w:cstheme="majorHAnsi"/>
                <w:sz w:val="24"/>
                <w:szCs w:val="24"/>
                <w:lang w:eastAsia="ru-RU"/>
              </w:rPr>
              <w:t>Deficitul</w:t>
            </w:r>
          </w:p>
        </w:tc>
        <w:tc>
          <w:tcPr>
            <w:tcW w:w="1332" w:type="dxa"/>
          </w:tcPr>
          <w:p w:rsidR="00CB0A2A" w:rsidRPr="00E2521A" w:rsidRDefault="00CB0A2A" w:rsidP="00463CB3">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- 3 433,7</w:t>
            </w:r>
          </w:p>
        </w:tc>
        <w:tc>
          <w:tcPr>
            <w:tcW w:w="1333" w:type="dxa"/>
          </w:tcPr>
          <w:p w:rsidR="00CB0A2A" w:rsidRPr="00E2521A" w:rsidRDefault="00CB0A2A" w:rsidP="00463CB3">
            <w:pPr>
              <w:ind w:right="-6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- 1 531,7</w:t>
            </w:r>
          </w:p>
        </w:tc>
        <w:tc>
          <w:tcPr>
            <w:tcW w:w="1333" w:type="dxa"/>
          </w:tcPr>
          <w:p w:rsidR="00CB0A2A" w:rsidRPr="00E2521A" w:rsidRDefault="00CB0A2A" w:rsidP="00463CB3">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- 2 275,6</w:t>
            </w:r>
          </w:p>
        </w:tc>
        <w:tc>
          <w:tcPr>
            <w:tcW w:w="1530" w:type="dxa"/>
          </w:tcPr>
          <w:p w:rsidR="00CB0A2A" w:rsidRPr="00E2521A" w:rsidRDefault="00CB0A2A" w:rsidP="00463CB3">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-743,9</w:t>
            </w:r>
          </w:p>
        </w:tc>
        <w:tc>
          <w:tcPr>
            <w:tcW w:w="1559" w:type="dxa"/>
          </w:tcPr>
          <w:p w:rsidR="00CB0A2A" w:rsidRPr="00E2521A" w:rsidRDefault="00CB0A2A" w:rsidP="00463CB3">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en-US" w:eastAsia="ru-RU"/>
              </w:rPr>
            </w:pPr>
            <w:r w:rsidRPr="00E2521A">
              <w:rPr>
                <w:rFonts w:asciiTheme="majorHAnsi" w:eastAsia="Times New Roman" w:hAnsiTheme="majorHAnsi" w:cstheme="majorHAnsi"/>
                <w:b/>
                <w:sz w:val="24"/>
                <w:szCs w:val="24"/>
                <w:lang w:eastAsia="ru-RU"/>
              </w:rPr>
              <w:t>- 1 158,1</w:t>
            </w:r>
          </w:p>
        </w:tc>
      </w:tr>
      <w:tr w:rsidR="00CB0A2A" w:rsidRPr="00912B17" w:rsidTr="00463CB3">
        <w:tc>
          <w:tcPr>
            <w:cnfStyle w:val="001000000000" w:firstRow="0" w:lastRow="0" w:firstColumn="1" w:lastColumn="0" w:oddVBand="0" w:evenVBand="0" w:oddHBand="0" w:evenHBand="0" w:firstRowFirstColumn="0" w:firstRowLastColumn="0" w:lastRowFirstColumn="0" w:lastRowLastColumn="0"/>
            <w:tcW w:w="2537" w:type="dxa"/>
          </w:tcPr>
          <w:p w:rsidR="00CB0A2A" w:rsidRPr="00E2521A" w:rsidRDefault="00CB0A2A" w:rsidP="00463CB3">
            <w:pPr>
              <w:ind w:right="-37"/>
              <w:rPr>
                <w:rFonts w:asciiTheme="majorHAnsi" w:eastAsia="Times New Roman" w:hAnsiTheme="majorHAnsi" w:cstheme="majorHAnsi"/>
                <w:sz w:val="24"/>
                <w:szCs w:val="24"/>
                <w:lang w:eastAsia="ru-RU"/>
              </w:rPr>
            </w:pPr>
            <w:r w:rsidRPr="00E2521A">
              <w:rPr>
                <w:rFonts w:asciiTheme="majorHAnsi" w:eastAsia="Times New Roman" w:hAnsiTheme="majorHAnsi" w:cstheme="majorHAnsi"/>
                <w:sz w:val="24"/>
                <w:szCs w:val="24"/>
                <w:lang w:eastAsia="ru-RU"/>
              </w:rPr>
              <w:t>Ponderea în PIB*, %</w:t>
            </w:r>
          </w:p>
        </w:tc>
        <w:tc>
          <w:tcPr>
            <w:tcW w:w="1332" w:type="dxa"/>
          </w:tcPr>
          <w:p w:rsidR="00CB0A2A" w:rsidRPr="00E2521A" w:rsidRDefault="00CB0A2A" w:rsidP="00463CB3">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- 1,7</w:t>
            </w:r>
          </w:p>
        </w:tc>
        <w:tc>
          <w:tcPr>
            <w:tcW w:w="1333" w:type="dxa"/>
          </w:tcPr>
          <w:p w:rsidR="00CB0A2A" w:rsidRPr="00E2521A" w:rsidRDefault="00CB0A2A" w:rsidP="00463CB3">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- 0,85</w:t>
            </w:r>
          </w:p>
        </w:tc>
        <w:tc>
          <w:tcPr>
            <w:tcW w:w="1333" w:type="dxa"/>
          </w:tcPr>
          <w:p w:rsidR="00CB0A2A" w:rsidRPr="00E2521A" w:rsidRDefault="00CB0A2A" w:rsidP="00463CB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- 1,2</w:t>
            </w:r>
          </w:p>
        </w:tc>
        <w:tc>
          <w:tcPr>
            <w:tcW w:w="1530" w:type="dxa"/>
          </w:tcPr>
          <w:p w:rsidR="00CB0A2A" w:rsidRPr="00E2521A" w:rsidRDefault="00CB0A2A" w:rsidP="00463CB3">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- 0,35</w:t>
            </w:r>
          </w:p>
        </w:tc>
        <w:tc>
          <w:tcPr>
            <w:tcW w:w="1559" w:type="dxa"/>
          </w:tcPr>
          <w:p w:rsidR="00CB0A2A" w:rsidRPr="00E2521A" w:rsidRDefault="00CB0A2A" w:rsidP="00463CB3">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E2521A">
              <w:rPr>
                <w:rFonts w:asciiTheme="majorHAnsi" w:eastAsia="Times New Roman" w:hAnsiTheme="majorHAnsi" w:cstheme="majorHAnsi"/>
                <w:b/>
                <w:sz w:val="24"/>
                <w:szCs w:val="24"/>
                <w:lang w:eastAsia="ru-RU"/>
              </w:rPr>
              <w:t>- 0,5</w:t>
            </w:r>
          </w:p>
        </w:tc>
      </w:tr>
    </w:tbl>
    <w:p w:rsidR="00CB0A2A" w:rsidRPr="00FB186A" w:rsidRDefault="00CB0A2A" w:rsidP="00CB0A2A">
      <w:pPr>
        <w:spacing w:after="0" w:line="240" w:lineRule="auto"/>
        <w:jc w:val="both"/>
        <w:rPr>
          <w:rFonts w:asciiTheme="majorHAnsi" w:eastAsia="Times New Roman" w:hAnsiTheme="majorHAnsi" w:cstheme="majorHAnsi"/>
          <w:b/>
          <w:i/>
          <w:sz w:val="20"/>
          <w:szCs w:val="24"/>
          <w:lang w:eastAsia="ru-RU"/>
        </w:rPr>
      </w:pPr>
      <w:r w:rsidRPr="00FB186A">
        <w:rPr>
          <w:rFonts w:asciiTheme="majorHAnsi" w:eastAsia="Times New Roman" w:hAnsiTheme="majorHAnsi" w:cstheme="majorHAnsi"/>
          <w:b/>
          <w:i/>
          <w:sz w:val="20"/>
          <w:szCs w:val="24"/>
          <w:lang w:eastAsia="ru-RU"/>
        </w:rPr>
        <w:t>*</w:t>
      </w:r>
      <w:r w:rsidRPr="00FB186A">
        <w:rPr>
          <w:rFonts w:asciiTheme="majorHAnsi" w:eastAsia="Times New Roman" w:hAnsiTheme="majorHAnsi" w:cstheme="majorHAnsi"/>
          <w:i/>
          <w:sz w:val="20"/>
          <w:szCs w:val="24"/>
          <w:lang w:eastAsia="ru-RU"/>
        </w:rPr>
        <w:t>Produsul intern brut luat în calcul pentru anul 2016 este de 135 397,0 mil.</w:t>
      </w:r>
      <w:r w:rsidR="00E430E8">
        <w:rPr>
          <w:rFonts w:asciiTheme="majorHAnsi" w:eastAsia="Times New Roman" w:hAnsiTheme="majorHAnsi" w:cstheme="majorHAnsi"/>
          <w:i/>
          <w:sz w:val="20"/>
          <w:szCs w:val="24"/>
          <w:lang w:eastAsia="ru-RU"/>
        </w:rPr>
        <w:t xml:space="preserve"> </w:t>
      </w:r>
      <w:r w:rsidR="007160B9" w:rsidRPr="00FB186A">
        <w:rPr>
          <w:rFonts w:asciiTheme="majorHAnsi" w:eastAsia="Times New Roman" w:hAnsiTheme="majorHAnsi" w:cstheme="majorHAnsi"/>
          <w:i/>
          <w:sz w:val="20"/>
          <w:szCs w:val="24"/>
          <w:lang w:eastAsia="ru-RU"/>
        </w:rPr>
        <w:t>MDL</w:t>
      </w:r>
      <w:r w:rsidRPr="00FB186A">
        <w:rPr>
          <w:rFonts w:asciiTheme="majorHAnsi" w:eastAsia="Times New Roman" w:hAnsiTheme="majorHAnsi" w:cstheme="majorHAnsi"/>
          <w:i/>
          <w:sz w:val="20"/>
          <w:szCs w:val="24"/>
          <w:lang w:eastAsia="ru-RU"/>
        </w:rPr>
        <w:t>, iar pentru anul 2017, conform datelor actualizate</w:t>
      </w:r>
      <w:r w:rsidR="00793C62" w:rsidRPr="00FB186A">
        <w:rPr>
          <w:rFonts w:asciiTheme="majorHAnsi" w:eastAsia="Times New Roman" w:hAnsiTheme="majorHAnsi" w:cstheme="majorHAnsi"/>
          <w:i/>
          <w:sz w:val="20"/>
          <w:szCs w:val="24"/>
          <w:lang w:eastAsia="ru-RU"/>
        </w:rPr>
        <w:t xml:space="preserve"> </w:t>
      </w:r>
      <w:r w:rsidRPr="00FB186A">
        <w:rPr>
          <w:rFonts w:asciiTheme="majorHAnsi" w:eastAsia="Times New Roman" w:hAnsiTheme="majorHAnsi" w:cstheme="majorHAnsi"/>
          <w:i/>
          <w:sz w:val="20"/>
          <w:szCs w:val="24"/>
          <w:lang w:eastAsia="ru-RU"/>
        </w:rPr>
        <w:t>ale BNS, este de 178 881,0 mil.</w:t>
      </w:r>
      <w:r w:rsidR="00E430E8">
        <w:rPr>
          <w:rFonts w:asciiTheme="majorHAnsi" w:eastAsia="Times New Roman" w:hAnsiTheme="majorHAnsi" w:cstheme="majorHAnsi"/>
          <w:i/>
          <w:sz w:val="20"/>
          <w:szCs w:val="24"/>
          <w:lang w:eastAsia="ru-RU"/>
        </w:rPr>
        <w:t xml:space="preserve"> </w:t>
      </w:r>
      <w:r w:rsidR="007160B9" w:rsidRPr="00FB186A">
        <w:rPr>
          <w:rFonts w:asciiTheme="majorHAnsi" w:eastAsia="Times New Roman" w:hAnsiTheme="majorHAnsi" w:cstheme="majorHAnsi"/>
          <w:i/>
          <w:sz w:val="20"/>
          <w:szCs w:val="24"/>
          <w:lang w:eastAsia="ru-RU"/>
        </w:rPr>
        <w:t>MDL</w:t>
      </w:r>
      <w:r w:rsidRPr="00FB186A">
        <w:rPr>
          <w:rFonts w:asciiTheme="majorHAnsi" w:eastAsia="Times New Roman" w:hAnsiTheme="majorHAnsi" w:cstheme="majorHAnsi"/>
          <w:i/>
          <w:sz w:val="20"/>
          <w:szCs w:val="24"/>
          <w:lang w:eastAsia="ru-RU"/>
        </w:rPr>
        <w:t xml:space="preserve"> și pentru anul 2018 </w:t>
      </w:r>
      <w:r w:rsidR="00471938">
        <w:rPr>
          <w:rFonts w:asciiTheme="majorHAnsi" w:eastAsia="Times New Roman" w:hAnsiTheme="majorHAnsi" w:cstheme="majorHAnsi"/>
          <w:i/>
          <w:sz w:val="20"/>
          <w:szCs w:val="24"/>
          <w:lang w:eastAsia="ru-RU"/>
        </w:rPr>
        <w:t>–</w:t>
      </w:r>
      <w:r w:rsidRPr="00FB186A">
        <w:rPr>
          <w:rFonts w:asciiTheme="majorHAnsi" w:eastAsia="Times New Roman" w:hAnsiTheme="majorHAnsi" w:cstheme="majorHAnsi"/>
          <w:i/>
          <w:sz w:val="20"/>
          <w:szCs w:val="24"/>
          <w:lang w:eastAsia="ru-RU"/>
        </w:rPr>
        <w:t xml:space="preserve"> de 190 016,0 mil.</w:t>
      </w:r>
      <w:r w:rsidR="00E430E8">
        <w:rPr>
          <w:rFonts w:asciiTheme="majorHAnsi" w:eastAsia="Times New Roman" w:hAnsiTheme="majorHAnsi" w:cstheme="majorHAnsi"/>
          <w:i/>
          <w:sz w:val="20"/>
          <w:szCs w:val="24"/>
          <w:lang w:eastAsia="ru-RU"/>
        </w:rPr>
        <w:t xml:space="preserve"> </w:t>
      </w:r>
      <w:r w:rsidR="007160B9" w:rsidRPr="00FB186A">
        <w:rPr>
          <w:rFonts w:asciiTheme="majorHAnsi" w:eastAsia="Times New Roman" w:hAnsiTheme="majorHAnsi" w:cstheme="majorHAnsi"/>
          <w:i/>
          <w:sz w:val="20"/>
          <w:szCs w:val="24"/>
          <w:lang w:eastAsia="ru-RU"/>
        </w:rPr>
        <w:t>MDL</w:t>
      </w:r>
      <w:r w:rsidRPr="00FB186A">
        <w:rPr>
          <w:rFonts w:asciiTheme="majorHAnsi" w:eastAsia="Times New Roman" w:hAnsiTheme="majorHAnsi" w:cstheme="majorHAnsi"/>
          <w:i/>
          <w:sz w:val="20"/>
          <w:szCs w:val="24"/>
          <w:lang w:eastAsia="ru-RU"/>
        </w:rPr>
        <w:t>.</w:t>
      </w:r>
    </w:p>
    <w:p w:rsidR="00CB0A2A" w:rsidRPr="00FB186A" w:rsidRDefault="00CB0A2A" w:rsidP="00CB0A2A">
      <w:pPr>
        <w:spacing w:after="120" w:line="240" w:lineRule="auto"/>
        <w:jc w:val="both"/>
        <w:rPr>
          <w:rFonts w:asciiTheme="majorHAnsi" w:eastAsia="Times New Roman" w:hAnsiTheme="majorHAnsi" w:cstheme="majorHAnsi"/>
          <w:i/>
          <w:sz w:val="20"/>
          <w:szCs w:val="24"/>
          <w:lang w:eastAsia="ru-RU"/>
        </w:rPr>
      </w:pPr>
      <w:r w:rsidRPr="00FB186A">
        <w:rPr>
          <w:rFonts w:asciiTheme="majorHAnsi" w:eastAsia="Times New Roman" w:hAnsiTheme="majorHAnsi" w:cstheme="majorHAnsi"/>
          <w:b/>
          <w:i/>
          <w:sz w:val="20"/>
          <w:szCs w:val="24"/>
          <w:lang w:eastAsia="ru-RU"/>
        </w:rPr>
        <w:t>Sursă:</w:t>
      </w:r>
      <w:r w:rsidRPr="00FB186A">
        <w:rPr>
          <w:rFonts w:asciiTheme="majorHAnsi" w:eastAsia="Times New Roman" w:hAnsiTheme="majorHAnsi" w:cstheme="majorHAnsi"/>
          <w:sz w:val="20"/>
          <w:szCs w:val="24"/>
          <w:lang w:eastAsia="ru-RU"/>
        </w:rPr>
        <w:t xml:space="preserve"> </w:t>
      </w:r>
      <w:r w:rsidRPr="00FB186A">
        <w:rPr>
          <w:rFonts w:asciiTheme="majorHAnsi" w:eastAsia="Times New Roman" w:hAnsiTheme="majorHAnsi" w:cstheme="majorHAnsi"/>
          <w:i/>
          <w:sz w:val="20"/>
          <w:szCs w:val="24"/>
          <w:lang w:eastAsia="ru-RU"/>
        </w:rPr>
        <w:t>Date generalizate de echipa de audit din</w:t>
      </w:r>
      <w:r w:rsidRPr="00FB186A">
        <w:rPr>
          <w:rFonts w:asciiTheme="majorHAnsi" w:eastAsia="Times New Roman" w:hAnsiTheme="majorHAnsi" w:cstheme="majorHAnsi"/>
          <w:sz w:val="20"/>
          <w:szCs w:val="24"/>
          <w:lang w:eastAsia="ru-RU"/>
        </w:rPr>
        <w:t xml:space="preserve"> </w:t>
      </w:r>
      <w:r w:rsidRPr="00FB186A">
        <w:rPr>
          <w:rFonts w:asciiTheme="majorHAnsi" w:eastAsia="Times New Roman" w:hAnsiTheme="majorHAnsi" w:cstheme="majorHAnsi"/>
          <w:i/>
          <w:sz w:val="20"/>
          <w:szCs w:val="24"/>
          <w:lang w:eastAsia="ru-RU"/>
        </w:rPr>
        <w:t>Rapoartele privind executarea bugetului de stat pe anii 2016-2018.</w:t>
      </w:r>
    </w:p>
    <w:p w:rsidR="00CB0A2A" w:rsidRDefault="00CB0A2A" w:rsidP="00CB0A2A">
      <w:pPr>
        <w:spacing w:after="0" w:line="276" w:lineRule="auto"/>
        <w:ind w:firstLine="709"/>
        <w:jc w:val="both"/>
        <w:rPr>
          <w:rFonts w:asciiTheme="majorHAnsi" w:eastAsia="Times New Roman" w:hAnsiTheme="majorHAnsi" w:cstheme="majorHAnsi"/>
          <w:sz w:val="24"/>
          <w:szCs w:val="24"/>
          <w:lang w:eastAsia="ru-RU"/>
        </w:rPr>
      </w:pPr>
      <w:r w:rsidRPr="00E430E8">
        <w:rPr>
          <w:rFonts w:asciiTheme="majorHAnsi" w:hAnsiTheme="majorHAnsi" w:cstheme="majorHAnsi"/>
          <w:sz w:val="24"/>
          <w:szCs w:val="24"/>
        </w:rPr>
        <w:t>În comparație cu anul 2017,</w:t>
      </w:r>
      <w:r w:rsidR="00793C62" w:rsidRPr="00E430E8">
        <w:rPr>
          <w:rFonts w:asciiTheme="majorHAnsi" w:hAnsiTheme="majorHAnsi" w:cstheme="majorHAnsi"/>
          <w:sz w:val="24"/>
          <w:szCs w:val="24"/>
        </w:rPr>
        <w:t xml:space="preserve"> </w:t>
      </w:r>
      <w:r w:rsidRPr="00E430E8">
        <w:rPr>
          <w:rFonts w:asciiTheme="majorHAnsi" w:hAnsiTheme="majorHAnsi" w:cstheme="majorHAnsi"/>
          <w:sz w:val="24"/>
          <w:szCs w:val="24"/>
        </w:rPr>
        <w:t>rezultatul execuției bugetului de stat (deficitul) în anul 2018 a</w:t>
      </w:r>
      <w:r>
        <w:rPr>
          <w:rFonts w:asciiTheme="majorHAnsi" w:hAnsiTheme="majorHAnsi" w:cstheme="majorHAnsi"/>
          <w:sz w:val="24"/>
          <w:szCs w:val="24"/>
        </w:rPr>
        <w:t xml:space="preserve"> înregistrat o </w:t>
      </w:r>
      <w:r w:rsidRPr="00BF29EB">
        <w:rPr>
          <w:rFonts w:asciiTheme="majorHAnsi" w:hAnsiTheme="majorHAnsi" w:cstheme="majorHAnsi"/>
          <w:sz w:val="24"/>
          <w:szCs w:val="24"/>
        </w:rPr>
        <w:t>creștere de 48,6%</w:t>
      </w:r>
      <w:r>
        <w:rPr>
          <w:rFonts w:asciiTheme="majorHAnsi" w:hAnsiTheme="majorHAnsi" w:cstheme="majorHAnsi"/>
          <w:sz w:val="24"/>
          <w:szCs w:val="24"/>
        </w:rPr>
        <w:t>.</w:t>
      </w:r>
      <w:r w:rsidR="00793C62">
        <w:rPr>
          <w:rFonts w:asciiTheme="majorHAnsi" w:hAnsiTheme="majorHAnsi" w:cstheme="majorHAnsi"/>
          <w:sz w:val="24"/>
          <w:szCs w:val="24"/>
        </w:rPr>
        <w:t xml:space="preserve"> </w:t>
      </w:r>
      <w:r>
        <w:rPr>
          <w:rFonts w:asciiTheme="majorHAnsi" w:hAnsiTheme="majorHAnsi" w:cstheme="majorHAnsi"/>
          <w:sz w:val="24"/>
          <w:szCs w:val="24"/>
        </w:rPr>
        <w:t>Totodată</w:t>
      </w:r>
      <w:r w:rsidR="00DF436E">
        <w:rPr>
          <w:rFonts w:asciiTheme="majorHAnsi" w:hAnsiTheme="majorHAnsi" w:cstheme="majorHAnsi"/>
          <w:sz w:val="24"/>
          <w:szCs w:val="24"/>
        </w:rPr>
        <w:t>,</w:t>
      </w:r>
      <w:r>
        <w:rPr>
          <w:rFonts w:asciiTheme="majorHAnsi" w:hAnsiTheme="majorHAnsi" w:cstheme="majorHAnsi"/>
          <w:sz w:val="24"/>
          <w:szCs w:val="24"/>
        </w:rPr>
        <w:t xml:space="preserve"> ca pondere în</w:t>
      </w:r>
      <w:r w:rsidR="00793C62">
        <w:rPr>
          <w:rFonts w:asciiTheme="majorHAnsi" w:hAnsiTheme="majorHAnsi" w:cstheme="majorHAnsi"/>
          <w:sz w:val="24"/>
          <w:szCs w:val="24"/>
        </w:rPr>
        <w:t xml:space="preserve"> </w:t>
      </w:r>
      <w:r w:rsidRPr="00BF29EB">
        <w:rPr>
          <w:rFonts w:asciiTheme="majorHAnsi" w:eastAsia="Times New Roman" w:hAnsiTheme="majorHAnsi" w:cstheme="majorHAnsi"/>
          <w:sz w:val="24"/>
          <w:szCs w:val="24"/>
          <w:lang w:eastAsia="ru-RU"/>
        </w:rPr>
        <w:t>PIB</w:t>
      </w:r>
      <w:r w:rsidR="00E430E8">
        <w:rPr>
          <w:rFonts w:asciiTheme="majorHAnsi" w:eastAsia="Times New Roman" w:hAnsiTheme="majorHAnsi" w:cstheme="majorHAnsi"/>
          <w:sz w:val="24"/>
          <w:szCs w:val="24"/>
          <w:lang w:eastAsia="ru-RU"/>
        </w:rPr>
        <w:t>,</w:t>
      </w:r>
      <w:r>
        <w:rPr>
          <w:rFonts w:asciiTheme="majorHAnsi" w:hAnsiTheme="majorHAnsi" w:cstheme="majorHAnsi"/>
          <w:sz w:val="24"/>
          <w:szCs w:val="24"/>
        </w:rPr>
        <w:t xml:space="preserve"> </w:t>
      </w:r>
      <w:r>
        <w:rPr>
          <w:rFonts w:asciiTheme="majorHAnsi" w:eastAsia="Times New Roman" w:hAnsiTheme="majorHAnsi" w:cstheme="majorHAnsi"/>
          <w:sz w:val="24"/>
          <w:szCs w:val="24"/>
          <w:lang w:eastAsia="ru-RU"/>
        </w:rPr>
        <w:t>d</w:t>
      </w:r>
      <w:r w:rsidRPr="00BF29EB">
        <w:rPr>
          <w:rFonts w:asciiTheme="majorHAnsi" w:eastAsia="Times New Roman" w:hAnsiTheme="majorHAnsi" w:cstheme="majorHAnsi"/>
          <w:sz w:val="24"/>
          <w:szCs w:val="24"/>
          <w:lang w:eastAsia="ru-RU"/>
        </w:rPr>
        <w:t>eficitul bugetului</w:t>
      </w:r>
      <w:r>
        <w:rPr>
          <w:rFonts w:asciiTheme="majorHAnsi" w:eastAsia="Times New Roman" w:hAnsiTheme="majorHAnsi" w:cstheme="majorHAnsi"/>
          <w:sz w:val="24"/>
          <w:szCs w:val="24"/>
          <w:lang w:eastAsia="ru-RU"/>
        </w:rPr>
        <w:t xml:space="preserve"> de stat a constituit 1,2%, sau</w:t>
      </w:r>
      <w:r w:rsidR="00793C62">
        <w:rPr>
          <w:rFonts w:asciiTheme="majorHAnsi" w:eastAsia="Times New Roman" w:hAnsiTheme="majorHAnsi" w:cstheme="majorHAnsi"/>
          <w:sz w:val="24"/>
          <w:szCs w:val="24"/>
          <w:lang w:eastAsia="ru-RU"/>
        </w:rPr>
        <w:t xml:space="preserve"> </w:t>
      </w:r>
      <w:r w:rsidRPr="00BF29EB">
        <w:rPr>
          <w:rFonts w:asciiTheme="majorHAnsi" w:eastAsia="Times New Roman" w:hAnsiTheme="majorHAnsi" w:cstheme="majorHAnsi"/>
          <w:sz w:val="24"/>
          <w:szCs w:val="24"/>
          <w:lang w:eastAsia="ru-RU"/>
        </w:rPr>
        <w:t>mai puțin față de i</w:t>
      </w:r>
      <w:r w:rsidR="002C65CD">
        <w:rPr>
          <w:rFonts w:asciiTheme="majorHAnsi" w:eastAsia="Times New Roman" w:hAnsiTheme="majorHAnsi" w:cstheme="majorHAnsi"/>
          <w:sz w:val="24"/>
          <w:szCs w:val="24"/>
          <w:lang w:eastAsia="ru-RU"/>
        </w:rPr>
        <w:t>ndicatorul prognozat (2,6</w:t>
      </w:r>
      <w:r>
        <w:rPr>
          <w:rFonts w:asciiTheme="majorHAnsi" w:eastAsia="Times New Roman" w:hAnsiTheme="majorHAnsi" w:cstheme="majorHAnsi"/>
          <w:sz w:val="24"/>
          <w:szCs w:val="24"/>
          <w:lang w:eastAsia="ru-RU"/>
        </w:rPr>
        <w:t>%) cu 1,4</w:t>
      </w:r>
      <w:r w:rsidRPr="00BF29EB">
        <w:rPr>
          <w:rFonts w:asciiTheme="majorHAnsi" w:eastAsia="Times New Roman" w:hAnsiTheme="majorHAnsi" w:cstheme="majorHAnsi"/>
          <w:sz w:val="24"/>
          <w:szCs w:val="24"/>
          <w:lang w:eastAsia="ru-RU"/>
        </w:rPr>
        <w:t xml:space="preserve"> </w:t>
      </w:r>
      <w:proofErr w:type="spellStart"/>
      <w:r w:rsidRPr="00BF29EB">
        <w:rPr>
          <w:rFonts w:asciiTheme="majorHAnsi" w:eastAsia="Times New Roman" w:hAnsiTheme="majorHAnsi" w:cstheme="majorHAnsi"/>
          <w:sz w:val="24"/>
          <w:szCs w:val="24"/>
          <w:lang w:eastAsia="ru-RU"/>
        </w:rPr>
        <w:t>p.p.</w:t>
      </w:r>
      <w:proofErr w:type="spellEnd"/>
    </w:p>
    <w:p w:rsidR="00DF436E" w:rsidRPr="00DF436E" w:rsidRDefault="00CB0A2A" w:rsidP="00DF436E">
      <w:pPr>
        <w:spacing w:after="0" w:line="276" w:lineRule="auto"/>
        <w:ind w:firstLine="709"/>
        <w:jc w:val="both"/>
        <w:rPr>
          <w:rFonts w:asciiTheme="majorHAnsi" w:hAnsiTheme="majorHAnsi" w:cstheme="majorHAnsi"/>
          <w:b/>
          <w:i/>
          <w:sz w:val="24"/>
          <w:szCs w:val="24"/>
        </w:rPr>
      </w:pPr>
      <w:r w:rsidRPr="009F5005">
        <w:rPr>
          <w:rFonts w:asciiTheme="majorHAnsi" w:hAnsiTheme="majorHAnsi" w:cstheme="majorHAnsi"/>
          <w:sz w:val="24"/>
          <w:szCs w:val="24"/>
        </w:rPr>
        <w:t xml:space="preserve">Potrivit datelor raportate de </w:t>
      </w:r>
      <w:r w:rsidR="00DF436E">
        <w:rPr>
          <w:rFonts w:asciiTheme="majorHAnsi" w:hAnsiTheme="majorHAnsi" w:cstheme="majorHAnsi"/>
          <w:sz w:val="24"/>
          <w:szCs w:val="24"/>
        </w:rPr>
        <w:t>MF,</w:t>
      </w:r>
      <w:r w:rsidRPr="009F5005">
        <w:rPr>
          <w:rFonts w:asciiTheme="majorHAnsi" w:hAnsiTheme="majorHAnsi" w:cstheme="majorHAnsi"/>
          <w:sz w:val="24"/>
          <w:szCs w:val="24"/>
        </w:rPr>
        <w:t xml:space="preserve"> </w:t>
      </w:r>
      <w:r w:rsidR="00DF436E" w:rsidRPr="00D667F4">
        <w:rPr>
          <w:rFonts w:asciiTheme="majorHAnsi" w:hAnsiTheme="majorHAnsi" w:cstheme="majorHAnsi"/>
          <w:i/>
          <w:sz w:val="24"/>
          <w:szCs w:val="24"/>
        </w:rPr>
        <w:t xml:space="preserve">Sursele de finanțare a deficitului bugetului de stat se prezintă în </w:t>
      </w:r>
      <w:r w:rsidR="00523058">
        <w:rPr>
          <w:rFonts w:asciiTheme="majorHAnsi" w:hAnsiTheme="majorHAnsi" w:cstheme="majorHAnsi"/>
          <w:b/>
          <w:i/>
          <w:sz w:val="24"/>
          <w:szCs w:val="24"/>
        </w:rPr>
        <w:t>Tabelul nr.7.</w:t>
      </w:r>
    </w:p>
    <w:p w:rsidR="00CB0A2A" w:rsidRPr="00F65B49" w:rsidRDefault="00523058" w:rsidP="00CB0A2A">
      <w:pPr>
        <w:spacing w:after="0" w:line="276" w:lineRule="auto"/>
        <w:ind w:firstLine="709"/>
        <w:jc w:val="right"/>
        <w:rPr>
          <w:rFonts w:asciiTheme="majorHAnsi" w:hAnsiTheme="majorHAnsi" w:cstheme="majorHAnsi"/>
          <w:i/>
          <w:sz w:val="24"/>
          <w:szCs w:val="24"/>
        </w:rPr>
      </w:pPr>
      <w:r w:rsidRPr="00F65B49">
        <w:rPr>
          <w:rFonts w:asciiTheme="majorHAnsi" w:hAnsiTheme="majorHAnsi" w:cstheme="majorHAnsi"/>
          <w:i/>
          <w:sz w:val="24"/>
          <w:szCs w:val="24"/>
        </w:rPr>
        <w:t>Tabelul nr.7</w:t>
      </w:r>
    </w:p>
    <w:p w:rsidR="00CB0A2A" w:rsidRPr="00281644" w:rsidRDefault="00CB0A2A" w:rsidP="00CB0A2A">
      <w:pPr>
        <w:spacing w:after="0" w:line="276" w:lineRule="auto"/>
        <w:ind w:firstLine="709"/>
        <w:jc w:val="center"/>
        <w:rPr>
          <w:rFonts w:asciiTheme="majorHAnsi" w:hAnsiTheme="majorHAnsi" w:cstheme="majorHAnsi"/>
          <w:b/>
          <w:sz w:val="24"/>
          <w:szCs w:val="24"/>
        </w:rPr>
      </w:pPr>
      <w:r w:rsidRPr="00173413">
        <w:rPr>
          <w:rFonts w:asciiTheme="majorHAnsi" w:hAnsiTheme="majorHAnsi" w:cstheme="majorHAnsi"/>
          <w:b/>
          <w:sz w:val="24"/>
          <w:szCs w:val="24"/>
        </w:rPr>
        <w:t>Sursele de finanțare a deficitului bugetului de stat pe anul 2018</w:t>
      </w:r>
    </w:p>
    <w:p w:rsidR="00CB0A2A" w:rsidRPr="00ED42CD" w:rsidRDefault="00CB0A2A" w:rsidP="00CB0A2A">
      <w:pPr>
        <w:spacing w:after="0" w:line="276" w:lineRule="auto"/>
        <w:ind w:firstLine="709"/>
        <w:jc w:val="right"/>
        <w:rPr>
          <w:rFonts w:asciiTheme="majorHAnsi" w:hAnsiTheme="majorHAnsi" w:cstheme="majorHAnsi"/>
          <w:b/>
          <w:sz w:val="24"/>
          <w:szCs w:val="24"/>
        </w:rPr>
      </w:pPr>
      <w:r w:rsidRPr="00ED42CD">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sidRPr="00ED42CD">
        <w:rPr>
          <w:rFonts w:asciiTheme="majorHAnsi" w:hAnsiTheme="majorHAnsi" w:cstheme="majorHAnsi"/>
          <w:b/>
          <w:sz w:val="24"/>
          <w:szCs w:val="24"/>
        </w:rPr>
        <w:t>)</w:t>
      </w:r>
    </w:p>
    <w:tbl>
      <w:tblPr>
        <w:tblStyle w:val="GridTable1Light"/>
        <w:tblW w:w="9598" w:type="dxa"/>
        <w:tblLook w:val="04A0" w:firstRow="1" w:lastRow="0" w:firstColumn="1" w:lastColumn="0" w:noHBand="0" w:noVBand="1"/>
      </w:tblPr>
      <w:tblGrid>
        <w:gridCol w:w="5949"/>
        <w:gridCol w:w="1276"/>
        <w:gridCol w:w="1239"/>
        <w:gridCol w:w="1134"/>
      </w:tblGrid>
      <w:tr w:rsidR="00CB0A2A" w:rsidTr="00463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center"/>
              <w:rPr>
                <w:rFonts w:asciiTheme="majorHAnsi" w:hAnsiTheme="majorHAnsi" w:cstheme="majorHAnsi"/>
                <w:sz w:val="24"/>
                <w:szCs w:val="24"/>
              </w:rPr>
            </w:pPr>
            <w:r w:rsidRPr="00203456">
              <w:rPr>
                <w:rFonts w:asciiTheme="majorHAnsi" w:hAnsiTheme="majorHAnsi" w:cstheme="majorHAnsi"/>
                <w:sz w:val="24"/>
                <w:szCs w:val="24"/>
              </w:rPr>
              <w:t>Indicatori</w:t>
            </w:r>
          </w:p>
        </w:tc>
        <w:tc>
          <w:tcPr>
            <w:tcW w:w="1276" w:type="dxa"/>
          </w:tcPr>
          <w:p w:rsidR="00CB0A2A" w:rsidRPr="00203456" w:rsidRDefault="00CB0A2A" w:rsidP="00463CB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03456">
              <w:rPr>
                <w:rFonts w:asciiTheme="majorHAnsi" w:hAnsiTheme="majorHAnsi" w:cstheme="majorHAnsi"/>
                <w:sz w:val="24"/>
                <w:szCs w:val="24"/>
              </w:rPr>
              <w:t>Precizat</w:t>
            </w:r>
          </w:p>
        </w:tc>
        <w:tc>
          <w:tcPr>
            <w:tcW w:w="1239" w:type="dxa"/>
          </w:tcPr>
          <w:p w:rsidR="00CB0A2A" w:rsidRPr="00203456" w:rsidRDefault="00CB0A2A" w:rsidP="00463CB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03456">
              <w:rPr>
                <w:rFonts w:asciiTheme="majorHAnsi" w:hAnsiTheme="majorHAnsi" w:cstheme="majorHAnsi"/>
                <w:sz w:val="24"/>
                <w:szCs w:val="24"/>
              </w:rPr>
              <w:t>Executat</w:t>
            </w:r>
          </w:p>
        </w:tc>
        <w:tc>
          <w:tcPr>
            <w:tcW w:w="1134" w:type="dxa"/>
          </w:tcPr>
          <w:p w:rsidR="00CB0A2A" w:rsidRPr="00203456" w:rsidRDefault="00CB0A2A" w:rsidP="00463CB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03456">
              <w:rPr>
                <w:rFonts w:asciiTheme="majorHAnsi" w:hAnsiTheme="majorHAnsi" w:cstheme="majorHAnsi"/>
                <w:sz w:val="24"/>
                <w:szCs w:val="24"/>
              </w:rPr>
              <w:t>Devieri (+/-)</w:t>
            </w:r>
          </w:p>
        </w:tc>
      </w:tr>
      <w:tr w:rsidR="00CB0A2A"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F27830" w:rsidRDefault="00CB0A2A" w:rsidP="00463CB3">
            <w:pPr>
              <w:jc w:val="center"/>
              <w:rPr>
                <w:rFonts w:asciiTheme="majorHAnsi" w:hAnsiTheme="majorHAnsi" w:cstheme="majorHAnsi"/>
                <w:b w:val="0"/>
                <w:i/>
                <w:sz w:val="18"/>
                <w:szCs w:val="18"/>
              </w:rPr>
            </w:pPr>
            <w:r w:rsidRPr="00F27830">
              <w:rPr>
                <w:rFonts w:asciiTheme="majorHAnsi" w:hAnsiTheme="majorHAnsi" w:cstheme="majorHAnsi"/>
                <w:b w:val="0"/>
                <w:i/>
                <w:sz w:val="18"/>
                <w:szCs w:val="18"/>
              </w:rPr>
              <w:t>1</w:t>
            </w:r>
          </w:p>
        </w:tc>
        <w:tc>
          <w:tcPr>
            <w:tcW w:w="1276" w:type="dxa"/>
          </w:tcPr>
          <w:p w:rsidR="00CB0A2A" w:rsidRPr="00F27830" w:rsidRDefault="00CB0A2A" w:rsidP="00463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F27830">
              <w:rPr>
                <w:rFonts w:asciiTheme="majorHAnsi" w:hAnsiTheme="majorHAnsi" w:cstheme="majorHAnsi"/>
                <w:i/>
                <w:sz w:val="18"/>
                <w:szCs w:val="18"/>
              </w:rPr>
              <w:t>2</w:t>
            </w:r>
          </w:p>
        </w:tc>
        <w:tc>
          <w:tcPr>
            <w:tcW w:w="1239" w:type="dxa"/>
          </w:tcPr>
          <w:p w:rsidR="00CB0A2A" w:rsidRPr="00F27830" w:rsidRDefault="00CB0A2A" w:rsidP="00463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F27830">
              <w:rPr>
                <w:rFonts w:asciiTheme="majorHAnsi" w:hAnsiTheme="majorHAnsi" w:cstheme="majorHAnsi"/>
                <w:i/>
                <w:sz w:val="18"/>
                <w:szCs w:val="18"/>
              </w:rPr>
              <w:t>3</w:t>
            </w:r>
          </w:p>
        </w:tc>
        <w:tc>
          <w:tcPr>
            <w:tcW w:w="1134" w:type="dxa"/>
          </w:tcPr>
          <w:p w:rsidR="00CB0A2A" w:rsidRPr="00F27830" w:rsidRDefault="00CB0A2A" w:rsidP="00463C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F27830">
              <w:rPr>
                <w:rFonts w:asciiTheme="majorHAnsi" w:hAnsiTheme="majorHAnsi" w:cstheme="majorHAnsi"/>
                <w:i/>
                <w:sz w:val="18"/>
                <w:szCs w:val="18"/>
              </w:rPr>
              <w:t>4=3-2</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sz w:val="24"/>
                <w:szCs w:val="24"/>
              </w:rPr>
            </w:pPr>
            <w:r w:rsidRPr="00203456">
              <w:rPr>
                <w:rFonts w:asciiTheme="majorHAnsi" w:hAnsiTheme="majorHAnsi" w:cstheme="majorHAnsi"/>
                <w:sz w:val="24"/>
                <w:szCs w:val="24"/>
              </w:rPr>
              <w:t>Total surse de finanțare</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5 062,5</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2 275,7</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en-US"/>
              </w:rPr>
            </w:pPr>
            <w:r>
              <w:rPr>
                <w:rFonts w:asciiTheme="majorHAnsi" w:hAnsiTheme="majorHAnsi" w:cstheme="majorHAnsi"/>
                <w:b/>
                <w:sz w:val="24"/>
                <w:szCs w:val="24"/>
              </w:rPr>
              <w:t>-2 786,8</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sz w:val="24"/>
                <w:szCs w:val="24"/>
              </w:rPr>
            </w:pPr>
            <w:r w:rsidRPr="00203456">
              <w:rPr>
                <w:rFonts w:asciiTheme="majorHAnsi" w:hAnsiTheme="majorHAnsi" w:cstheme="majorHAnsi"/>
                <w:sz w:val="24"/>
                <w:szCs w:val="24"/>
              </w:rPr>
              <w:t>Active financiare (4)</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180,3</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670,0</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Pr>
                <w:rFonts w:asciiTheme="majorHAnsi" w:hAnsiTheme="majorHAnsi" w:cstheme="majorHAnsi"/>
                <w:b/>
                <w:sz w:val="24"/>
                <w:szCs w:val="24"/>
              </w:rPr>
              <w:t>+489,7</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B2560C" w:rsidRDefault="00CB0A2A" w:rsidP="00463CB3">
            <w:pPr>
              <w:jc w:val="both"/>
              <w:rPr>
                <w:rFonts w:asciiTheme="majorHAnsi" w:hAnsiTheme="majorHAnsi" w:cstheme="majorHAnsi"/>
                <w:sz w:val="24"/>
                <w:szCs w:val="24"/>
              </w:rPr>
            </w:pPr>
            <w:r w:rsidRPr="00B2560C">
              <w:rPr>
                <w:rFonts w:asciiTheme="majorHAnsi" w:hAnsiTheme="majorHAnsi" w:cstheme="majorHAnsi"/>
                <w:sz w:val="24"/>
                <w:szCs w:val="24"/>
              </w:rPr>
              <w:t>Creanțe interne (41)</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1 204,2</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1 176,9</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-27,3</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E430E8" w:rsidP="00463CB3">
            <w:pPr>
              <w:jc w:val="both"/>
              <w:rPr>
                <w:rFonts w:asciiTheme="majorHAnsi" w:hAnsiTheme="majorHAnsi" w:cstheme="majorHAnsi"/>
                <w:b w:val="0"/>
                <w:sz w:val="24"/>
                <w:szCs w:val="24"/>
              </w:rPr>
            </w:pPr>
            <w:r>
              <w:rPr>
                <w:rFonts w:asciiTheme="majorHAnsi" w:hAnsiTheme="majorHAnsi" w:cstheme="majorHAnsi"/>
                <w:b w:val="0"/>
                <w:sz w:val="24"/>
                <w:szCs w:val="24"/>
              </w:rPr>
              <w:t>d</w:t>
            </w:r>
            <w:r w:rsidR="00CB0A2A" w:rsidRPr="00203456">
              <w:rPr>
                <w:rFonts w:asciiTheme="majorHAnsi" w:hAnsiTheme="majorHAnsi" w:cstheme="majorHAnsi"/>
                <w:b w:val="0"/>
                <w:sz w:val="24"/>
                <w:szCs w:val="24"/>
              </w:rPr>
              <w:t>intre care: acțiuni și alte forme de participare în capital în interiorul țării (venituri din privatizare) (415)</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173,7</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140,2</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-33,5</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Alte creanțe ale bugetului (418)</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1 030,5</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1 036,8</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+6,3</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 xml:space="preserve">Împrumuturi </w:t>
            </w:r>
            <w:proofErr w:type="spellStart"/>
            <w:r w:rsidRPr="00203456">
              <w:rPr>
                <w:rFonts w:asciiTheme="majorHAnsi" w:hAnsiTheme="majorHAnsi" w:cstheme="majorHAnsi"/>
                <w:b w:val="0"/>
                <w:sz w:val="24"/>
                <w:szCs w:val="24"/>
              </w:rPr>
              <w:t>recreditate</w:t>
            </w:r>
            <w:proofErr w:type="spellEnd"/>
            <w:r w:rsidRPr="00203456">
              <w:rPr>
                <w:rFonts w:asciiTheme="majorHAnsi" w:hAnsiTheme="majorHAnsi" w:cstheme="majorHAnsi"/>
                <w:b w:val="0"/>
                <w:sz w:val="24"/>
                <w:szCs w:val="24"/>
              </w:rPr>
              <w:t xml:space="preserve"> interne între bugete (46)</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40,5</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32,0</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 xml:space="preserve">Împrumuturi </w:t>
            </w:r>
            <w:proofErr w:type="spellStart"/>
            <w:r w:rsidRPr="00203456">
              <w:rPr>
                <w:rFonts w:asciiTheme="majorHAnsi" w:hAnsiTheme="majorHAnsi" w:cstheme="majorHAnsi"/>
                <w:b w:val="0"/>
                <w:sz w:val="24"/>
                <w:szCs w:val="24"/>
              </w:rPr>
              <w:t>recreditate</w:t>
            </w:r>
            <w:proofErr w:type="spellEnd"/>
            <w:r w:rsidRPr="00203456">
              <w:rPr>
                <w:rFonts w:asciiTheme="majorHAnsi" w:hAnsiTheme="majorHAnsi" w:cstheme="majorHAnsi"/>
                <w:b w:val="0"/>
                <w:sz w:val="24"/>
                <w:szCs w:val="24"/>
              </w:rPr>
              <w:t xml:space="preserve"> interne instituțiilor financiare și nefinanciare (47)</w:t>
            </w:r>
          </w:p>
        </w:tc>
        <w:tc>
          <w:tcPr>
            <w:tcW w:w="1276" w:type="dxa"/>
          </w:tcPr>
          <w:p w:rsidR="00CB0A2A" w:rsidRPr="00B2560C" w:rsidRDefault="00CB0A2A" w:rsidP="00463CB3">
            <w:pPr>
              <w:pStyle w:val="ListParagraph"/>
              <w:ind w:left="27"/>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t>
            </w:r>
            <w:r w:rsidRPr="00B2560C">
              <w:rPr>
                <w:rFonts w:asciiTheme="majorHAnsi" w:hAnsiTheme="majorHAnsi" w:cstheme="majorHAnsi"/>
                <w:sz w:val="24"/>
                <w:szCs w:val="24"/>
              </w:rPr>
              <w:t>1 065,3</w:t>
            </w:r>
          </w:p>
        </w:tc>
        <w:tc>
          <w:tcPr>
            <w:tcW w:w="1239" w:type="dxa"/>
          </w:tcPr>
          <w:p w:rsidR="00CB0A2A" w:rsidRPr="00B2560C" w:rsidRDefault="00CB0A2A" w:rsidP="00463CB3">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t>
            </w:r>
            <w:r w:rsidRPr="00B2560C">
              <w:rPr>
                <w:rFonts w:asciiTheme="majorHAnsi" w:hAnsiTheme="majorHAnsi" w:cstheme="majorHAnsi"/>
                <w:sz w:val="24"/>
                <w:szCs w:val="24"/>
              </w:rPr>
              <w:t>459,5</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-605,8</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Creanțe externe (48)</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0,9</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2,8</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1,9</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sz w:val="24"/>
                <w:szCs w:val="24"/>
              </w:rPr>
            </w:pPr>
            <w:r w:rsidRPr="00203456">
              <w:rPr>
                <w:rFonts w:asciiTheme="majorHAnsi" w:hAnsiTheme="majorHAnsi" w:cstheme="majorHAnsi"/>
                <w:sz w:val="24"/>
                <w:szCs w:val="24"/>
              </w:rPr>
              <w:t>Datorii (5)</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4 966,6</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2560C">
              <w:rPr>
                <w:rFonts w:asciiTheme="majorHAnsi" w:hAnsiTheme="majorHAnsi" w:cstheme="majorHAnsi"/>
                <w:b/>
                <w:sz w:val="24"/>
                <w:szCs w:val="24"/>
              </w:rPr>
              <w:t>991,6</w:t>
            </w:r>
          </w:p>
        </w:tc>
        <w:tc>
          <w:tcPr>
            <w:tcW w:w="1134" w:type="dxa"/>
          </w:tcPr>
          <w:p w:rsidR="00CB0A2A" w:rsidRPr="00203456"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203456">
              <w:rPr>
                <w:rFonts w:asciiTheme="majorHAnsi" w:hAnsiTheme="majorHAnsi" w:cstheme="majorHAnsi"/>
                <w:b/>
                <w:sz w:val="24"/>
                <w:szCs w:val="24"/>
              </w:rPr>
              <w:t>-3 975,0</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Datorii interne (51)</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1 831,1</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403,8</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w:t>
            </w:r>
            <w:r>
              <w:rPr>
                <w:rFonts w:asciiTheme="majorHAnsi" w:hAnsiTheme="majorHAnsi" w:cstheme="majorHAnsi"/>
                <w:sz w:val="24"/>
                <w:szCs w:val="24"/>
              </w:rPr>
              <w:t xml:space="preserve"> 427,3</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E430E8" w:rsidP="00463CB3">
            <w:pPr>
              <w:jc w:val="both"/>
              <w:rPr>
                <w:rFonts w:asciiTheme="majorHAnsi" w:hAnsiTheme="majorHAnsi" w:cstheme="majorHAnsi"/>
                <w:b w:val="0"/>
                <w:sz w:val="24"/>
                <w:szCs w:val="24"/>
              </w:rPr>
            </w:pPr>
            <w:r>
              <w:rPr>
                <w:rFonts w:asciiTheme="majorHAnsi" w:hAnsiTheme="majorHAnsi" w:cstheme="majorHAnsi"/>
                <w:b w:val="0"/>
                <w:sz w:val="24"/>
                <w:szCs w:val="24"/>
              </w:rPr>
              <w:t>d</w:t>
            </w:r>
            <w:r w:rsidR="00CB0A2A" w:rsidRPr="00203456">
              <w:rPr>
                <w:rFonts w:asciiTheme="majorHAnsi" w:hAnsiTheme="majorHAnsi" w:cstheme="majorHAnsi"/>
                <w:b w:val="0"/>
                <w:sz w:val="24"/>
                <w:szCs w:val="24"/>
              </w:rPr>
              <w:t>intre care: valori mobiliare de stat emise pe piața primară (5131)</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600,0</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600,0</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0,0</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lastRenderedPageBreak/>
              <w:t>Valori mobiliare de stat emise în alte scopuri (5134)</w:t>
            </w:r>
          </w:p>
        </w:tc>
        <w:tc>
          <w:tcPr>
            <w:tcW w:w="1276" w:type="dxa"/>
          </w:tcPr>
          <w:p w:rsidR="00CB0A2A" w:rsidRPr="00973967"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w:t>
            </w:r>
            <w:r w:rsidRPr="00973967">
              <w:rPr>
                <w:rFonts w:asciiTheme="majorHAnsi" w:hAnsiTheme="majorHAnsi" w:cstheme="majorHAnsi"/>
                <w:sz w:val="24"/>
                <w:szCs w:val="24"/>
              </w:rPr>
              <w:t>281,1</w:t>
            </w:r>
          </w:p>
        </w:tc>
        <w:tc>
          <w:tcPr>
            <w:tcW w:w="1239" w:type="dxa"/>
          </w:tcPr>
          <w:p w:rsidR="00CB0A2A" w:rsidRPr="00B2560C" w:rsidRDefault="00CB0A2A" w:rsidP="00463CB3">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t>
            </w:r>
            <w:r w:rsidRPr="00B2560C">
              <w:rPr>
                <w:rFonts w:asciiTheme="majorHAnsi" w:hAnsiTheme="majorHAnsi" w:cstheme="majorHAnsi"/>
                <w:sz w:val="24"/>
                <w:szCs w:val="24"/>
              </w:rPr>
              <w:t>120,0</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-1</w:t>
            </w:r>
            <w:r>
              <w:rPr>
                <w:rFonts w:asciiTheme="majorHAnsi" w:hAnsiTheme="majorHAnsi" w:cstheme="majorHAnsi"/>
                <w:sz w:val="24"/>
                <w:szCs w:val="24"/>
              </w:rPr>
              <w:t xml:space="preserve"> 161,1</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Garanții de stat interne (514)</w:t>
            </w:r>
          </w:p>
        </w:tc>
        <w:tc>
          <w:tcPr>
            <w:tcW w:w="1276" w:type="dxa"/>
          </w:tcPr>
          <w:p w:rsidR="00CB0A2A" w:rsidRPr="00973967"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73967">
              <w:rPr>
                <w:rFonts w:asciiTheme="majorHAnsi" w:hAnsiTheme="majorHAnsi" w:cstheme="majorHAnsi"/>
                <w:sz w:val="24"/>
                <w:szCs w:val="24"/>
              </w:rPr>
              <w:t>-50,0</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0,0</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-50,0</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203456" w:rsidRDefault="00CB0A2A" w:rsidP="00463CB3">
            <w:pPr>
              <w:jc w:val="both"/>
              <w:rPr>
                <w:rFonts w:asciiTheme="majorHAnsi" w:hAnsiTheme="majorHAnsi" w:cstheme="majorHAnsi"/>
                <w:b w:val="0"/>
                <w:sz w:val="24"/>
                <w:szCs w:val="24"/>
              </w:rPr>
            </w:pPr>
            <w:r w:rsidRPr="00203456">
              <w:rPr>
                <w:rFonts w:asciiTheme="majorHAnsi" w:hAnsiTheme="majorHAnsi" w:cstheme="majorHAnsi"/>
                <w:b w:val="0"/>
                <w:sz w:val="24"/>
                <w:szCs w:val="24"/>
              </w:rPr>
              <w:t>Împrumuturi externe (59)</w:t>
            </w:r>
          </w:p>
        </w:tc>
        <w:tc>
          <w:tcPr>
            <w:tcW w:w="1276"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3 135,5</w:t>
            </w:r>
          </w:p>
        </w:tc>
        <w:tc>
          <w:tcPr>
            <w:tcW w:w="1239"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587,8</w:t>
            </w:r>
          </w:p>
        </w:tc>
        <w:tc>
          <w:tcPr>
            <w:tcW w:w="1134" w:type="dxa"/>
          </w:tcPr>
          <w:p w:rsidR="00CB0A2A" w:rsidRPr="00B2560C"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2560C">
              <w:rPr>
                <w:rFonts w:asciiTheme="majorHAnsi" w:hAnsiTheme="majorHAnsi" w:cstheme="majorHAnsi"/>
                <w:sz w:val="24"/>
                <w:szCs w:val="24"/>
              </w:rPr>
              <w:t>-2</w:t>
            </w:r>
            <w:r>
              <w:rPr>
                <w:rFonts w:asciiTheme="majorHAnsi" w:hAnsiTheme="majorHAnsi" w:cstheme="majorHAnsi"/>
                <w:sz w:val="24"/>
                <w:szCs w:val="24"/>
              </w:rPr>
              <w:t xml:space="preserve"> 547,7</w:t>
            </w:r>
          </w:p>
        </w:tc>
      </w:tr>
      <w:tr w:rsidR="00CB0A2A" w:rsidRPr="00B2560C" w:rsidTr="00463CB3">
        <w:tc>
          <w:tcPr>
            <w:cnfStyle w:val="001000000000" w:firstRow="0" w:lastRow="0" w:firstColumn="1" w:lastColumn="0" w:oddVBand="0" w:evenVBand="0" w:oddHBand="0" w:evenHBand="0" w:firstRowFirstColumn="0" w:firstRowLastColumn="0" w:lastRowFirstColumn="0" w:lastRowLastColumn="0"/>
            <w:tcW w:w="5949" w:type="dxa"/>
          </w:tcPr>
          <w:p w:rsidR="00CB0A2A" w:rsidRPr="00B2560C" w:rsidRDefault="00CB0A2A" w:rsidP="00463CB3">
            <w:pPr>
              <w:jc w:val="both"/>
              <w:rPr>
                <w:rFonts w:asciiTheme="majorHAnsi" w:hAnsiTheme="majorHAnsi" w:cstheme="majorHAnsi"/>
                <w:sz w:val="24"/>
                <w:szCs w:val="24"/>
              </w:rPr>
            </w:pPr>
            <w:r w:rsidRPr="00B2560C">
              <w:rPr>
                <w:rFonts w:asciiTheme="majorHAnsi" w:hAnsiTheme="majorHAnsi" w:cstheme="majorHAnsi"/>
                <w:sz w:val="24"/>
                <w:szCs w:val="24"/>
              </w:rPr>
              <w:t>Modificarea soldului de mijloace bănești (9)</w:t>
            </w:r>
          </w:p>
        </w:tc>
        <w:tc>
          <w:tcPr>
            <w:tcW w:w="1276" w:type="dxa"/>
          </w:tcPr>
          <w:p w:rsidR="00CB0A2A" w:rsidRPr="00973967"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973967">
              <w:rPr>
                <w:rFonts w:asciiTheme="majorHAnsi" w:hAnsiTheme="majorHAnsi" w:cstheme="majorHAnsi"/>
                <w:b/>
                <w:sz w:val="24"/>
                <w:szCs w:val="24"/>
              </w:rPr>
              <w:t>-84,4</w:t>
            </w:r>
          </w:p>
        </w:tc>
        <w:tc>
          <w:tcPr>
            <w:tcW w:w="1239" w:type="dxa"/>
          </w:tcPr>
          <w:p w:rsidR="00CB0A2A" w:rsidRPr="00203456"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203456">
              <w:rPr>
                <w:rFonts w:asciiTheme="majorHAnsi" w:hAnsiTheme="majorHAnsi" w:cstheme="majorHAnsi"/>
                <w:b/>
                <w:sz w:val="24"/>
                <w:szCs w:val="24"/>
              </w:rPr>
              <w:t>614,0</w:t>
            </w:r>
          </w:p>
        </w:tc>
        <w:tc>
          <w:tcPr>
            <w:tcW w:w="1134" w:type="dxa"/>
          </w:tcPr>
          <w:p w:rsidR="00CB0A2A" w:rsidRPr="00203456" w:rsidRDefault="00CB0A2A" w:rsidP="00463CB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203456">
              <w:rPr>
                <w:rFonts w:asciiTheme="majorHAnsi" w:hAnsiTheme="majorHAnsi" w:cstheme="majorHAnsi"/>
                <w:b/>
                <w:sz w:val="24"/>
                <w:szCs w:val="24"/>
              </w:rPr>
              <w:t>+529,6</w:t>
            </w:r>
          </w:p>
        </w:tc>
      </w:tr>
    </w:tbl>
    <w:p w:rsidR="00CB0A2A" w:rsidRPr="00197B6B" w:rsidRDefault="00CB0A2A" w:rsidP="00CB0A2A">
      <w:pPr>
        <w:spacing w:after="0" w:line="276" w:lineRule="auto"/>
        <w:jc w:val="both"/>
        <w:rPr>
          <w:rFonts w:asciiTheme="majorHAnsi" w:hAnsiTheme="majorHAnsi" w:cstheme="majorHAnsi"/>
          <w:i/>
          <w:sz w:val="20"/>
          <w:szCs w:val="20"/>
        </w:rPr>
      </w:pPr>
      <w:r w:rsidRPr="00197B6B">
        <w:rPr>
          <w:rFonts w:asciiTheme="majorHAnsi" w:hAnsiTheme="majorHAnsi" w:cstheme="majorHAnsi"/>
          <w:b/>
          <w:i/>
          <w:sz w:val="20"/>
          <w:szCs w:val="20"/>
        </w:rPr>
        <w:t>Sursă:</w:t>
      </w:r>
      <w:r w:rsidRPr="00197B6B">
        <w:rPr>
          <w:rFonts w:asciiTheme="majorHAnsi" w:hAnsiTheme="majorHAnsi" w:cstheme="majorHAnsi"/>
          <w:i/>
          <w:sz w:val="20"/>
          <w:szCs w:val="20"/>
        </w:rPr>
        <w:t xml:space="preserve"> Raportul privind executarea bugetului conform </w:t>
      </w:r>
      <w:r w:rsidR="00E430E8">
        <w:rPr>
          <w:rFonts w:asciiTheme="majorHAnsi" w:hAnsiTheme="majorHAnsi" w:cstheme="majorHAnsi"/>
          <w:i/>
          <w:sz w:val="20"/>
          <w:szCs w:val="20"/>
        </w:rPr>
        <w:t>C</w:t>
      </w:r>
      <w:r w:rsidRPr="00197B6B">
        <w:rPr>
          <w:rFonts w:asciiTheme="majorHAnsi" w:hAnsiTheme="majorHAnsi" w:cstheme="majorHAnsi"/>
          <w:i/>
          <w:sz w:val="20"/>
          <w:szCs w:val="20"/>
        </w:rPr>
        <w:t>lasificației economice la situația din 31.12.2018.</w:t>
      </w:r>
    </w:p>
    <w:p w:rsidR="00CB0A2A" w:rsidRDefault="00CB0A2A" w:rsidP="00CB0A2A">
      <w:pPr>
        <w:spacing w:after="0" w:line="276" w:lineRule="auto"/>
        <w:ind w:firstLine="709"/>
        <w:jc w:val="both"/>
        <w:rPr>
          <w:rFonts w:asciiTheme="majorHAnsi" w:eastAsia="Times New Roman" w:hAnsiTheme="majorHAnsi" w:cstheme="majorHAnsi"/>
          <w:sz w:val="24"/>
          <w:szCs w:val="24"/>
          <w:lang w:eastAsia="ru-RU"/>
        </w:rPr>
      </w:pPr>
    </w:p>
    <w:p w:rsidR="00DF436E" w:rsidRDefault="00F30FDC" w:rsidP="00DF436E">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S</w:t>
      </w:r>
      <w:r w:rsidR="00DF436E" w:rsidRPr="009F5005">
        <w:rPr>
          <w:rFonts w:asciiTheme="majorHAnsi" w:hAnsiTheme="majorHAnsi" w:cstheme="majorHAnsi"/>
          <w:sz w:val="24"/>
          <w:szCs w:val="24"/>
        </w:rPr>
        <w:t>ursele de finanțare a deficitului bugetului de stat în anul 2018 au fost</w:t>
      </w:r>
      <w:r w:rsidR="00DF436E">
        <w:rPr>
          <w:rFonts w:asciiTheme="majorHAnsi" w:hAnsiTheme="majorHAnsi" w:cstheme="majorHAnsi"/>
          <w:sz w:val="24"/>
          <w:szCs w:val="24"/>
        </w:rPr>
        <w:t xml:space="preserve"> constituite din</w:t>
      </w:r>
      <w:r w:rsidR="00DF436E" w:rsidRPr="009F5005">
        <w:rPr>
          <w:rFonts w:asciiTheme="majorHAnsi" w:hAnsiTheme="majorHAnsi" w:cstheme="majorHAnsi"/>
          <w:sz w:val="24"/>
          <w:szCs w:val="24"/>
        </w:rPr>
        <w:t xml:space="preserve">: </w:t>
      </w:r>
    </w:p>
    <w:p w:rsidR="00DF436E" w:rsidRPr="00612AFB" w:rsidRDefault="00DF436E" w:rsidP="00DF436E">
      <w:pPr>
        <w:spacing w:after="0" w:line="276" w:lineRule="auto"/>
        <w:jc w:val="both"/>
        <w:rPr>
          <w:rFonts w:asciiTheme="majorHAnsi" w:hAnsiTheme="majorHAnsi" w:cstheme="majorHAnsi"/>
          <w:color w:val="FF0000"/>
          <w:sz w:val="24"/>
          <w:szCs w:val="24"/>
        </w:rPr>
      </w:pPr>
      <w:r w:rsidRPr="00D667F4">
        <w:rPr>
          <w:rFonts w:asciiTheme="majorHAnsi" w:hAnsiTheme="majorHAnsi" w:cstheme="majorHAnsi"/>
          <w:b/>
          <w:i/>
          <w:sz w:val="24"/>
          <w:szCs w:val="24"/>
        </w:rPr>
        <w:t>I)</w:t>
      </w:r>
      <w:r>
        <w:rPr>
          <w:rFonts w:asciiTheme="majorHAnsi" w:hAnsiTheme="majorHAnsi" w:cstheme="majorHAnsi"/>
          <w:sz w:val="24"/>
          <w:szCs w:val="24"/>
        </w:rPr>
        <w:t xml:space="preserve"> </w:t>
      </w:r>
      <w:r w:rsidRPr="00612AFB">
        <w:rPr>
          <w:rFonts w:asciiTheme="majorHAnsi" w:hAnsiTheme="majorHAnsi" w:cstheme="majorHAnsi"/>
          <w:sz w:val="24"/>
          <w:szCs w:val="24"/>
        </w:rPr>
        <w:t>venituri</w:t>
      </w:r>
      <w:r w:rsidR="00E430E8">
        <w:rPr>
          <w:rFonts w:asciiTheme="majorHAnsi" w:hAnsiTheme="majorHAnsi" w:cstheme="majorHAnsi"/>
          <w:sz w:val="24"/>
          <w:szCs w:val="24"/>
        </w:rPr>
        <w:t>le</w:t>
      </w:r>
      <w:r w:rsidRPr="00612AFB">
        <w:rPr>
          <w:rFonts w:asciiTheme="majorHAnsi" w:hAnsiTheme="majorHAnsi" w:cstheme="majorHAnsi"/>
          <w:sz w:val="24"/>
          <w:szCs w:val="24"/>
        </w:rPr>
        <w:t xml:space="preserve"> din privatizarea bunurilor proprietate publică de stat în sumă de 350,4 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sidRPr="00612AFB">
        <w:rPr>
          <w:rFonts w:asciiTheme="majorHAnsi" w:hAnsiTheme="majorHAnsi" w:cstheme="majorHAnsi"/>
          <w:sz w:val="24"/>
          <w:szCs w:val="24"/>
        </w:rPr>
        <w:t>; procurarea cotei</w:t>
      </w:r>
      <w:r w:rsidR="00E430E8">
        <w:rPr>
          <w:rFonts w:asciiTheme="majorHAnsi" w:hAnsiTheme="majorHAnsi" w:cstheme="majorHAnsi"/>
          <w:sz w:val="24"/>
          <w:szCs w:val="24"/>
        </w:rPr>
        <w:t>-</w:t>
      </w:r>
      <w:r w:rsidRPr="00612AFB">
        <w:rPr>
          <w:rFonts w:asciiTheme="majorHAnsi" w:hAnsiTheme="majorHAnsi" w:cstheme="majorHAnsi"/>
          <w:sz w:val="24"/>
          <w:szCs w:val="24"/>
        </w:rPr>
        <w:t>părți în capitalul social</w:t>
      </w:r>
      <w:r w:rsidR="00E430E8">
        <w:rPr>
          <w:rFonts w:asciiTheme="majorHAnsi" w:hAnsiTheme="majorHAnsi" w:cstheme="majorHAnsi"/>
          <w:sz w:val="24"/>
          <w:szCs w:val="24"/>
        </w:rPr>
        <w:t xml:space="preserve"> în sumă de </w:t>
      </w:r>
      <w:r w:rsidRPr="00612AFB">
        <w:rPr>
          <w:rFonts w:asciiTheme="majorHAnsi" w:hAnsiTheme="majorHAnsi" w:cstheme="majorHAnsi"/>
          <w:sz w:val="24"/>
          <w:szCs w:val="24"/>
        </w:rPr>
        <w:t>211,7 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sidRPr="00612AFB">
        <w:rPr>
          <w:rFonts w:asciiTheme="majorHAnsi" w:hAnsiTheme="majorHAnsi" w:cstheme="majorHAnsi"/>
          <w:sz w:val="24"/>
          <w:szCs w:val="24"/>
        </w:rPr>
        <w:t xml:space="preserve">, </w:t>
      </w:r>
      <w:r>
        <w:rPr>
          <w:rFonts w:asciiTheme="majorHAnsi" w:hAnsiTheme="majorHAnsi" w:cstheme="majorHAnsi"/>
          <w:sz w:val="24"/>
          <w:szCs w:val="24"/>
        </w:rPr>
        <w:t>alte creanțe interne în sumă de 679,1 mil</w:t>
      </w:r>
      <w:r w:rsidR="00E430E8">
        <w:rPr>
          <w:rFonts w:asciiTheme="majorHAnsi" w:hAnsiTheme="majorHAnsi" w:cstheme="majorHAnsi"/>
          <w:sz w:val="24"/>
          <w:szCs w:val="24"/>
        </w:rPr>
        <w:t>.</w:t>
      </w:r>
      <w:r>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mijloacele bugetare rambursate din anii precedenți</w:t>
      </w:r>
      <w:r w:rsidR="00E430E8">
        <w:rPr>
          <w:rFonts w:asciiTheme="majorHAnsi" w:hAnsiTheme="majorHAnsi" w:cstheme="majorHAnsi"/>
          <w:sz w:val="24"/>
          <w:szCs w:val="24"/>
        </w:rPr>
        <w:t xml:space="preserve"> în sumă de</w:t>
      </w:r>
      <w:r>
        <w:rPr>
          <w:rFonts w:asciiTheme="majorHAnsi" w:hAnsiTheme="majorHAnsi" w:cstheme="majorHAnsi"/>
          <w:sz w:val="24"/>
          <w:szCs w:val="24"/>
        </w:rPr>
        <w:t xml:space="preserve"> 357,6 mil</w:t>
      </w:r>
      <w:r w:rsidR="00E430E8">
        <w:rPr>
          <w:rFonts w:asciiTheme="majorHAnsi" w:hAnsiTheme="majorHAnsi" w:cstheme="majorHAnsi"/>
          <w:sz w:val="24"/>
          <w:szCs w:val="24"/>
        </w:rPr>
        <w:t>.</w:t>
      </w:r>
      <w:r>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inclusiv 330,5 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xml:space="preserve"> restituite de către CNAS; mijloacele obținute din privatizarea pachetului de acțiuni/cotelor sociale/proprietatea publică</w:t>
      </w:r>
      <w:r w:rsidR="00E430E8">
        <w:rPr>
          <w:rFonts w:asciiTheme="majorHAnsi" w:hAnsiTheme="majorHAnsi" w:cstheme="majorHAnsi"/>
          <w:sz w:val="24"/>
          <w:szCs w:val="24"/>
        </w:rPr>
        <w:t xml:space="preserve"> în sumă de</w:t>
      </w:r>
      <w:r>
        <w:rPr>
          <w:rFonts w:asciiTheme="majorHAnsi" w:hAnsiTheme="majorHAnsi" w:cstheme="majorHAnsi"/>
          <w:sz w:val="24"/>
          <w:szCs w:val="24"/>
        </w:rPr>
        <w:t xml:space="preserve"> 166,1 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sidR="00E430E8">
        <w:rPr>
          <w:rFonts w:asciiTheme="majorHAnsi" w:hAnsiTheme="majorHAnsi" w:cstheme="majorHAnsi"/>
          <w:sz w:val="24"/>
          <w:szCs w:val="24"/>
        </w:rPr>
        <w:t>;</w:t>
      </w:r>
      <w:r w:rsidR="00793C62">
        <w:rPr>
          <w:rFonts w:asciiTheme="majorHAnsi" w:hAnsiTheme="majorHAnsi" w:cstheme="majorHAnsi"/>
          <w:sz w:val="24"/>
          <w:szCs w:val="24"/>
        </w:rPr>
        <w:t xml:space="preserve"> </w:t>
      </w:r>
    </w:p>
    <w:p w:rsidR="00F30FDC" w:rsidRDefault="00DF436E" w:rsidP="00DF436E">
      <w:pPr>
        <w:spacing w:after="0" w:line="276" w:lineRule="auto"/>
        <w:jc w:val="both"/>
        <w:rPr>
          <w:rFonts w:asciiTheme="majorHAnsi" w:hAnsiTheme="majorHAnsi" w:cstheme="majorHAnsi"/>
          <w:sz w:val="24"/>
          <w:szCs w:val="24"/>
        </w:rPr>
      </w:pPr>
      <w:r w:rsidRPr="00D667F4">
        <w:rPr>
          <w:rFonts w:asciiTheme="majorHAnsi" w:hAnsiTheme="majorHAnsi" w:cstheme="majorHAnsi"/>
          <w:b/>
          <w:i/>
          <w:sz w:val="24"/>
          <w:szCs w:val="24"/>
        </w:rPr>
        <w:t>II)</w:t>
      </w:r>
      <w:r w:rsidRPr="00D667F4">
        <w:rPr>
          <w:rFonts w:asciiTheme="majorHAnsi" w:hAnsiTheme="majorHAnsi" w:cstheme="majorHAnsi"/>
          <w:i/>
          <w:sz w:val="24"/>
          <w:szCs w:val="24"/>
        </w:rPr>
        <w:t xml:space="preserve"> datorii</w:t>
      </w:r>
      <w:r w:rsidRPr="00D667F4">
        <w:rPr>
          <w:rFonts w:asciiTheme="majorHAnsi" w:hAnsiTheme="majorHAnsi" w:cstheme="majorHAnsi"/>
          <w:sz w:val="24"/>
          <w:szCs w:val="24"/>
        </w:rPr>
        <w:t xml:space="preserve"> în sumă de 991,6 mil. </w:t>
      </w:r>
      <w:r w:rsidR="007160B9">
        <w:rPr>
          <w:rFonts w:asciiTheme="majorHAnsi" w:hAnsiTheme="majorHAnsi" w:cstheme="majorHAnsi"/>
          <w:sz w:val="24"/>
          <w:szCs w:val="24"/>
        </w:rPr>
        <w:t>MDL</w:t>
      </w:r>
      <w:r>
        <w:rPr>
          <w:rFonts w:asciiTheme="majorHAnsi" w:hAnsiTheme="majorHAnsi" w:cstheme="majorHAnsi"/>
          <w:sz w:val="24"/>
          <w:szCs w:val="24"/>
        </w:rPr>
        <w:t>, inclusiv: datorii interne în sumă de 403,8mil.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xml:space="preserve"> și intrări din împrumuturi externe</w:t>
      </w:r>
      <w:r w:rsidR="000A1A12">
        <w:rPr>
          <w:rFonts w:asciiTheme="majorHAnsi" w:hAnsiTheme="majorHAnsi" w:cstheme="majorHAnsi"/>
          <w:sz w:val="24"/>
          <w:szCs w:val="24"/>
        </w:rPr>
        <w:t xml:space="preserve"> </w:t>
      </w:r>
      <w:r>
        <w:rPr>
          <w:rFonts w:asciiTheme="majorHAnsi" w:hAnsiTheme="majorHAnsi" w:cstheme="majorHAnsi"/>
          <w:sz w:val="24"/>
          <w:szCs w:val="24"/>
        </w:rPr>
        <w:t xml:space="preserve">(net) </w:t>
      </w:r>
      <w:r w:rsidR="00E430E8">
        <w:rPr>
          <w:rFonts w:asciiTheme="majorHAnsi" w:hAnsiTheme="majorHAnsi" w:cstheme="majorHAnsi"/>
          <w:sz w:val="24"/>
          <w:szCs w:val="24"/>
        </w:rPr>
        <w:t>de</w:t>
      </w:r>
      <w:r>
        <w:rPr>
          <w:rFonts w:asciiTheme="majorHAnsi" w:hAnsiTheme="majorHAnsi" w:cstheme="majorHAnsi"/>
          <w:sz w:val="24"/>
          <w:szCs w:val="24"/>
        </w:rPr>
        <w:t xml:space="preserve"> 587,8 mil.</w:t>
      </w:r>
      <w:r w:rsidR="00E430E8">
        <w:rPr>
          <w:rFonts w:asciiTheme="majorHAnsi" w:hAnsiTheme="majorHAnsi" w:cstheme="majorHAnsi"/>
          <w:sz w:val="24"/>
          <w:szCs w:val="24"/>
        </w:rPr>
        <w:t xml:space="preserve"> </w:t>
      </w:r>
      <w:r w:rsidR="007160B9">
        <w:rPr>
          <w:rFonts w:asciiTheme="majorHAnsi" w:hAnsiTheme="majorHAnsi" w:cstheme="majorHAnsi"/>
          <w:sz w:val="24"/>
          <w:szCs w:val="24"/>
        </w:rPr>
        <w:t>MDL</w:t>
      </w:r>
      <w:r w:rsidR="00E430E8">
        <w:rPr>
          <w:rFonts w:asciiTheme="majorHAnsi" w:hAnsiTheme="majorHAnsi" w:cstheme="majorHAnsi"/>
          <w:sz w:val="24"/>
          <w:szCs w:val="24"/>
        </w:rPr>
        <w:t>;</w:t>
      </w:r>
      <w:r>
        <w:rPr>
          <w:rFonts w:asciiTheme="majorHAnsi" w:hAnsiTheme="majorHAnsi" w:cstheme="majorHAnsi"/>
          <w:sz w:val="24"/>
          <w:szCs w:val="24"/>
        </w:rPr>
        <w:t xml:space="preserve"> </w:t>
      </w:r>
    </w:p>
    <w:p w:rsidR="00F82BA3" w:rsidRDefault="00DF436E" w:rsidP="00DF436E">
      <w:pPr>
        <w:spacing w:after="0" w:line="276" w:lineRule="auto"/>
        <w:jc w:val="both"/>
        <w:rPr>
          <w:rFonts w:asciiTheme="majorHAnsi" w:hAnsiTheme="majorHAnsi" w:cstheme="majorHAnsi"/>
          <w:sz w:val="24"/>
          <w:szCs w:val="24"/>
        </w:rPr>
      </w:pPr>
      <w:r w:rsidRPr="00EF63DF">
        <w:rPr>
          <w:rFonts w:asciiTheme="majorHAnsi" w:hAnsiTheme="majorHAnsi" w:cstheme="majorHAnsi"/>
          <w:b/>
          <w:i/>
          <w:sz w:val="24"/>
          <w:szCs w:val="24"/>
        </w:rPr>
        <w:t>iii)</w:t>
      </w:r>
      <w:r w:rsidRPr="00D667F4">
        <w:rPr>
          <w:rFonts w:asciiTheme="majorHAnsi" w:hAnsiTheme="majorHAnsi" w:cstheme="majorHAnsi"/>
          <w:sz w:val="24"/>
          <w:szCs w:val="24"/>
        </w:rPr>
        <w:t xml:space="preserve"> modificarea</w:t>
      </w:r>
      <w:r w:rsidR="00FE4740">
        <w:rPr>
          <w:rFonts w:asciiTheme="majorHAnsi" w:hAnsiTheme="majorHAnsi" w:cstheme="majorHAnsi"/>
          <w:sz w:val="24"/>
          <w:szCs w:val="24"/>
        </w:rPr>
        <w:t>/atragerea</w:t>
      </w:r>
      <w:r w:rsidRPr="00D667F4">
        <w:rPr>
          <w:rFonts w:asciiTheme="majorHAnsi" w:hAnsiTheme="majorHAnsi" w:cstheme="majorHAnsi"/>
          <w:sz w:val="24"/>
          <w:szCs w:val="24"/>
        </w:rPr>
        <w:t xml:space="preserve"> soldului de mijloace bănești în sumă de 698,3 mil. </w:t>
      </w:r>
      <w:r w:rsidR="007160B9">
        <w:rPr>
          <w:rFonts w:asciiTheme="majorHAnsi" w:hAnsiTheme="majorHAnsi" w:cstheme="majorHAnsi"/>
          <w:sz w:val="24"/>
          <w:szCs w:val="24"/>
        </w:rPr>
        <w:t>MDL</w:t>
      </w:r>
      <w:r w:rsidRPr="00D667F4">
        <w:rPr>
          <w:rFonts w:asciiTheme="majorHAnsi" w:hAnsiTheme="majorHAnsi" w:cstheme="majorHAnsi"/>
          <w:sz w:val="24"/>
          <w:szCs w:val="24"/>
        </w:rPr>
        <w:t>.</w:t>
      </w:r>
      <w:r w:rsidR="00793C62">
        <w:rPr>
          <w:rFonts w:asciiTheme="majorHAnsi" w:hAnsiTheme="majorHAnsi" w:cstheme="majorHAnsi"/>
          <w:sz w:val="24"/>
          <w:szCs w:val="24"/>
        </w:rPr>
        <w:t xml:space="preserve"> </w:t>
      </w:r>
    </w:p>
    <w:p w:rsidR="00CB0A2A" w:rsidRPr="003E63F5" w:rsidRDefault="00CB0A2A" w:rsidP="00CB0A2A">
      <w:pPr>
        <w:spacing w:before="240" w:after="0" w:line="276" w:lineRule="auto"/>
        <w:ind w:firstLine="709"/>
        <w:contextualSpacing/>
        <w:jc w:val="both"/>
        <w:rPr>
          <w:rFonts w:asciiTheme="majorHAnsi" w:hAnsiTheme="majorHAnsi" w:cstheme="majorHAnsi"/>
          <w:sz w:val="24"/>
          <w:szCs w:val="24"/>
        </w:rPr>
      </w:pPr>
      <w:r w:rsidRPr="003E63F5">
        <w:rPr>
          <w:rFonts w:asciiTheme="majorHAnsi" w:hAnsiTheme="majorHAnsi" w:cstheme="majorHAnsi"/>
          <w:sz w:val="24"/>
          <w:szCs w:val="24"/>
        </w:rPr>
        <w:t>Referitor la sursa de finanțare a deficitului</w:t>
      </w:r>
      <w:r>
        <w:rPr>
          <w:rFonts w:asciiTheme="majorHAnsi" w:hAnsiTheme="majorHAnsi" w:cstheme="majorHAnsi"/>
          <w:sz w:val="24"/>
          <w:szCs w:val="24"/>
        </w:rPr>
        <w:t xml:space="preserve"> bugetului de stat,</w:t>
      </w:r>
      <w:r w:rsidRPr="003E63F5">
        <w:rPr>
          <w:rFonts w:asciiTheme="majorHAnsi" w:hAnsiTheme="majorHAnsi" w:cstheme="majorHAnsi"/>
          <w:sz w:val="24"/>
          <w:szCs w:val="24"/>
        </w:rPr>
        <w:t xml:space="preserve"> formată din </w:t>
      </w:r>
      <w:r w:rsidRPr="003E63F5">
        <w:rPr>
          <w:rFonts w:asciiTheme="majorHAnsi" w:hAnsiTheme="majorHAnsi" w:cstheme="majorHAnsi"/>
          <w:i/>
          <w:sz w:val="24"/>
          <w:szCs w:val="24"/>
        </w:rPr>
        <w:t>alte creanțe interne</w:t>
      </w:r>
      <w:r w:rsidR="00E430E8">
        <w:rPr>
          <w:rFonts w:asciiTheme="majorHAnsi" w:hAnsiTheme="majorHAnsi" w:cstheme="majorHAnsi"/>
          <w:i/>
          <w:sz w:val="24"/>
          <w:szCs w:val="24"/>
        </w:rPr>
        <w:t>,</w:t>
      </w:r>
      <w:r w:rsidR="00793C62">
        <w:rPr>
          <w:rFonts w:asciiTheme="majorHAnsi" w:hAnsiTheme="majorHAnsi" w:cstheme="majorHAnsi"/>
          <w:sz w:val="24"/>
          <w:szCs w:val="24"/>
        </w:rPr>
        <w:t xml:space="preserve"> </w:t>
      </w:r>
      <w:r w:rsidRPr="003E63F5">
        <w:rPr>
          <w:rFonts w:asciiTheme="majorHAnsi" w:hAnsiTheme="majorHAnsi" w:cstheme="majorHAnsi"/>
          <w:sz w:val="24"/>
          <w:szCs w:val="24"/>
        </w:rPr>
        <w:t xml:space="preserve">auditul </w:t>
      </w:r>
      <w:r>
        <w:rPr>
          <w:rFonts w:asciiTheme="majorHAnsi" w:hAnsiTheme="majorHAnsi" w:cstheme="majorHAnsi"/>
          <w:sz w:val="24"/>
          <w:szCs w:val="24"/>
        </w:rPr>
        <w:t>denotă că</w:t>
      </w:r>
      <w:r w:rsidRPr="003E63F5">
        <w:rPr>
          <w:rFonts w:asciiTheme="majorHAnsi" w:hAnsiTheme="majorHAnsi" w:cstheme="majorHAnsi"/>
          <w:sz w:val="24"/>
          <w:szCs w:val="24"/>
        </w:rPr>
        <w:t xml:space="preserve"> 679,1 mil. </w:t>
      </w:r>
      <w:r w:rsidR="007160B9">
        <w:rPr>
          <w:rFonts w:asciiTheme="majorHAnsi" w:hAnsiTheme="majorHAnsi" w:cstheme="majorHAnsi"/>
          <w:sz w:val="24"/>
          <w:szCs w:val="24"/>
        </w:rPr>
        <w:t>MDL</w:t>
      </w:r>
      <w:r w:rsidRPr="003E63F5">
        <w:rPr>
          <w:rFonts w:asciiTheme="majorHAnsi" w:hAnsiTheme="majorHAnsi" w:cstheme="majorHAnsi"/>
          <w:sz w:val="24"/>
          <w:szCs w:val="24"/>
        </w:rPr>
        <w:t>, sau 97,0%</w:t>
      </w:r>
      <w:r w:rsidR="00793C62">
        <w:rPr>
          <w:rFonts w:asciiTheme="majorHAnsi" w:hAnsiTheme="majorHAnsi" w:cstheme="majorHAnsi"/>
          <w:sz w:val="24"/>
          <w:szCs w:val="24"/>
        </w:rPr>
        <w:t xml:space="preserve"> </w:t>
      </w:r>
      <w:r w:rsidRPr="003E63F5">
        <w:rPr>
          <w:rFonts w:asciiTheme="majorHAnsi" w:hAnsiTheme="majorHAnsi" w:cstheme="majorHAnsi"/>
          <w:sz w:val="24"/>
          <w:szCs w:val="24"/>
        </w:rPr>
        <w:t xml:space="preserve">din volumul precizat, reprezintă mijloacele transferate </w:t>
      </w:r>
      <w:r w:rsidRPr="00212145">
        <w:rPr>
          <w:rFonts w:asciiTheme="majorHAnsi" w:hAnsiTheme="majorHAnsi" w:cstheme="majorHAnsi"/>
          <w:sz w:val="24"/>
          <w:szCs w:val="24"/>
        </w:rPr>
        <w:t>în bugetul de stat de băncile care se află în proces de lichidare. A</w:t>
      </w:r>
      <w:r w:rsidR="00311D04" w:rsidRPr="00212145">
        <w:rPr>
          <w:rFonts w:asciiTheme="majorHAnsi" w:hAnsiTheme="majorHAnsi" w:cstheme="majorHAnsi"/>
          <w:sz w:val="24"/>
          <w:szCs w:val="24"/>
        </w:rPr>
        <w:t>stfel,</w:t>
      </w:r>
      <w:r w:rsidRPr="00212145">
        <w:rPr>
          <w:rFonts w:asciiTheme="majorHAnsi" w:hAnsiTheme="majorHAnsi" w:cstheme="majorHAnsi"/>
          <w:sz w:val="24"/>
          <w:szCs w:val="24"/>
        </w:rPr>
        <w:t xml:space="preserve"> doar de  „Banca de Economii” SA, </w:t>
      </w:r>
      <w:r w:rsidR="00311D04" w:rsidRPr="00212145">
        <w:rPr>
          <w:rFonts w:asciiTheme="majorHAnsi" w:hAnsiTheme="majorHAnsi" w:cstheme="majorHAnsi"/>
          <w:sz w:val="24"/>
          <w:szCs w:val="24"/>
        </w:rPr>
        <w:t xml:space="preserve">BC </w:t>
      </w:r>
      <w:r w:rsidRPr="00212145">
        <w:rPr>
          <w:rFonts w:asciiTheme="majorHAnsi" w:hAnsiTheme="majorHAnsi" w:cstheme="majorHAnsi"/>
          <w:sz w:val="24"/>
          <w:szCs w:val="24"/>
        </w:rPr>
        <w:t>„Banca Socială” SA și BC „</w:t>
      </w:r>
      <w:proofErr w:type="spellStart"/>
      <w:r w:rsidRPr="00212145">
        <w:rPr>
          <w:rFonts w:asciiTheme="majorHAnsi" w:hAnsiTheme="majorHAnsi" w:cstheme="majorHAnsi"/>
          <w:sz w:val="24"/>
          <w:szCs w:val="24"/>
        </w:rPr>
        <w:t>Unibank</w:t>
      </w:r>
      <w:proofErr w:type="spellEnd"/>
      <w:r w:rsidRPr="00212145">
        <w:rPr>
          <w:rFonts w:asciiTheme="majorHAnsi" w:hAnsiTheme="majorHAnsi" w:cstheme="majorHAnsi"/>
          <w:sz w:val="24"/>
          <w:szCs w:val="24"/>
        </w:rPr>
        <w:t xml:space="preserve">” SA au fost transferate </w:t>
      </w:r>
      <w:r w:rsidR="00311D04" w:rsidRPr="00212145">
        <w:rPr>
          <w:rFonts w:asciiTheme="majorHAnsi" w:hAnsiTheme="majorHAnsi" w:cstheme="majorHAnsi"/>
          <w:sz w:val="24"/>
          <w:szCs w:val="24"/>
        </w:rPr>
        <w:t xml:space="preserve">în total </w:t>
      </w:r>
      <w:r w:rsidRPr="00212145">
        <w:rPr>
          <w:rFonts w:asciiTheme="majorHAnsi" w:hAnsiTheme="majorHAnsi" w:cstheme="majorHAnsi"/>
          <w:sz w:val="24"/>
          <w:szCs w:val="24"/>
        </w:rPr>
        <w:t xml:space="preserve">678,8 mil. </w:t>
      </w:r>
      <w:r w:rsidR="007160B9" w:rsidRPr="00212145">
        <w:rPr>
          <w:rFonts w:asciiTheme="majorHAnsi" w:hAnsiTheme="majorHAnsi" w:cstheme="majorHAnsi"/>
          <w:sz w:val="24"/>
          <w:szCs w:val="24"/>
        </w:rPr>
        <w:t>MDL</w:t>
      </w:r>
      <w:r w:rsidR="00311D04" w:rsidRPr="00212145">
        <w:rPr>
          <w:rFonts w:asciiTheme="majorHAnsi" w:hAnsiTheme="majorHAnsi" w:cstheme="majorHAnsi"/>
          <w:sz w:val="24"/>
          <w:szCs w:val="24"/>
        </w:rPr>
        <w:t>, iar</w:t>
      </w:r>
      <w:r w:rsidRPr="00212145">
        <w:rPr>
          <w:rFonts w:asciiTheme="majorHAnsi" w:hAnsiTheme="majorHAnsi" w:cstheme="majorHAnsi"/>
          <w:sz w:val="24"/>
          <w:szCs w:val="24"/>
        </w:rPr>
        <w:t xml:space="preserve"> 0,3 mil. </w:t>
      </w:r>
      <w:r w:rsidR="007160B9" w:rsidRPr="00212145">
        <w:rPr>
          <w:rFonts w:asciiTheme="majorHAnsi" w:hAnsiTheme="majorHAnsi" w:cstheme="majorHAnsi"/>
          <w:sz w:val="24"/>
          <w:szCs w:val="24"/>
        </w:rPr>
        <w:t>MDL</w:t>
      </w:r>
      <w:r w:rsidRPr="00212145">
        <w:rPr>
          <w:rFonts w:asciiTheme="majorHAnsi" w:hAnsiTheme="majorHAnsi" w:cstheme="majorHAnsi"/>
          <w:sz w:val="24"/>
          <w:szCs w:val="24"/>
        </w:rPr>
        <w:t xml:space="preserve"> </w:t>
      </w:r>
      <w:r w:rsidR="00311D04" w:rsidRPr="00212145">
        <w:rPr>
          <w:rFonts w:asciiTheme="majorHAnsi" w:hAnsiTheme="majorHAnsi" w:cstheme="majorHAnsi"/>
          <w:sz w:val="24"/>
          <w:szCs w:val="24"/>
        </w:rPr>
        <w:t xml:space="preserve">– </w:t>
      </w:r>
      <w:r w:rsidRPr="00212145">
        <w:rPr>
          <w:rFonts w:asciiTheme="majorHAnsi" w:hAnsiTheme="majorHAnsi" w:cstheme="majorHAnsi"/>
          <w:sz w:val="24"/>
          <w:szCs w:val="24"/>
        </w:rPr>
        <w:t>de la BC „</w:t>
      </w:r>
      <w:proofErr w:type="spellStart"/>
      <w:r w:rsidRPr="00212145">
        <w:rPr>
          <w:rFonts w:asciiTheme="majorHAnsi" w:hAnsiTheme="majorHAnsi" w:cstheme="majorHAnsi"/>
          <w:sz w:val="24"/>
          <w:szCs w:val="24"/>
        </w:rPr>
        <w:t>Investprivatbank</w:t>
      </w:r>
      <w:proofErr w:type="spellEnd"/>
      <w:r w:rsidRPr="00212145">
        <w:rPr>
          <w:rFonts w:asciiTheme="majorHAnsi" w:hAnsiTheme="majorHAnsi" w:cstheme="majorHAnsi"/>
          <w:sz w:val="24"/>
          <w:szCs w:val="24"/>
        </w:rPr>
        <w:t>”</w:t>
      </w:r>
      <w:r w:rsidR="00311D04" w:rsidRPr="00212145">
        <w:rPr>
          <w:rFonts w:asciiTheme="majorHAnsi" w:hAnsiTheme="majorHAnsi" w:cstheme="majorHAnsi"/>
          <w:sz w:val="24"/>
          <w:szCs w:val="24"/>
        </w:rPr>
        <w:t xml:space="preserve"> SA</w:t>
      </w:r>
      <w:r w:rsidRPr="00212145">
        <w:rPr>
          <w:rFonts w:asciiTheme="majorHAnsi" w:hAnsiTheme="majorHAnsi" w:cstheme="majorHAnsi"/>
          <w:sz w:val="24"/>
          <w:szCs w:val="24"/>
        </w:rPr>
        <w:t>. Astfel, potrivit datelor MF, la situația din 31.12.2018</w:t>
      </w:r>
      <w:r w:rsidR="00311D04" w:rsidRPr="00212145">
        <w:rPr>
          <w:rFonts w:asciiTheme="majorHAnsi" w:hAnsiTheme="majorHAnsi" w:cstheme="majorHAnsi"/>
          <w:sz w:val="24"/>
          <w:szCs w:val="24"/>
        </w:rPr>
        <w:t>,</w:t>
      </w:r>
      <w:r w:rsidRPr="00212145">
        <w:rPr>
          <w:rFonts w:asciiTheme="majorHAnsi" w:hAnsiTheme="majorHAnsi" w:cstheme="majorHAnsi"/>
          <w:sz w:val="24"/>
          <w:szCs w:val="24"/>
        </w:rPr>
        <w:t xml:space="preserve"> datoria băncilor menționate față de MF a constituit 12 729,8 mil.</w:t>
      </w:r>
      <w:r w:rsidR="00EF2DAD" w:rsidRPr="00212145">
        <w:rPr>
          <w:rFonts w:asciiTheme="majorHAnsi" w:hAnsiTheme="majorHAnsi" w:cstheme="majorHAnsi"/>
          <w:sz w:val="24"/>
          <w:szCs w:val="24"/>
        </w:rPr>
        <w:t xml:space="preserve"> </w:t>
      </w:r>
      <w:r w:rsidR="007160B9" w:rsidRPr="00212145">
        <w:rPr>
          <w:rFonts w:asciiTheme="majorHAnsi" w:hAnsiTheme="majorHAnsi" w:cstheme="majorHAnsi"/>
          <w:sz w:val="24"/>
          <w:szCs w:val="24"/>
        </w:rPr>
        <w:t>MDL</w:t>
      </w:r>
      <w:r w:rsidRPr="00212145">
        <w:rPr>
          <w:rFonts w:asciiTheme="majorHAnsi" w:hAnsiTheme="majorHAnsi" w:cstheme="majorHAnsi"/>
          <w:sz w:val="24"/>
          <w:szCs w:val="24"/>
        </w:rPr>
        <w:t>, inclusiv „Banca de Economii” SA</w:t>
      </w:r>
      <w:r w:rsidR="00104AC4" w:rsidRPr="00212145">
        <w:rPr>
          <w:rFonts w:asciiTheme="majorHAnsi" w:hAnsiTheme="majorHAnsi" w:cstheme="majorHAnsi"/>
          <w:sz w:val="24"/>
          <w:szCs w:val="24"/>
        </w:rPr>
        <w:t xml:space="preserve"> </w:t>
      </w:r>
      <w:r w:rsidR="00311D04" w:rsidRPr="00212145">
        <w:rPr>
          <w:rFonts w:asciiTheme="majorHAnsi" w:hAnsiTheme="majorHAnsi" w:cstheme="majorHAnsi"/>
          <w:sz w:val="24"/>
          <w:szCs w:val="24"/>
        </w:rPr>
        <w:t xml:space="preserve">– </w:t>
      </w:r>
      <w:r w:rsidRPr="00212145">
        <w:rPr>
          <w:rFonts w:asciiTheme="majorHAnsi" w:hAnsiTheme="majorHAnsi" w:cstheme="majorHAnsi"/>
          <w:sz w:val="24"/>
          <w:szCs w:val="24"/>
        </w:rPr>
        <w:t xml:space="preserve">8 400,5 mil. </w:t>
      </w:r>
      <w:r w:rsidR="007160B9" w:rsidRPr="00212145">
        <w:rPr>
          <w:rFonts w:asciiTheme="majorHAnsi" w:hAnsiTheme="majorHAnsi" w:cstheme="majorHAnsi"/>
          <w:sz w:val="24"/>
          <w:szCs w:val="24"/>
        </w:rPr>
        <w:t>MDL</w:t>
      </w:r>
      <w:r w:rsidRPr="00212145">
        <w:rPr>
          <w:rFonts w:asciiTheme="majorHAnsi" w:hAnsiTheme="majorHAnsi" w:cstheme="majorHAnsi"/>
          <w:sz w:val="24"/>
          <w:szCs w:val="24"/>
        </w:rPr>
        <w:t xml:space="preserve">, „Banca Socială” SA </w:t>
      </w:r>
      <w:r w:rsidR="00311D04" w:rsidRPr="00212145">
        <w:rPr>
          <w:rFonts w:asciiTheme="majorHAnsi" w:hAnsiTheme="majorHAnsi" w:cstheme="majorHAnsi"/>
          <w:sz w:val="24"/>
          <w:szCs w:val="24"/>
        </w:rPr>
        <w:t xml:space="preserve">– </w:t>
      </w:r>
      <w:r w:rsidRPr="00212145">
        <w:rPr>
          <w:rFonts w:asciiTheme="majorHAnsi" w:hAnsiTheme="majorHAnsi" w:cstheme="majorHAnsi"/>
          <w:sz w:val="24"/>
          <w:szCs w:val="24"/>
        </w:rPr>
        <w:t xml:space="preserve">2 130,5 mil. </w:t>
      </w:r>
      <w:r w:rsidR="007160B9" w:rsidRPr="00212145">
        <w:rPr>
          <w:rFonts w:asciiTheme="majorHAnsi" w:hAnsiTheme="majorHAnsi" w:cstheme="majorHAnsi"/>
          <w:sz w:val="24"/>
          <w:szCs w:val="24"/>
        </w:rPr>
        <w:t>MDL</w:t>
      </w:r>
      <w:r w:rsidRPr="00212145">
        <w:rPr>
          <w:rFonts w:asciiTheme="majorHAnsi" w:hAnsiTheme="majorHAnsi" w:cstheme="majorHAnsi"/>
          <w:sz w:val="24"/>
          <w:szCs w:val="24"/>
        </w:rPr>
        <w:t>, BC „</w:t>
      </w:r>
      <w:proofErr w:type="spellStart"/>
      <w:r w:rsidRPr="00212145">
        <w:rPr>
          <w:rFonts w:asciiTheme="majorHAnsi" w:hAnsiTheme="majorHAnsi" w:cstheme="majorHAnsi"/>
          <w:sz w:val="24"/>
          <w:szCs w:val="24"/>
        </w:rPr>
        <w:t>Unibank</w:t>
      </w:r>
      <w:proofErr w:type="spellEnd"/>
      <w:r w:rsidRPr="00212145">
        <w:rPr>
          <w:rFonts w:asciiTheme="majorHAnsi" w:hAnsiTheme="majorHAnsi" w:cstheme="majorHAnsi"/>
          <w:sz w:val="24"/>
          <w:szCs w:val="24"/>
        </w:rPr>
        <w:t>” SA</w:t>
      </w:r>
      <w:r w:rsidR="00311D04" w:rsidRPr="00212145">
        <w:rPr>
          <w:rFonts w:asciiTheme="majorHAnsi" w:hAnsiTheme="majorHAnsi" w:cstheme="majorHAnsi"/>
          <w:sz w:val="24"/>
          <w:szCs w:val="24"/>
        </w:rPr>
        <w:t xml:space="preserve"> –</w:t>
      </w:r>
      <w:r w:rsidR="00EF2DAD" w:rsidRPr="00212145">
        <w:rPr>
          <w:rFonts w:asciiTheme="majorHAnsi" w:hAnsiTheme="majorHAnsi" w:cstheme="majorHAnsi"/>
          <w:sz w:val="24"/>
          <w:szCs w:val="24"/>
        </w:rPr>
        <w:t xml:space="preserve"> </w:t>
      </w:r>
      <w:r w:rsidRPr="00212145">
        <w:rPr>
          <w:rFonts w:asciiTheme="majorHAnsi" w:hAnsiTheme="majorHAnsi" w:cstheme="majorHAnsi"/>
          <w:sz w:val="24"/>
          <w:szCs w:val="24"/>
        </w:rPr>
        <w:t xml:space="preserve">1 840,8 mil. </w:t>
      </w:r>
      <w:r w:rsidR="007160B9" w:rsidRPr="00212145">
        <w:rPr>
          <w:rFonts w:asciiTheme="majorHAnsi" w:hAnsiTheme="majorHAnsi" w:cstheme="majorHAnsi"/>
          <w:sz w:val="24"/>
          <w:szCs w:val="24"/>
        </w:rPr>
        <w:t>MDL</w:t>
      </w:r>
      <w:r w:rsidR="00EF2DAD" w:rsidRPr="00212145">
        <w:rPr>
          <w:rFonts w:asciiTheme="majorHAnsi" w:hAnsiTheme="majorHAnsi" w:cstheme="majorHAnsi"/>
          <w:sz w:val="24"/>
          <w:szCs w:val="24"/>
        </w:rPr>
        <w:t xml:space="preserve"> </w:t>
      </w:r>
      <w:r w:rsidRPr="00212145">
        <w:rPr>
          <w:rFonts w:asciiTheme="majorHAnsi" w:hAnsiTheme="majorHAnsi" w:cstheme="majorHAnsi"/>
          <w:sz w:val="24"/>
          <w:szCs w:val="24"/>
        </w:rPr>
        <w:t>și</w:t>
      </w:r>
      <w:r w:rsidR="00EF2DAD" w:rsidRPr="00212145">
        <w:rPr>
          <w:rFonts w:asciiTheme="majorHAnsi" w:hAnsiTheme="majorHAnsi" w:cstheme="majorHAnsi"/>
          <w:sz w:val="24"/>
          <w:szCs w:val="24"/>
        </w:rPr>
        <w:t>,</w:t>
      </w:r>
      <w:r w:rsidRPr="003E63F5">
        <w:rPr>
          <w:rFonts w:asciiTheme="majorHAnsi" w:hAnsiTheme="majorHAnsi" w:cstheme="majorHAnsi"/>
          <w:sz w:val="24"/>
          <w:szCs w:val="24"/>
        </w:rPr>
        <w:t xml:space="preserve"> respectiv</w:t>
      </w:r>
      <w:r w:rsidR="00EF2DAD">
        <w:rPr>
          <w:rFonts w:asciiTheme="majorHAnsi" w:hAnsiTheme="majorHAnsi" w:cstheme="majorHAnsi"/>
          <w:sz w:val="24"/>
          <w:szCs w:val="24"/>
        </w:rPr>
        <w:t>,</w:t>
      </w:r>
      <w:r w:rsidRPr="003E63F5">
        <w:rPr>
          <w:rFonts w:asciiTheme="majorHAnsi" w:hAnsiTheme="majorHAnsi" w:cstheme="majorHAnsi"/>
          <w:sz w:val="24"/>
          <w:szCs w:val="24"/>
        </w:rPr>
        <w:t xml:space="preserve"> B</w:t>
      </w:r>
      <w:r w:rsidR="000258FF">
        <w:rPr>
          <w:rFonts w:asciiTheme="majorHAnsi" w:hAnsiTheme="majorHAnsi" w:cstheme="majorHAnsi"/>
          <w:sz w:val="24"/>
          <w:szCs w:val="24"/>
        </w:rPr>
        <w:t xml:space="preserve">C </w:t>
      </w:r>
      <w:r w:rsidRPr="003E63F5">
        <w:rPr>
          <w:rFonts w:asciiTheme="majorHAnsi" w:hAnsiTheme="majorHAnsi" w:cstheme="majorHAnsi"/>
          <w:sz w:val="24"/>
          <w:szCs w:val="24"/>
        </w:rPr>
        <w:t>„</w:t>
      </w:r>
      <w:proofErr w:type="spellStart"/>
      <w:r w:rsidRPr="003E63F5">
        <w:rPr>
          <w:rFonts w:asciiTheme="majorHAnsi" w:hAnsiTheme="majorHAnsi" w:cstheme="majorHAnsi"/>
          <w:sz w:val="24"/>
          <w:szCs w:val="24"/>
        </w:rPr>
        <w:t>Investprivatbank</w:t>
      </w:r>
      <w:proofErr w:type="spellEnd"/>
      <w:r w:rsidRPr="003E63F5">
        <w:rPr>
          <w:rFonts w:asciiTheme="majorHAnsi" w:hAnsiTheme="majorHAnsi" w:cstheme="majorHAnsi"/>
          <w:sz w:val="24"/>
          <w:szCs w:val="24"/>
        </w:rPr>
        <w:t>”</w:t>
      </w:r>
      <w:r w:rsidR="00311D04">
        <w:rPr>
          <w:rFonts w:asciiTheme="majorHAnsi" w:hAnsiTheme="majorHAnsi" w:cstheme="majorHAnsi"/>
          <w:sz w:val="24"/>
          <w:szCs w:val="24"/>
        </w:rPr>
        <w:t xml:space="preserve"> –</w:t>
      </w:r>
      <w:r w:rsidRPr="003E63F5">
        <w:rPr>
          <w:rFonts w:asciiTheme="majorHAnsi" w:hAnsiTheme="majorHAnsi" w:cstheme="majorHAnsi"/>
          <w:sz w:val="24"/>
          <w:szCs w:val="24"/>
        </w:rPr>
        <w:t xml:space="preserve"> 358,0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3E63F5">
        <w:rPr>
          <w:rFonts w:asciiTheme="majorHAnsi" w:hAnsiTheme="majorHAnsi" w:cstheme="majorHAnsi"/>
          <w:sz w:val="24"/>
          <w:szCs w:val="24"/>
        </w:rPr>
        <w:t>.</w:t>
      </w:r>
    </w:p>
    <w:p w:rsidR="00CB0A2A" w:rsidRDefault="00CB0A2A" w:rsidP="00CB0A2A">
      <w:pPr>
        <w:spacing w:before="240"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V</w:t>
      </w:r>
      <w:r w:rsidRPr="003E63F5">
        <w:rPr>
          <w:rFonts w:asciiTheme="majorHAnsi" w:hAnsiTheme="majorHAnsi" w:cstheme="majorHAnsi"/>
          <w:sz w:val="24"/>
          <w:szCs w:val="24"/>
        </w:rPr>
        <w:t xml:space="preserve">erificările auditului asupra conformității </w:t>
      </w:r>
      <w:r>
        <w:rPr>
          <w:rFonts w:asciiTheme="majorHAnsi" w:hAnsiTheme="majorHAnsi" w:cstheme="majorHAnsi"/>
          <w:sz w:val="24"/>
          <w:szCs w:val="24"/>
        </w:rPr>
        <w:t>formării surselor de finanțare</w:t>
      </w:r>
      <w:r w:rsidRPr="003E63F5">
        <w:rPr>
          <w:rFonts w:asciiTheme="majorHAnsi" w:hAnsiTheme="majorHAnsi" w:cstheme="majorHAnsi"/>
          <w:sz w:val="24"/>
          <w:szCs w:val="24"/>
          <w:vertAlign w:val="superscript"/>
        </w:rPr>
        <w:footnoteReference w:id="30"/>
      </w:r>
      <w:r w:rsidRPr="003E63F5">
        <w:rPr>
          <w:rFonts w:asciiTheme="majorHAnsi" w:hAnsiTheme="majorHAnsi" w:cstheme="majorHAnsi"/>
          <w:sz w:val="24"/>
          <w:szCs w:val="24"/>
        </w:rPr>
        <w:t xml:space="preserve"> </w:t>
      </w:r>
      <w:r>
        <w:rPr>
          <w:rFonts w:asciiTheme="majorHAnsi" w:hAnsiTheme="majorHAnsi" w:cstheme="majorHAnsi"/>
          <w:sz w:val="24"/>
          <w:szCs w:val="24"/>
        </w:rPr>
        <w:t xml:space="preserve">a </w:t>
      </w:r>
      <w:r w:rsidRPr="003E63F5">
        <w:rPr>
          <w:rFonts w:asciiTheme="majorHAnsi" w:hAnsiTheme="majorHAnsi" w:cstheme="majorHAnsi"/>
          <w:sz w:val="24"/>
          <w:szCs w:val="24"/>
        </w:rPr>
        <w:t xml:space="preserve">deficitului bugetului de stat în anul 2018 </w:t>
      </w:r>
      <w:r w:rsidR="00E800DE">
        <w:rPr>
          <w:rFonts w:asciiTheme="majorHAnsi" w:hAnsiTheme="majorHAnsi" w:cstheme="majorHAnsi"/>
          <w:sz w:val="24"/>
          <w:szCs w:val="24"/>
        </w:rPr>
        <w:t>au relevat următoarele.</w:t>
      </w:r>
    </w:p>
    <w:p w:rsidR="00530C54" w:rsidRDefault="00311D04" w:rsidP="00463CB3">
      <w:pPr>
        <w:spacing w:before="240"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D</w:t>
      </w:r>
      <w:r w:rsidR="00587895">
        <w:rPr>
          <w:rFonts w:asciiTheme="majorHAnsi" w:hAnsiTheme="majorHAnsi" w:cstheme="majorHAnsi"/>
          <w:sz w:val="24"/>
          <w:szCs w:val="24"/>
        </w:rPr>
        <w:t>rept</w:t>
      </w:r>
      <w:r w:rsidR="00CB0A2A">
        <w:rPr>
          <w:rFonts w:asciiTheme="majorHAnsi" w:hAnsiTheme="majorHAnsi" w:cstheme="majorHAnsi"/>
          <w:sz w:val="24"/>
          <w:szCs w:val="24"/>
        </w:rPr>
        <w:t xml:space="preserve"> surse de finanțare a deficitului </w:t>
      </w:r>
      <w:r w:rsidR="007C34FB">
        <w:rPr>
          <w:rFonts w:asciiTheme="majorHAnsi" w:hAnsiTheme="majorHAnsi" w:cstheme="majorHAnsi"/>
          <w:sz w:val="24"/>
          <w:szCs w:val="24"/>
        </w:rPr>
        <w:t xml:space="preserve">la poziția </w:t>
      </w:r>
      <w:r w:rsidR="00CB0A2A">
        <w:rPr>
          <w:rFonts w:asciiTheme="majorHAnsi" w:hAnsiTheme="majorHAnsi" w:cstheme="majorHAnsi"/>
          <w:sz w:val="24"/>
          <w:szCs w:val="24"/>
        </w:rPr>
        <w:t>„procurarea cotei</w:t>
      </w:r>
      <w:r>
        <w:rPr>
          <w:rFonts w:asciiTheme="majorHAnsi" w:hAnsiTheme="majorHAnsi" w:cstheme="majorHAnsi"/>
          <w:sz w:val="24"/>
          <w:szCs w:val="24"/>
        </w:rPr>
        <w:t>-</w:t>
      </w:r>
      <w:r w:rsidR="00CB0A2A">
        <w:rPr>
          <w:rFonts w:asciiTheme="majorHAnsi" w:hAnsiTheme="majorHAnsi" w:cstheme="majorHAnsi"/>
          <w:sz w:val="24"/>
          <w:szCs w:val="24"/>
        </w:rPr>
        <w:t xml:space="preserve">părți în capitalul social” au fost reflectate tranzacțiile de cumpărare de către stat </w:t>
      </w:r>
      <w:r w:rsidR="00CB0A2A" w:rsidRPr="003E63F5">
        <w:rPr>
          <w:rFonts w:asciiTheme="majorHAnsi" w:hAnsiTheme="majorHAnsi" w:cstheme="majorHAnsi"/>
          <w:sz w:val="24"/>
          <w:szCs w:val="24"/>
        </w:rPr>
        <w:t xml:space="preserve">a </w:t>
      </w:r>
      <w:r w:rsidR="00CB0A2A">
        <w:rPr>
          <w:rFonts w:asciiTheme="majorHAnsi" w:hAnsiTheme="majorHAnsi" w:cstheme="majorHAnsi"/>
          <w:sz w:val="24"/>
          <w:szCs w:val="24"/>
        </w:rPr>
        <w:t>426</w:t>
      </w:r>
      <w:r w:rsidR="00E06A5A">
        <w:rPr>
          <w:rFonts w:asciiTheme="majorHAnsi" w:hAnsiTheme="majorHAnsi" w:cstheme="majorHAnsi"/>
          <w:sz w:val="24"/>
          <w:szCs w:val="24"/>
        </w:rPr>
        <w:t xml:space="preserve"> </w:t>
      </w:r>
      <w:r w:rsidR="00CB0A2A">
        <w:rPr>
          <w:rFonts w:asciiTheme="majorHAnsi" w:hAnsiTheme="majorHAnsi" w:cstheme="majorHAnsi"/>
          <w:sz w:val="24"/>
          <w:szCs w:val="24"/>
        </w:rPr>
        <w:t xml:space="preserve">365 </w:t>
      </w:r>
      <w:r>
        <w:rPr>
          <w:rFonts w:asciiTheme="majorHAnsi" w:hAnsiTheme="majorHAnsi" w:cstheme="majorHAnsi"/>
          <w:sz w:val="24"/>
          <w:szCs w:val="24"/>
        </w:rPr>
        <w:t xml:space="preserve">de </w:t>
      </w:r>
      <w:r w:rsidR="00CB0A2A" w:rsidRPr="003E63F5">
        <w:rPr>
          <w:rFonts w:asciiTheme="majorHAnsi" w:hAnsiTheme="majorHAnsi" w:cstheme="majorHAnsi"/>
          <w:sz w:val="24"/>
          <w:szCs w:val="24"/>
        </w:rPr>
        <w:t>acți</w:t>
      </w:r>
      <w:r w:rsidR="00CB0A2A">
        <w:rPr>
          <w:rFonts w:asciiTheme="majorHAnsi" w:hAnsiTheme="majorHAnsi" w:cstheme="majorHAnsi"/>
          <w:sz w:val="24"/>
          <w:szCs w:val="24"/>
        </w:rPr>
        <w:t>uni</w:t>
      </w:r>
      <w:r w:rsidR="00CB0A2A" w:rsidRPr="003E63F5">
        <w:rPr>
          <w:rFonts w:asciiTheme="majorHAnsi" w:hAnsiTheme="majorHAnsi" w:cstheme="majorHAnsi"/>
          <w:sz w:val="24"/>
          <w:szCs w:val="24"/>
        </w:rPr>
        <w:t xml:space="preserve"> nou-emise de banc</w:t>
      </w:r>
      <w:r>
        <w:rPr>
          <w:rFonts w:asciiTheme="majorHAnsi" w:hAnsiTheme="majorHAnsi" w:cstheme="majorHAnsi"/>
          <w:sz w:val="24"/>
          <w:szCs w:val="24"/>
        </w:rPr>
        <w:t>a</w:t>
      </w:r>
      <w:r w:rsidR="00CB0A2A" w:rsidRPr="003E63F5">
        <w:rPr>
          <w:rFonts w:asciiTheme="majorHAnsi" w:hAnsiTheme="majorHAnsi" w:cstheme="majorHAnsi"/>
          <w:sz w:val="24"/>
          <w:szCs w:val="24"/>
        </w:rPr>
        <w:t xml:space="preserve"> de importanță sistemică BC „Moldova</w:t>
      </w:r>
      <w:r>
        <w:rPr>
          <w:rFonts w:asciiTheme="majorHAnsi" w:hAnsiTheme="majorHAnsi" w:cstheme="majorHAnsi"/>
          <w:sz w:val="24"/>
          <w:szCs w:val="24"/>
        </w:rPr>
        <w:t>-</w:t>
      </w:r>
      <w:proofErr w:type="spellStart"/>
      <w:r w:rsidR="00CB0A2A" w:rsidRPr="003E63F5">
        <w:rPr>
          <w:rFonts w:asciiTheme="majorHAnsi" w:hAnsiTheme="majorHAnsi" w:cstheme="majorHAnsi"/>
          <w:sz w:val="24"/>
          <w:szCs w:val="24"/>
        </w:rPr>
        <w:t>Agroindbank</w:t>
      </w:r>
      <w:proofErr w:type="spellEnd"/>
      <w:r w:rsidR="00CB0A2A" w:rsidRPr="003E63F5">
        <w:rPr>
          <w:rFonts w:asciiTheme="majorHAnsi" w:hAnsiTheme="majorHAnsi" w:cstheme="majorHAnsi"/>
          <w:sz w:val="24"/>
          <w:szCs w:val="24"/>
        </w:rPr>
        <w:t>” SA în sumă de 450,0 mil.</w:t>
      </w:r>
      <w:r w:rsidR="00CB0A2A">
        <w:rPr>
          <w:rFonts w:asciiTheme="majorHAnsi" w:hAnsiTheme="majorHAnsi" w:cstheme="majorHAnsi"/>
          <w:sz w:val="24"/>
          <w:szCs w:val="24"/>
        </w:rPr>
        <w:t xml:space="preserve"> </w:t>
      </w:r>
      <w:r w:rsidR="007160B9">
        <w:rPr>
          <w:rFonts w:asciiTheme="majorHAnsi" w:hAnsiTheme="majorHAnsi" w:cstheme="majorHAnsi"/>
          <w:sz w:val="24"/>
          <w:szCs w:val="24"/>
        </w:rPr>
        <w:t>MDL</w:t>
      </w:r>
      <w:r w:rsidR="00CB0A2A">
        <w:rPr>
          <w:rFonts w:asciiTheme="majorHAnsi" w:hAnsiTheme="majorHAnsi" w:cstheme="majorHAnsi"/>
          <w:sz w:val="24"/>
          <w:szCs w:val="24"/>
        </w:rPr>
        <w:t>. Astfel,</w:t>
      </w:r>
      <w:r w:rsidR="00CB0A2A" w:rsidRPr="00791366">
        <w:rPr>
          <w:rFonts w:asciiTheme="majorHAnsi" w:hAnsiTheme="majorHAnsi" w:cstheme="majorHAnsi"/>
          <w:sz w:val="24"/>
          <w:szCs w:val="24"/>
        </w:rPr>
        <w:t xml:space="preserve"> în baza</w:t>
      </w:r>
      <w:r w:rsidR="00793C62">
        <w:rPr>
          <w:rFonts w:asciiTheme="majorHAnsi" w:hAnsiTheme="majorHAnsi" w:cstheme="majorHAnsi"/>
          <w:sz w:val="24"/>
          <w:szCs w:val="24"/>
        </w:rPr>
        <w:t xml:space="preserve"> </w:t>
      </w:r>
      <w:r w:rsidR="00CB0A2A" w:rsidRPr="00791366">
        <w:rPr>
          <w:rFonts w:asciiTheme="majorHAnsi" w:hAnsiTheme="majorHAnsi" w:cstheme="majorHAnsi"/>
          <w:sz w:val="24"/>
          <w:szCs w:val="24"/>
        </w:rPr>
        <w:t>HG</w:t>
      </w:r>
      <w:r w:rsidR="00A5267F">
        <w:rPr>
          <w:rFonts w:asciiTheme="majorHAnsi" w:hAnsiTheme="majorHAnsi" w:cstheme="majorHAnsi"/>
          <w:sz w:val="24"/>
          <w:szCs w:val="24"/>
        </w:rPr>
        <w:t xml:space="preserve"> nr.591 din 21.06.2018</w:t>
      </w:r>
      <w:r w:rsidR="00CB0A2A" w:rsidRPr="00791366">
        <w:rPr>
          <w:rStyle w:val="FootnoteReference"/>
          <w:rFonts w:asciiTheme="majorHAnsi" w:hAnsiTheme="majorHAnsi" w:cstheme="majorHAnsi"/>
          <w:sz w:val="24"/>
          <w:szCs w:val="24"/>
        </w:rPr>
        <w:footnoteReference w:id="31"/>
      </w:r>
      <w:r w:rsidR="00CB0A2A" w:rsidRPr="00791366">
        <w:rPr>
          <w:rFonts w:asciiTheme="majorHAnsi" w:hAnsiTheme="majorHAnsi" w:cstheme="majorHAnsi"/>
          <w:sz w:val="24"/>
          <w:szCs w:val="24"/>
        </w:rPr>
        <w:t xml:space="preserve"> și în temeiul art.67 alin. (4</w:t>
      </w:r>
      <w:r w:rsidR="00CB0A2A" w:rsidRPr="00791366">
        <w:rPr>
          <w:rFonts w:asciiTheme="majorHAnsi" w:hAnsiTheme="majorHAnsi" w:cstheme="majorHAnsi"/>
          <w:sz w:val="24"/>
          <w:szCs w:val="24"/>
          <w:vertAlign w:val="superscript"/>
        </w:rPr>
        <w:t>1</w:t>
      </w:r>
      <w:r w:rsidR="00CB0A2A" w:rsidRPr="00791366">
        <w:rPr>
          <w:rFonts w:asciiTheme="majorHAnsi" w:hAnsiTheme="majorHAnsi" w:cstheme="majorHAnsi"/>
          <w:sz w:val="24"/>
          <w:szCs w:val="24"/>
        </w:rPr>
        <w:t>) din Legea nr.181 din 25.07.2014,</w:t>
      </w:r>
      <w:r w:rsidR="00CB0A2A" w:rsidRPr="003E63F5">
        <w:rPr>
          <w:rFonts w:asciiTheme="majorHAnsi" w:hAnsiTheme="majorHAnsi" w:cstheme="majorHAnsi"/>
          <w:sz w:val="24"/>
          <w:szCs w:val="24"/>
        </w:rPr>
        <w:t xml:space="preserve"> a fost aprobată și</w:t>
      </w:r>
      <w:r w:rsidR="00CB0A2A">
        <w:rPr>
          <w:rFonts w:asciiTheme="majorHAnsi" w:hAnsiTheme="majorHAnsi" w:cstheme="majorHAnsi"/>
          <w:sz w:val="24"/>
          <w:szCs w:val="24"/>
        </w:rPr>
        <w:t>,</w:t>
      </w:r>
      <w:r w:rsidR="00CB0A2A" w:rsidRPr="003E63F5">
        <w:rPr>
          <w:rFonts w:asciiTheme="majorHAnsi" w:hAnsiTheme="majorHAnsi" w:cstheme="majorHAnsi"/>
          <w:sz w:val="24"/>
          <w:szCs w:val="24"/>
        </w:rPr>
        <w:t xml:space="preserve"> respectiv</w:t>
      </w:r>
      <w:r w:rsidR="00CB0A2A">
        <w:rPr>
          <w:rFonts w:asciiTheme="majorHAnsi" w:hAnsiTheme="majorHAnsi" w:cstheme="majorHAnsi"/>
          <w:sz w:val="24"/>
          <w:szCs w:val="24"/>
        </w:rPr>
        <w:t>,</w:t>
      </w:r>
      <w:r w:rsidR="00CB0A2A" w:rsidRPr="003E63F5">
        <w:rPr>
          <w:rFonts w:asciiTheme="majorHAnsi" w:hAnsiTheme="majorHAnsi" w:cstheme="majorHAnsi"/>
          <w:sz w:val="24"/>
          <w:szCs w:val="24"/>
        </w:rPr>
        <w:t xml:space="preserve"> efectuată cumpărarea de către </w:t>
      </w:r>
      <w:r w:rsidR="00CB0A2A">
        <w:rPr>
          <w:rFonts w:asciiTheme="majorHAnsi" w:hAnsiTheme="majorHAnsi" w:cstheme="majorHAnsi"/>
          <w:sz w:val="24"/>
          <w:szCs w:val="24"/>
        </w:rPr>
        <w:t>APP</w:t>
      </w:r>
      <w:r w:rsidR="00CB0A2A" w:rsidRPr="003E63F5">
        <w:rPr>
          <w:rFonts w:asciiTheme="majorHAnsi" w:hAnsiTheme="majorHAnsi" w:cstheme="majorHAnsi"/>
          <w:sz w:val="24"/>
          <w:szCs w:val="24"/>
        </w:rPr>
        <w:t xml:space="preserve"> în numele Guvernului a acțiunilor nou-emise de banc</w:t>
      </w:r>
      <w:r>
        <w:rPr>
          <w:rFonts w:asciiTheme="majorHAnsi" w:hAnsiTheme="majorHAnsi" w:cstheme="majorHAnsi"/>
          <w:sz w:val="24"/>
          <w:szCs w:val="24"/>
        </w:rPr>
        <w:t>a</w:t>
      </w:r>
      <w:r w:rsidR="00CB0A2A" w:rsidRPr="003E63F5">
        <w:rPr>
          <w:rFonts w:asciiTheme="majorHAnsi" w:hAnsiTheme="majorHAnsi" w:cstheme="majorHAnsi"/>
          <w:sz w:val="24"/>
          <w:szCs w:val="24"/>
        </w:rPr>
        <w:t xml:space="preserve"> de importanță sistemică BC „Moldova</w:t>
      </w:r>
      <w:r w:rsidR="008012D7">
        <w:rPr>
          <w:rFonts w:asciiTheme="majorHAnsi" w:hAnsiTheme="majorHAnsi" w:cstheme="majorHAnsi"/>
          <w:sz w:val="24"/>
          <w:szCs w:val="24"/>
        </w:rPr>
        <w:t>-</w:t>
      </w:r>
      <w:proofErr w:type="spellStart"/>
      <w:r w:rsidR="00CB0A2A" w:rsidRPr="003E63F5">
        <w:rPr>
          <w:rFonts w:asciiTheme="majorHAnsi" w:hAnsiTheme="majorHAnsi" w:cstheme="majorHAnsi"/>
          <w:sz w:val="24"/>
          <w:szCs w:val="24"/>
        </w:rPr>
        <w:t>Agroindbank</w:t>
      </w:r>
      <w:proofErr w:type="spellEnd"/>
      <w:r w:rsidR="00CB0A2A" w:rsidRPr="003E63F5">
        <w:rPr>
          <w:rFonts w:asciiTheme="majorHAnsi" w:hAnsiTheme="majorHAnsi" w:cstheme="majorHAnsi"/>
          <w:sz w:val="24"/>
          <w:szCs w:val="24"/>
        </w:rPr>
        <w:t>” SA în sumă de 450,0 mil.</w:t>
      </w:r>
      <w:r w:rsidR="00CB0A2A">
        <w:rPr>
          <w:rFonts w:asciiTheme="majorHAnsi" w:hAnsiTheme="majorHAnsi" w:cstheme="majorHAnsi"/>
          <w:sz w:val="24"/>
          <w:szCs w:val="24"/>
        </w:rPr>
        <w:t xml:space="preserve"> </w:t>
      </w:r>
      <w:r w:rsidR="007160B9">
        <w:rPr>
          <w:rFonts w:asciiTheme="majorHAnsi" w:hAnsiTheme="majorHAnsi" w:cstheme="majorHAnsi"/>
          <w:sz w:val="24"/>
          <w:szCs w:val="24"/>
        </w:rPr>
        <w:t>MDL</w:t>
      </w:r>
      <w:r w:rsidR="008012D7">
        <w:rPr>
          <w:rFonts w:asciiTheme="majorHAnsi" w:hAnsiTheme="majorHAnsi" w:cstheme="majorHAnsi"/>
          <w:sz w:val="24"/>
          <w:szCs w:val="24"/>
        </w:rPr>
        <w:t>,</w:t>
      </w:r>
      <w:r w:rsidR="00CB0A2A">
        <w:rPr>
          <w:rFonts w:asciiTheme="majorHAnsi" w:hAnsiTheme="majorHAnsi" w:cstheme="majorHAnsi"/>
          <w:sz w:val="24"/>
          <w:szCs w:val="24"/>
        </w:rPr>
        <w:t xml:space="preserve"> </w:t>
      </w:r>
      <w:r w:rsidR="008012D7">
        <w:rPr>
          <w:rFonts w:asciiTheme="majorHAnsi" w:hAnsiTheme="majorHAnsi" w:cstheme="majorHAnsi"/>
          <w:sz w:val="24"/>
          <w:szCs w:val="24"/>
        </w:rPr>
        <w:t>în</w:t>
      </w:r>
      <w:r w:rsidR="00CB0A2A">
        <w:rPr>
          <w:rFonts w:asciiTheme="majorHAnsi" w:hAnsiTheme="majorHAnsi" w:cstheme="majorHAnsi"/>
          <w:sz w:val="24"/>
          <w:szCs w:val="24"/>
        </w:rPr>
        <w:t xml:space="preserve"> scopul expunerii spre vânzare </w:t>
      </w:r>
      <w:r w:rsidR="008012D7">
        <w:rPr>
          <w:rFonts w:asciiTheme="majorHAnsi" w:hAnsiTheme="majorHAnsi" w:cstheme="majorHAnsi"/>
          <w:sz w:val="24"/>
          <w:szCs w:val="24"/>
        </w:rPr>
        <w:t xml:space="preserve">a </w:t>
      </w:r>
      <w:r w:rsidR="00CB0A2A">
        <w:rPr>
          <w:rFonts w:asciiTheme="majorHAnsi" w:hAnsiTheme="majorHAnsi" w:cstheme="majorHAnsi"/>
          <w:sz w:val="24"/>
          <w:szCs w:val="24"/>
        </w:rPr>
        <w:t>acestora pe piața reglementată.</w:t>
      </w:r>
      <w:r w:rsidR="00793C62">
        <w:rPr>
          <w:rFonts w:asciiTheme="majorHAnsi" w:hAnsiTheme="majorHAnsi" w:cstheme="majorHAnsi"/>
          <w:sz w:val="24"/>
          <w:szCs w:val="24"/>
        </w:rPr>
        <w:t xml:space="preserve"> </w:t>
      </w:r>
    </w:p>
    <w:p w:rsidR="00463CB3" w:rsidRPr="00681914" w:rsidRDefault="00463CB3" w:rsidP="00A5267F">
      <w:pPr>
        <w:spacing w:before="240" w:after="0" w:line="276" w:lineRule="auto"/>
        <w:ind w:firstLine="709"/>
        <w:contextualSpacing/>
        <w:jc w:val="both"/>
        <w:rPr>
          <w:rFonts w:asciiTheme="majorHAnsi" w:hAnsiTheme="majorHAnsi" w:cstheme="majorHAnsi"/>
          <w:color w:val="000000" w:themeColor="text1"/>
          <w:sz w:val="24"/>
          <w:szCs w:val="24"/>
        </w:rPr>
      </w:pPr>
      <w:r>
        <w:rPr>
          <w:rFonts w:asciiTheme="majorHAnsi" w:hAnsiTheme="majorHAnsi" w:cstheme="majorHAnsi"/>
          <w:sz w:val="24"/>
          <w:szCs w:val="24"/>
        </w:rPr>
        <w:t>Concomitent</w:t>
      </w:r>
      <w:r w:rsidR="00530C54">
        <w:rPr>
          <w:rFonts w:asciiTheme="majorHAnsi" w:hAnsiTheme="majorHAnsi" w:cstheme="majorHAnsi"/>
          <w:sz w:val="24"/>
          <w:szCs w:val="24"/>
        </w:rPr>
        <w:t>,</w:t>
      </w:r>
      <w:r>
        <w:rPr>
          <w:rFonts w:asciiTheme="majorHAnsi" w:hAnsiTheme="majorHAnsi" w:cstheme="majorHAnsi"/>
          <w:sz w:val="24"/>
          <w:szCs w:val="24"/>
        </w:rPr>
        <w:t xml:space="preserve"> în conformitate cu pct.2 din HG menționată, </w:t>
      </w:r>
      <w:r w:rsidRPr="003E63F5">
        <w:rPr>
          <w:rFonts w:asciiTheme="majorHAnsi" w:hAnsiTheme="majorHAnsi" w:cstheme="majorHAnsi"/>
          <w:sz w:val="24"/>
          <w:szCs w:val="24"/>
        </w:rPr>
        <w:t xml:space="preserve">din </w:t>
      </w:r>
      <w:r w:rsidR="008012D7">
        <w:rPr>
          <w:rFonts w:asciiTheme="majorHAnsi" w:hAnsiTheme="majorHAnsi" w:cstheme="majorHAnsi"/>
          <w:sz w:val="24"/>
          <w:szCs w:val="24"/>
        </w:rPr>
        <w:t>f</w:t>
      </w:r>
      <w:r w:rsidRPr="003E63F5">
        <w:rPr>
          <w:rFonts w:asciiTheme="majorHAnsi" w:hAnsiTheme="majorHAnsi" w:cstheme="majorHAnsi"/>
          <w:sz w:val="24"/>
          <w:szCs w:val="24"/>
        </w:rPr>
        <w:t xml:space="preserve">ondul de rezervă al Guvernului </w:t>
      </w:r>
      <w:r>
        <w:rPr>
          <w:rFonts w:asciiTheme="majorHAnsi" w:hAnsiTheme="majorHAnsi" w:cstheme="majorHAnsi"/>
          <w:sz w:val="24"/>
          <w:szCs w:val="24"/>
        </w:rPr>
        <w:t>au fost alocate</w:t>
      </w:r>
      <w:r w:rsidRPr="003E63F5">
        <w:rPr>
          <w:rFonts w:asciiTheme="majorHAnsi" w:hAnsiTheme="majorHAnsi" w:cstheme="majorHAnsi"/>
          <w:sz w:val="24"/>
          <w:szCs w:val="24"/>
        </w:rPr>
        <w:t xml:space="preserve"> </w:t>
      </w:r>
      <w:r>
        <w:rPr>
          <w:rFonts w:asciiTheme="majorHAnsi" w:hAnsiTheme="majorHAnsi" w:cstheme="majorHAnsi"/>
          <w:sz w:val="24"/>
          <w:szCs w:val="24"/>
        </w:rPr>
        <w:t>și achitate mijloace</w:t>
      </w:r>
      <w:r w:rsidRPr="003E63F5">
        <w:rPr>
          <w:rFonts w:asciiTheme="majorHAnsi" w:hAnsiTheme="majorHAnsi" w:cstheme="majorHAnsi"/>
          <w:sz w:val="24"/>
          <w:szCs w:val="24"/>
        </w:rPr>
        <w:t xml:space="preserve"> în volum de 1,5 mil. </w:t>
      </w:r>
      <w:r w:rsidR="007160B9">
        <w:rPr>
          <w:rFonts w:asciiTheme="majorHAnsi" w:hAnsiTheme="majorHAnsi" w:cstheme="majorHAnsi"/>
          <w:sz w:val="24"/>
          <w:szCs w:val="24"/>
        </w:rPr>
        <w:t>MDL</w:t>
      </w:r>
      <w:r w:rsidR="008012D7">
        <w:rPr>
          <w:rFonts w:asciiTheme="majorHAnsi" w:hAnsiTheme="majorHAnsi" w:cstheme="majorHAnsi"/>
          <w:sz w:val="24"/>
          <w:szCs w:val="24"/>
        </w:rPr>
        <w:t>,</w:t>
      </w:r>
      <w:r w:rsidRPr="003E63F5">
        <w:rPr>
          <w:rFonts w:asciiTheme="majorHAnsi" w:hAnsiTheme="majorHAnsi" w:cstheme="majorHAnsi"/>
          <w:sz w:val="24"/>
          <w:szCs w:val="24"/>
        </w:rPr>
        <w:t xml:space="preserve"> </w:t>
      </w:r>
      <w:r>
        <w:rPr>
          <w:rFonts w:asciiTheme="majorHAnsi" w:hAnsiTheme="majorHAnsi" w:cstheme="majorHAnsi"/>
          <w:sz w:val="24"/>
          <w:szCs w:val="24"/>
        </w:rPr>
        <w:t xml:space="preserve">destinate </w:t>
      </w:r>
      <w:r w:rsidRPr="003E63F5">
        <w:rPr>
          <w:rFonts w:asciiTheme="majorHAnsi" w:hAnsiTheme="majorHAnsi" w:cstheme="majorHAnsi"/>
          <w:sz w:val="24"/>
          <w:szCs w:val="24"/>
        </w:rPr>
        <w:t>acoperirii cheltuielilor aferente procurării acțiunilor</w:t>
      </w:r>
      <w:r w:rsidR="00380FC8">
        <w:rPr>
          <w:rFonts w:asciiTheme="majorHAnsi" w:hAnsiTheme="majorHAnsi" w:cstheme="majorHAnsi"/>
          <w:sz w:val="24"/>
          <w:szCs w:val="24"/>
        </w:rPr>
        <w:t xml:space="preserve"> specificate</w:t>
      </w:r>
      <w:r w:rsidRPr="003E63F5">
        <w:rPr>
          <w:rFonts w:asciiTheme="majorHAnsi" w:hAnsiTheme="majorHAnsi" w:cstheme="majorHAnsi"/>
          <w:sz w:val="24"/>
          <w:szCs w:val="24"/>
        </w:rPr>
        <w:t xml:space="preserve">. </w:t>
      </w:r>
      <w:r w:rsidR="00A5267F">
        <w:rPr>
          <w:rFonts w:asciiTheme="majorHAnsi" w:hAnsiTheme="majorHAnsi" w:cstheme="majorHAnsi"/>
          <w:sz w:val="24"/>
          <w:szCs w:val="24"/>
        </w:rPr>
        <w:t xml:space="preserve">Verificările auditului </w:t>
      </w:r>
      <w:r>
        <w:rPr>
          <w:rFonts w:asciiTheme="majorHAnsi" w:hAnsiTheme="majorHAnsi" w:cstheme="majorHAnsi"/>
          <w:sz w:val="24"/>
          <w:szCs w:val="24"/>
        </w:rPr>
        <w:t xml:space="preserve">atestă că mijloacele bugetare au fost transferate din </w:t>
      </w:r>
      <w:r w:rsidR="00A5267F">
        <w:rPr>
          <w:rFonts w:asciiTheme="majorHAnsi" w:hAnsiTheme="majorHAnsi" w:cstheme="majorHAnsi"/>
          <w:sz w:val="24"/>
          <w:szCs w:val="24"/>
        </w:rPr>
        <w:t>BS la APP</w:t>
      </w:r>
      <w:r>
        <w:rPr>
          <w:rFonts w:asciiTheme="majorHAnsi" w:hAnsiTheme="majorHAnsi" w:cstheme="majorHAnsi"/>
          <w:sz w:val="24"/>
          <w:szCs w:val="24"/>
        </w:rPr>
        <w:t xml:space="preserve"> pe </w:t>
      </w:r>
      <w:r w:rsidR="00A5267F">
        <w:rPr>
          <w:rFonts w:asciiTheme="majorHAnsi" w:hAnsiTheme="majorHAnsi" w:cstheme="majorHAnsi"/>
          <w:sz w:val="24"/>
          <w:szCs w:val="24"/>
        </w:rPr>
        <w:t xml:space="preserve">data de </w:t>
      </w:r>
      <w:r>
        <w:rPr>
          <w:rFonts w:asciiTheme="majorHAnsi" w:hAnsiTheme="majorHAnsi" w:cstheme="majorHAnsi"/>
          <w:sz w:val="24"/>
          <w:szCs w:val="24"/>
        </w:rPr>
        <w:t>12.07.2018.</w:t>
      </w:r>
      <w:r w:rsidR="00793C62">
        <w:rPr>
          <w:rFonts w:asciiTheme="majorHAnsi" w:hAnsiTheme="majorHAnsi" w:cstheme="majorHAnsi"/>
          <w:sz w:val="24"/>
          <w:szCs w:val="24"/>
        </w:rPr>
        <w:t xml:space="preserve"> </w:t>
      </w:r>
      <w:r>
        <w:rPr>
          <w:rFonts w:asciiTheme="majorHAnsi" w:hAnsiTheme="majorHAnsi" w:cstheme="majorHAnsi"/>
          <w:sz w:val="24"/>
          <w:szCs w:val="24"/>
        </w:rPr>
        <w:t>Ulterior, în</w:t>
      </w:r>
      <w:r w:rsidRPr="003E63F5">
        <w:rPr>
          <w:rFonts w:asciiTheme="majorHAnsi" w:hAnsiTheme="majorHAnsi" w:cstheme="majorHAnsi"/>
          <w:sz w:val="24"/>
          <w:szCs w:val="24"/>
        </w:rPr>
        <w:t xml:space="preserve"> conf</w:t>
      </w:r>
      <w:r w:rsidR="00503DDD">
        <w:rPr>
          <w:rFonts w:asciiTheme="majorHAnsi" w:hAnsiTheme="majorHAnsi" w:cstheme="majorHAnsi"/>
          <w:sz w:val="24"/>
          <w:szCs w:val="24"/>
        </w:rPr>
        <w:t>ormitate cu pct. 4 din H</w:t>
      </w:r>
      <w:r w:rsidRPr="003E63F5">
        <w:rPr>
          <w:rFonts w:asciiTheme="majorHAnsi" w:hAnsiTheme="majorHAnsi" w:cstheme="majorHAnsi"/>
          <w:sz w:val="24"/>
          <w:szCs w:val="24"/>
        </w:rPr>
        <w:t>G nr.591 din 21.06.2018</w:t>
      </w:r>
      <w:r w:rsidR="00503DDD">
        <w:rPr>
          <w:rFonts w:asciiTheme="majorHAnsi" w:hAnsiTheme="majorHAnsi" w:cstheme="majorHAnsi"/>
          <w:sz w:val="24"/>
          <w:szCs w:val="24"/>
        </w:rPr>
        <w:t>,</w:t>
      </w:r>
      <w:r w:rsidR="00793C62">
        <w:rPr>
          <w:rFonts w:asciiTheme="majorHAnsi" w:hAnsiTheme="majorHAnsi" w:cstheme="majorHAnsi"/>
          <w:sz w:val="24"/>
          <w:szCs w:val="24"/>
        </w:rPr>
        <w:t xml:space="preserve"> </w:t>
      </w:r>
      <w:r w:rsidRPr="003E63F5">
        <w:rPr>
          <w:rFonts w:asciiTheme="majorHAnsi" w:hAnsiTheme="majorHAnsi" w:cstheme="majorHAnsi"/>
          <w:sz w:val="24"/>
          <w:szCs w:val="24"/>
        </w:rPr>
        <w:t>A</w:t>
      </w:r>
      <w:r>
        <w:rPr>
          <w:rFonts w:asciiTheme="majorHAnsi" w:hAnsiTheme="majorHAnsi" w:cstheme="majorHAnsi"/>
          <w:sz w:val="24"/>
          <w:szCs w:val="24"/>
        </w:rPr>
        <w:t>PP</w:t>
      </w:r>
      <w:r w:rsidRPr="003E63F5">
        <w:rPr>
          <w:rFonts w:asciiTheme="majorHAnsi" w:hAnsiTheme="majorHAnsi" w:cstheme="majorHAnsi"/>
          <w:sz w:val="24"/>
          <w:szCs w:val="24"/>
        </w:rPr>
        <w:t xml:space="preserve"> a vândut pe piața reglementa</w:t>
      </w:r>
      <w:r w:rsidR="008012D7">
        <w:rPr>
          <w:rFonts w:asciiTheme="majorHAnsi" w:hAnsiTheme="majorHAnsi" w:cstheme="majorHAnsi"/>
          <w:sz w:val="24"/>
          <w:szCs w:val="24"/>
        </w:rPr>
        <w:t>t</w:t>
      </w:r>
      <w:r w:rsidRPr="003E63F5">
        <w:rPr>
          <w:rFonts w:asciiTheme="majorHAnsi" w:hAnsiTheme="majorHAnsi" w:cstheme="majorHAnsi"/>
          <w:sz w:val="24"/>
          <w:szCs w:val="24"/>
        </w:rPr>
        <w:t>ă pachetul de acțiuni la prețul la care acestea au fost cumpărate</w:t>
      </w:r>
      <w:r w:rsidR="008012D7">
        <w:rPr>
          <w:rFonts w:asciiTheme="majorHAnsi" w:hAnsiTheme="majorHAnsi" w:cstheme="majorHAnsi"/>
          <w:sz w:val="24"/>
          <w:szCs w:val="24"/>
        </w:rPr>
        <w:t>,</w:t>
      </w:r>
      <w:r w:rsidRPr="003E63F5">
        <w:rPr>
          <w:rFonts w:asciiTheme="majorHAnsi" w:hAnsiTheme="majorHAnsi" w:cstheme="majorHAnsi"/>
          <w:sz w:val="24"/>
          <w:szCs w:val="24"/>
        </w:rPr>
        <w:t xml:space="preserve"> </w:t>
      </w:r>
      <w:r w:rsidRPr="003E63F5">
        <w:rPr>
          <w:rFonts w:asciiTheme="majorHAnsi" w:hAnsiTheme="majorHAnsi" w:cstheme="majorHAnsi"/>
          <w:sz w:val="24"/>
          <w:szCs w:val="24"/>
        </w:rPr>
        <w:lastRenderedPageBreak/>
        <w:t>plus costurile suportate la cumpărare</w:t>
      </w:r>
      <w:r w:rsidR="008012D7">
        <w:rPr>
          <w:rFonts w:asciiTheme="majorHAnsi" w:hAnsiTheme="majorHAnsi" w:cstheme="majorHAnsi"/>
          <w:sz w:val="24"/>
          <w:szCs w:val="24"/>
        </w:rPr>
        <w:t>a</w:t>
      </w:r>
      <w:r w:rsidRPr="003E63F5">
        <w:rPr>
          <w:rFonts w:asciiTheme="majorHAnsi" w:hAnsiTheme="majorHAnsi" w:cstheme="majorHAnsi"/>
          <w:sz w:val="24"/>
          <w:szCs w:val="24"/>
        </w:rPr>
        <w:t>-vânzare</w:t>
      </w:r>
      <w:r w:rsidR="00503DDD">
        <w:rPr>
          <w:rFonts w:asciiTheme="majorHAnsi" w:hAnsiTheme="majorHAnsi" w:cstheme="majorHAnsi"/>
          <w:sz w:val="24"/>
          <w:szCs w:val="24"/>
        </w:rPr>
        <w:t xml:space="preserve">a </w:t>
      </w:r>
      <w:r w:rsidRPr="003E63F5">
        <w:rPr>
          <w:rFonts w:asciiTheme="majorHAnsi" w:hAnsiTheme="majorHAnsi" w:cstheme="majorHAnsi"/>
          <w:sz w:val="24"/>
          <w:szCs w:val="24"/>
        </w:rPr>
        <w:t>acestor</w:t>
      </w:r>
      <w:r w:rsidR="008012D7">
        <w:rPr>
          <w:rFonts w:asciiTheme="majorHAnsi" w:hAnsiTheme="majorHAnsi" w:cstheme="majorHAnsi"/>
          <w:sz w:val="24"/>
          <w:szCs w:val="24"/>
        </w:rPr>
        <w:t>a</w:t>
      </w:r>
      <w:r w:rsidR="00380FC8">
        <w:rPr>
          <w:rFonts w:asciiTheme="majorHAnsi" w:hAnsiTheme="majorHAnsi" w:cstheme="majorHAnsi"/>
          <w:sz w:val="24"/>
          <w:szCs w:val="24"/>
        </w:rPr>
        <w:t>,</w:t>
      </w:r>
      <w:r w:rsidR="00681914">
        <w:rPr>
          <w:rFonts w:asciiTheme="majorHAnsi" w:hAnsiTheme="majorHAnsi" w:cstheme="majorHAnsi"/>
          <w:sz w:val="24"/>
          <w:szCs w:val="24"/>
        </w:rPr>
        <w:t xml:space="preserve"> în sumă de 451,5 mil.</w:t>
      </w:r>
      <w:r w:rsidR="008012D7">
        <w:rPr>
          <w:rFonts w:asciiTheme="majorHAnsi" w:hAnsiTheme="majorHAnsi" w:cstheme="majorHAnsi"/>
          <w:sz w:val="24"/>
          <w:szCs w:val="24"/>
        </w:rPr>
        <w:t xml:space="preserve"> </w:t>
      </w:r>
      <w:r w:rsidR="007160B9">
        <w:rPr>
          <w:rFonts w:asciiTheme="majorHAnsi" w:hAnsiTheme="majorHAnsi" w:cstheme="majorHAnsi"/>
          <w:sz w:val="24"/>
          <w:szCs w:val="24"/>
        </w:rPr>
        <w:t>MDL</w:t>
      </w:r>
      <w:r w:rsidR="00681914">
        <w:rPr>
          <w:rFonts w:asciiTheme="majorHAnsi" w:hAnsiTheme="majorHAnsi" w:cstheme="majorHAnsi"/>
          <w:sz w:val="24"/>
          <w:szCs w:val="24"/>
        </w:rPr>
        <w:t xml:space="preserve">, </w:t>
      </w:r>
      <w:r w:rsidRPr="00681914">
        <w:rPr>
          <w:rFonts w:asciiTheme="majorHAnsi" w:hAnsiTheme="majorHAnsi" w:cstheme="majorHAnsi"/>
          <w:color w:val="000000" w:themeColor="text1"/>
          <w:sz w:val="24"/>
          <w:szCs w:val="24"/>
        </w:rPr>
        <w:t>mijloace</w:t>
      </w:r>
      <w:r w:rsidR="008012D7">
        <w:rPr>
          <w:rFonts w:asciiTheme="majorHAnsi" w:hAnsiTheme="majorHAnsi" w:cstheme="majorHAnsi"/>
          <w:color w:val="000000" w:themeColor="text1"/>
          <w:sz w:val="24"/>
          <w:szCs w:val="24"/>
        </w:rPr>
        <w:t>le respective</w:t>
      </w:r>
      <w:r w:rsidRPr="00681914">
        <w:rPr>
          <w:rFonts w:asciiTheme="majorHAnsi" w:hAnsiTheme="majorHAnsi" w:cstheme="majorHAnsi"/>
          <w:color w:val="000000" w:themeColor="text1"/>
          <w:sz w:val="24"/>
          <w:szCs w:val="24"/>
        </w:rPr>
        <w:t xml:space="preserve"> fiind restituite în BS pe data de 08.10.2018.</w:t>
      </w:r>
      <w:r w:rsidR="00793C62">
        <w:rPr>
          <w:rFonts w:asciiTheme="majorHAnsi" w:hAnsiTheme="majorHAnsi" w:cstheme="majorHAnsi"/>
          <w:color w:val="000000" w:themeColor="text1"/>
          <w:sz w:val="24"/>
          <w:szCs w:val="24"/>
        </w:rPr>
        <w:t xml:space="preserve"> </w:t>
      </w:r>
    </w:p>
    <w:p w:rsidR="00CE2D2C" w:rsidRDefault="00CE2D2C" w:rsidP="00530C54">
      <w:pPr>
        <w:spacing w:before="240" w:after="0" w:line="276" w:lineRule="auto"/>
        <w:contextualSpacing/>
        <w:jc w:val="both"/>
        <w:rPr>
          <w:rFonts w:asciiTheme="majorHAnsi" w:hAnsiTheme="majorHAnsi" w:cstheme="majorHAnsi"/>
          <w:sz w:val="24"/>
          <w:szCs w:val="24"/>
        </w:rPr>
      </w:pPr>
    </w:p>
    <w:p w:rsidR="00CE2D2C" w:rsidRDefault="00A251BC" w:rsidP="00031E9C">
      <w:pPr>
        <w:pStyle w:val="Heading3"/>
        <w:jc w:val="both"/>
        <w:rPr>
          <w:rFonts w:cstheme="majorHAnsi"/>
          <w:b/>
          <w:color w:val="000000" w:themeColor="text1"/>
        </w:rPr>
      </w:pPr>
      <w:bookmarkStart w:id="18" w:name="_Toc10126089"/>
      <w:r>
        <w:rPr>
          <w:rFonts w:cstheme="majorHAnsi"/>
          <w:b/>
          <w:color w:val="000000" w:themeColor="text1"/>
        </w:rPr>
        <w:t>3.2</w:t>
      </w:r>
      <w:r w:rsidR="006459C9">
        <w:rPr>
          <w:rFonts w:cstheme="majorHAnsi"/>
          <w:b/>
          <w:color w:val="000000" w:themeColor="text1"/>
        </w:rPr>
        <w:t>.9</w:t>
      </w:r>
      <w:r w:rsidR="00CE2D2C" w:rsidRPr="006A4EF3">
        <w:rPr>
          <w:rFonts w:cstheme="majorHAnsi"/>
          <w:b/>
          <w:color w:val="000000" w:themeColor="text1"/>
        </w:rPr>
        <w:t xml:space="preserve"> Efectuarea transferurilor </w:t>
      </w:r>
      <w:proofErr w:type="spellStart"/>
      <w:r w:rsidR="00CE2D2C" w:rsidRPr="006A4EF3">
        <w:rPr>
          <w:rFonts w:cstheme="majorHAnsi"/>
          <w:b/>
          <w:color w:val="000000" w:themeColor="text1"/>
        </w:rPr>
        <w:t>interbugetare</w:t>
      </w:r>
      <w:proofErr w:type="spellEnd"/>
      <w:r w:rsidR="00031E9C">
        <w:rPr>
          <w:rFonts w:cstheme="majorHAnsi"/>
          <w:b/>
          <w:color w:val="000000" w:themeColor="text1"/>
        </w:rPr>
        <w:t xml:space="preserve"> relevă o tendință de creștere</w:t>
      </w:r>
      <w:r w:rsidR="00DD6B7C">
        <w:rPr>
          <w:rFonts w:cstheme="majorHAnsi"/>
          <w:b/>
          <w:color w:val="000000" w:themeColor="text1"/>
        </w:rPr>
        <w:t>,</w:t>
      </w:r>
      <w:r w:rsidR="00031E9C">
        <w:rPr>
          <w:rFonts w:cstheme="majorHAnsi"/>
          <w:b/>
          <w:color w:val="000000" w:themeColor="text1"/>
        </w:rPr>
        <w:t xml:space="preserve"> </w:t>
      </w:r>
      <w:r w:rsidR="00DD6B7C">
        <w:rPr>
          <w:rFonts w:cstheme="majorHAnsi"/>
          <w:b/>
          <w:color w:val="000000" w:themeColor="text1"/>
        </w:rPr>
        <w:t>fiind</w:t>
      </w:r>
      <w:r w:rsidR="00031E9C">
        <w:rPr>
          <w:rFonts w:cstheme="majorHAnsi"/>
          <w:b/>
          <w:color w:val="000000" w:themeColor="text1"/>
        </w:rPr>
        <w:t xml:space="preserve"> semnificative în totalul cheltuielilor </w:t>
      </w:r>
      <w:r w:rsidR="007A4165">
        <w:rPr>
          <w:rFonts w:cstheme="majorHAnsi"/>
          <w:b/>
          <w:color w:val="000000" w:themeColor="text1"/>
        </w:rPr>
        <w:t>bugetului de stat</w:t>
      </w:r>
      <w:r w:rsidR="00CE2D2C" w:rsidRPr="006A4EF3">
        <w:rPr>
          <w:rFonts w:cstheme="majorHAnsi"/>
          <w:b/>
          <w:color w:val="000000" w:themeColor="text1"/>
        </w:rPr>
        <w:t>.</w:t>
      </w:r>
      <w:bookmarkEnd w:id="18"/>
    </w:p>
    <w:p w:rsidR="00554C8B" w:rsidRPr="00554C8B" w:rsidRDefault="00554C8B" w:rsidP="00FB186A">
      <w:pPr>
        <w:shd w:val="clear" w:color="auto" w:fill="FFFFFF" w:themeFill="background1"/>
        <w:spacing w:after="0" w:line="276" w:lineRule="auto"/>
        <w:ind w:right="49" w:firstLine="709"/>
        <w:jc w:val="both"/>
        <w:rPr>
          <w:rFonts w:asciiTheme="majorHAnsi" w:eastAsia="MS Mincho" w:hAnsiTheme="majorHAnsi" w:cstheme="majorHAnsi"/>
          <w:sz w:val="24"/>
          <w:szCs w:val="24"/>
          <w:lang w:eastAsia="ja-JP"/>
        </w:rPr>
      </w:pPr>
      <w:r w:rsidRPr="00554C8B">
        <w:rPr>
          <w:rFonts w:asciiTheme="majorHAnsi" w:eastAsia="MS Mincho" w:hAnsiTheme="majorHAnsi" w:cstheme="majorHAnsi"/>
          <w:sz w:val="24"/>
          <w:szCs w:val="24"/>
          <w:lang w:eastAsia="ja-JP"/>
        </w:rPr>
        <w:t>Conform legii bugetare anuale</w:t>
      </w:r>
      <w:r w:rsidRPr="00554C8B">
        <w:rPr>
          <w:rStyle w:val="FootnoteReference"/>
          <w:rFonts w:asciiTheme="majorHAnsi" w:eastAsia="MS Mincho" w:hAnsiTheme="majorHAnsi" w:cstheme="majorHAnsi"/>
          <w:sz w:val="24"/>
          <w:szCs w:val="24"/>
          <w:lang w:eastAsia="ja-JP"/>
        </w:rPr>
        <w:footnoteReference w:id="32"/>
      </w:r>
      <w:r w:rsidRPr="00554C8B">
        <w:rPr>
          <w:rFonts w:asciiTheme="majorHAnsi" w:eastAsia="MS Mincho" w:hAnsiTheme="majorHAnsi" w:cstheme="majorHAnsi"/>
          <w:sz w:val="24"/>
          <w:szCs w:val="24"/>
          <w:lang w:eastAsia="ja-JP"/>
        </w:rPr>
        <w:t>, pentru anul 2018</w:t>
      </w:r>
      <w:r w:rsidR="00793C62">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inițial au fost aprobate transferuri către alte bugete în volum de 19</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429,9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w:t>
      </w:r>
      <w:r>
        <w:rPr>
          <w:rFonts w:asciiTheme="majorHAnsi" w:eastAsia="MS Mincho" w:hAnsiTheme="majorHAnsi" w:cstheme="majorHAnsi"/>
          <w:sz w:val="24"/>
          <w:szCs w:val="24"/>
          <w:lang w:eastAsia="ja-JP"/>
        </w:rPr>
        <w:t xml:space="preserve"> inclusiv: </w:t>
      </w:r>
      <w:r w:rsidRPr="00554C8B">
        <w:rPr>
          <w:rFonts w:asciiTheme="majorHAnsi" w:eastAsia="MS Mincho" w:hAnsiTheme="majorHAnsi" w:cstheme="majorHAnsi"/>
          <w:sz w:val="24"/>
          <w:szCs w:val="24"/>
          <w:lang w:eastAsia="ja-JP"/>
        </w:rPr>
        <w:t>BASS – 6</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758,5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FAOAM – 2</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728,0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BUAT – 9</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861,3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xml:space="preserve">. Urmare </w:t>
      </w:r>
      <w:r w:rsidR="00DD6B7C">
        <w:rPr>
          <w:rFonts w:asciiTheme="majorHAnsi" w:eastAsia="MS Mincho" w:hAnsiTheme="majorHAnsi" w:cstheme="majorHAnsi"/>
          <w:sz w:val="24"/>
          <w:szCs w:val="24"/>
          <w:lang w:eastAsia="ja-JP"/>
        </w:rPr>
        <w:t xml:space="preserve">a </w:t>
      </w:r>
      <w:r w:rsidRPr="00554C8B">
        <w:rPr>
          <w:rFonts w:asciiTheme="majorHAnsi" w:eastAsia="MS Mincho" w:hAnsiTheme="majorHAnsi" w:cstheme="majorHAnsi"/>
          <w:sz w:val="24"/>
          <w:szCs w:val="24"/>
          <w:lang w:eastAsia="ja-JP"/>
        </w:rPr>
        <w:t>modificărilor operate, volumul transferurilor a fost majorat până la 19</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493,3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xml:space="preserve">, dintre care transferurile către BASS </w:t>
      </w:r>
      <w:r w:rsidR="00DD6B7C">
        <w:rPr>
          <w:rFonts w:asciiTheme="majorHAnsi" w:eastAsia="MS Mincho" w:hAnsiTheme="majorHAnsi" w:cstheme="majorHAnsi"/>
          <w:sz w:val="24"/>
          <w:szCs w:val="24"/>
          <w:lang w:eastAsia="ja-JP"/>
        </w:rPr>
        <w:t>au constituit</w:t>
      </w:r>
      <w:r w:rsidRPr="00554C8B">
        <w:rPr>
          <w:rFonts w:asciiTheme="majorHAnsi" w:eastAsia="MS Mincho" w:hAnsiTheme="majorHAnsi" w:cstheme="majorHAnsi"/>
          <w:sz w:val="24"/>
          <w:szCs w:val="24"/>
          <w:lang w:eastAsia="ja-JP"/>
        </w:rPr>
        <w:t xml:space="preserve"> 6</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755,1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DD6B7C">
        <w:rPr>
          <w:rFonts w:asciiTheme="majorHAnsi" w:eastAsia="MS Mincho" w:hAnsiTheme="majorHAnsi" w:cstheme="majorHAnsi"/>
          <w:sz w:val="24"/>
          <w:szCs w:val="24"/>
          <w:lang w:eastAsia="ja-JP"/>
        </w:rPr>
        <w:t>,</w:t>
      </w:r>
      <w:r w:rsidRPr="00554C8B">
        <w:rPr>
          <w:rFonts w:asciiTheme="majorHAnsi" w:eastAsia="MS Mincho" w:hAnsiTheme="majorHAnsi" w:cstheme="majorHAnsi"/>
          <w:sz w:val="24"/>
          <w:szCs w:val="24"/>
          <w:lang w:eastAsia="ja-JP"/>
        </w:rPr>
        <w:t xml:space="preserve"> fiind micșorate cu (-3,4</w:t>
      </w:r>
      <w:r w:rsidR="000A1A12">
        <w:rPr>
          <w:rFonts w:asciiTheme="majorHAnsi" w:eastAsia="MS Mincho" w:hAnsiTheme="majorHAnsi" w:cstheme="majorHAnsi"/>
          <w:sz w:val="24"/>
          <w:szCs w:val="24"/>
          <w:lang w:eastAsia="ja-JP"/>
        </w:rPr>
        <w:t>)</w:t>
      </w:r>
      <w:r w:rsidRPr="00554C8B">
        <w:rPr>
          <w:rFonts w:asciiTheme="majorHAnsi" w:eastAsia="MS Mincho" w:hAnsiTheme="majorHAnsi" w:cstheme="majorHAnsi"/>
          <w:sz w:val="24"/>
          <w:szCs w:val="24"/>
          <w:lang w:eastAsia="ja-JP"/>
        </w:rPr>
        <w:t xml:space="preserve">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xml:space="preserve"> și către BUAT – 10</w:t>
      </w:r>
      <w:r>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015,3</w:t>
      </w:r>
      <w:r w:rsidR="00793C62">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DD6B7C">
        <w:rPr>
          <w:rFonts w:asciiTheme="majorHAnsi" w:eastAsia="MS Mincho" w:hAnsiTheme="majorHAnsi" w:cstheme="majorHAnsi"/>
          <w:sz w:val="24"/>
          <w:szCs w:val="24"/>
          <w:lang w:eastAsia="ja-JP"/>
        </w:rPr>
        <w:t>,</w:t>
      </w:r>
      <w:r w:rsidRPr="00554C8B">
        <w:rPr>
          <w:rFonts w:asciiTheme="majorHAnsi" w:eastAsia="MS Mincho" w:hAnsiTheme="majorHAnsi" w:cstheme="majorHAnsi"/>
          <w:sz w:val="24"/>
          <w:szCs w:val="24"/>
          <w:lang w:eastAsia="ja-JP"/>
        </w:rPr>
        <w:t xml:space="preserve"> fiind majorate cu (+154</w:t>
      </w:r>
      <w:r w:rsidR="00E32CBC">
        <w:rPr>
          <w:rFonts w:asciiTheme="majorHAnsi" w:eastAsia="MS Mincho" w:hAnsiTheme="majorHAnsi" w:cstheme="majorHAnsi"/>
          <w:sz w:val="24"/>
          <w:szCs w:val="24"/>
          <w:lang w:eastAsia="ja-JP"/>
        </w:rPr>
        <w:t>,0</w:t>
      </w:r>
      <w:r w:rsidR="000A1A12">
        <w:rPr>
          <w:rFonts w:asciiTheme="majorHAnsi" w:eastAsia="MS Mincho" w:hAnsiTheme="majorHAnsi" w:cstheme="majorHAnsi"/>
          <w:sz w:val="24"/>
          <w:szCs w:val="24"/>
          <w:lang w:eastAsia="ja-JP"/>
        </w:rPr>
        <w:t>)</w:t>
      </w:r>
      <w:r w:rsidRPr="00554C8B">
        <w:rPr>
          <w:rFonts w:asciiTheme="majorHAnsi" w:eastAsia="MS Mincho" w:hAnsiTheme="majorHAnsi" w:cstheme="majorHAnsi"/>
          <w:sz w:val="24"/>
          <w:szCs w:val="24"/>
          <w:lang w:eastAsia="ja-JP"/>
        </w:rPr>
        <w:t xml:space="preserve"> 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554C8B">
        <w:rPr>
          <w:rFonts w:asciiTheme="majorHAnsi" w:eastAsia="MS Mincho" w:hAnsiTheme="majorHAnsi" w:cstheme="majorHAnsi"/>
          <w:sz w:val="24"/>
          <w:szCs w:val="24"/>
          <w:lang w:eastAsia="ja-JP"/>
        </w:rPr>
        <w:t xml:space="preserve">. </w:t>
      </w:r>
    </w:p>
    <w:p w:rsidR="00554C8B" w:rsidRPr="00554C8B" w:rsidRDefault="00554C8B" w:rsidP="00554C8B">
      <w:pPr>
        <w:shd w:val="clear" w:color="auto" w:fill="FFFFFF" w:themeFill="background1"/>
        <w:spacing w:after="0" w:line="276" w:lineRule="auto"/>
        <w:ind w:right="49" w:firstLine="709"/>
        <w:jc w:val="both"/>
        <w:rPr>
          <w:rFonts w:asciiTheme="majorHAnsi" w:eastAsia="MS Mincho" w:hAnsiTheme="majorHAnsi" w:cstheme="majorHAnsi"/>
          <w:color w:val="FF0000"/>
          <w:sz w:val="24"/>
          <w:szCs w:val="24"/>
          <w:highlight w:val="yellow"/>
          <w:lang w:eastAsia="ja-JP"/>
        </w:rPr>
      </w:pPr>
      <w:r w:rsidRPr="00554C8B">
        <w:rPr>
          <w:rFonts w:asciiTheme="majorHAnsi" w:eastAsia="MS Mincho" w:hAnsiTheme="majorHAnsi" w:cstheme="majorHAnsi"/>
          <w:sz w:val="24"/>
          <w:szCs w:val="24"/>
          <w:lang w:eastAsia="ja-JP"/>
        </w:rPr>
        <w:t>Verificările auditului denotă că executarea</w:t>
      </w:r>
      <w:r w:rsidR="00793C62">
        <w:rPr>
          <w:rFonts w:asciiTheme="majorHAnsi" w:eastAsia="MS Mincho" w:hAnsiTheme="majorHAnsi" w:cstheme="majorHAnsi"/>
          <w:sz w:val="24"/>
          <w:szCs w:val="24"/>
          <w:lang w:eastAsia="ja-JP"/>
        </w:rPr>
        <w:t xml:space="preserve"> </w:t>
      </w:r>
      <w:r w:rsidRPr="00554C8B">
        <w:rPr>
          <w:rFonts w:asciiTheme="majorHAnsi" w:eastAsia="MS Mincho" w:hAnsiTheme="majorHAnsi" w:cstheme="majorHAnsi"/>
          <w:sz w:val="24"/>
          <w:szCs w:val="24"/>
          <w:lang w:eastAsia="ja-JP"/>
        </w:rPr>
        <w:t xml:space="preserve">transferurilor de la BS în perioada auditată a constituit </w:t>
      </w:r>
      <w:r w:rsidRPr="00554C8B">
        <w:rPr>
          <w:rFonts w:asciiTheme="majorHAnsi" w:eastAsia="MS Mincho" w:hAnsiTheme="majorHAnsi" w:cstheme="majorHAnsi"/>
          <w:sz w:val="24"/>
          <w:szCs w:val="24"/>
          <w:shd w:val="clear" w:color="auto" w:fill="FFFFFF" w:themeFill="background1"/>
          <w:lang w:eastAsia="ja-JP"/>
        </w:rPr>
        <w:t>19</w:t>
      </w:r>
      <w:r>
        <w:rPr>
          <w:rFonts w:asciiTheme="majorHAnsi" w:eastAsia="MS Mincho" w:hAnsiTheme="majorHAnsi" w:cstheme="majorHAnsi"/>
          <w:sz w:val="24"/>
          <w:szCs w:val="24"/>
          <w:shd w:val="clear" w:color="auto" w:fill="FFFFFF" w:themeFill="background1"/>
          <w:lang w:eastAsia="ja-JP"/>
        </w:rPr>
        <w:t xml:space="preserve"> </w:t>
      </w:r>
      <w:r w:rsidRPr="00554C8B">
        <w:rPr>
          <w:rFonts w:asciiTheme="majorHAnsi" w:eastAsia="MS Mincho" w:hAnsiTheme="majorHAnsi" w:cstheme="majorHAnsi"/>
          <w:sz w:val="24"/>
          <w:szCs w:val="24"/>
          <w:shd w:val="clear" w:color="auto" w:fill="FFFFFF" w:themeFill="background1"/>
          <w:lang w:eastAsia="ja-JP"/>
        </w:rPr>
        <w:t>334,0 mil.</w:t>
      </w:r>
      <w:r>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Pr="00554C8B">
        <w:rPr>
          <w:rFonts w:asciiTheme="majorHAnsi" w:eastAsia="MS Mincho" w:hAnsiTheme="majorHAnsi" w:cstheme="majorHAnsi"/>
          <w:sz w:val="24"/>
          <w:szCs w:val="24"/>
          <w:shd w:val="clear" w:color="auto" w:fill="FFFFFF" w:themeFill="background1"/>
          <w:lang w:eastAsia="ja-JP"/>
        </w:rPr>
        <w:t xml:space="preserve">, sau 99,1% (cu 0,1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mai mult față de anul 2017)</w:t>
      </w:r>
      <w:r w:rsidR="00DD6B7C">
        <w:rPr>
          <w:rFonts w:asciiTheme="majorHAnsi" w:eastAsia="MS Mincho" w:hAnsiTheme="majorHAnsi" w:cstheme="majorHAnsi"/>
          <w:sz w:val="24"/>
          <w:szCs w:val="24"/>
          <w:shd w:val="clear" w:color="auto" w:fill="FFFFFF" w:themeFill="background1"/>
          <w:lang w:eastAsia="ja-JP"/>
        </w:rPr>
        <w:t>,</w:t>
      </w:r>
      <w:r w:rsidRPr="00554C8B">
        <w:rPr>
          <w:rFonts w:asciiTheme="majorHAnsi" w:eastAsia="MS Mincho" w:hAnsiTheme="majorHAnsi" w:cstheme="majorHAnsi"/>
          <w:sz w:val="24"/>
          <w:szCs w:val="24"/>
          <w:shd w:val="clear" w:color="auto" w:fill="FFFFFF" w:themeFill="background1"/>
          <w:lang w:eastAsia="ja-JP"/>
        </w:rPr>
        <w:t xml:space="preserve"> inclusiv: către BASS – 6</w:t>
      </w:r>
      <w:r>
        <w:rPr>
          <w:rFonts w:asciiTheme="majorHAnsi" w:eastAsia="MS Mincho" w:hAnsiTheme="majorHAnsi" w:cstheme="majorHAnsi"/>
          <w:sz w:val="24"/>
          <w:szCs w:val="24"/>
          <w:shd w:val="clear" w:color="auto" w:fill="FFFFFF" w:themeFill="background1"/>
          <w:lang w:eastAsia="ja-JP"/>
        </w:rPr>
        <w:t xml:space="preserve"> </w:t>
      </w:r>
      <w:r w:rsidRPr="00554C8B">
        <w:rPr>
          <w:rFonts w:asciiTheme="majorHAnsi" w:eastAsia="MS Mincho" w:hAnsiTheme="majorHAnsi" w:cstheme="majorHAnsi"/>
          <w:sz w:val="24"/>
          <w:szCs w:val="24"/>
          <w:shd w:val="clear" w:color="auto" w:fill="FFFFFF" w:themeFill="background1"/>
          <w:lang w:eastAsia="ja-JP"/>
        </w:rPr>
        <w:t>670,2 mil.</w:t>
      </w:r>
      <w:r>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Pr="00554C8B">
        <w:rPr>
          <w:rFonts w:asciiTheme="majorHAnsi" w:eastAsia="MS Mincho" w:hAnsiTheme="majorHAnsi" w:cstheme="majorHAnsi"/>
          <w:sz w:val="24"/>
          <w:szCs w:val="24"/>
          <w:shd w:val="clear" w:color="auto" w:fill="FFFFFF" w:themeFill="background1"/>
          <w:lang w:eastAsia="ja-JP"/>
        </w:rPr>
        <w:t xml:space="preserve">, cu un nivel de executare de 98,7%, sau cu 0,1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mai mult față de anul 2017, FAOAM – 2</w:t>
      </w:r>
      <w:r>
        <w:rPr>
          <w:rFonts w:asciiTheme="majorHAnsi" w:eastAsia="MS Mincho" w:hAnsiTheme="majorHAnsi" w:cstheme="majorHAnsi"/>
          <w:sz w:val="24"/>
          <w:szCs w:val="24"/>
          <w:shd w:val="clear" w:color="auto" w:fill="FFFFFF" w:themeFill="background1"/>
          <w:lang w:eastAsia="ja-JP"/>
        </w:rPr>
        <w:t xml:space="preserve"> </w:t>
      </w:r>
      <w:r w:rsidRPr="00554C8B">
        <w:rPr>
          <w:rFonts w:asciiTheme="majorHAnsi" w:eastAsia="MS Mincho" w:hAnsiTheme="majorHAnsi" w:cstheme="majorHAnsi"/>
          <w:sz w:val="24"/>
          <w:szCs w:val="24"/>
          <w:shd w:val="clear" w:color="auto" w:fill="FFFFFF" w:themeFill="background1"/>
          <w:lang w:eastAsia="ja-JP"/>
        </w:rPr>
        <w:t>728,0 mil.</w:t>
      </w:r>
      <w:r>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Pr="00554C8B">
        <w:rPr>
          <w:rFonts w:asciiTheme="majorHAnsi" w:eastAsia="MS Mincho" w:hAnsiTheme="majorHAnsi" w:cstheme="majorHAnsi"/>
          <w:sz w:val="24"/>
          <w:szCs w:val="24"/>
          <w:shd w:val="clear" w:color="auto" w:fill="FFFFFF" w:themeFill="background1"/>
          <w:lang w:eastAsia="ja-JP"/>
        </w:rPr>
        <w:t>, cu un nivel de executare de 100</w:t>
      </w:r>
      <w:r w:rsidR="008C686F">
        <w:rPr>
          <w:rFonts w:asciiTheme="majorHAnsi" w:eastAsia="MS Mincho" w:hAnsiTheme="majorHAnsi" w:cstheme="majorHAnsi"/>
          <w:sz w:val="24"/>
          <w:szCs w:val="24"/>
          <w:shd w:val="clear" w:color="auto" w:fill="FFFFFF" w:themeFill="background1"/>
          <w:lang w:eastAsia="ja-JP"/>
        </w:rPr>
        <w:t>,0</w:t>
      </w:r>
      <w:r w:rsidRPr="00554C8B">
        <w:rPr>
          <w:rFonts w:asciiTheme="majorHAnsi" w:eastAsia="MS Mincho" w:hAnsiTheme="majorHAnsi" w:cstheme="majorHAnsi"/>
          <w:sz w:val="24"/>
          <w:szCs w:val="24"/>
          <w:shd w:val="clear" w:color="auto" w:fill="FFFFFF" w:themeFill="background1"/>
          <w:lang w:eastAsia="ja-JP"/>
        </w:rPr>
        <w:t xml:space="preserve">%, și BUAT – </w:t>
      </w:r>
      <w:r w:rsidRPr="00554C8B">
        <w:rPr>
          <w:rFonts w:asciiTheme="majorHAnsi" w:hAnsiTheme="majorHAnsi" w:cstheme="majorHAnsi"/>
          <w:sz w:val="24"/>
          <w:szCs w:val="24"/>
          <w:shd w:val="clear" w:color="auto" w:fill="FFFFFF" w:themeFill="background1"/>
        </w:rPr>
        <w:t>9</w:t>
      </w:r>
      <w:r>
        <w:rPr>
          <w:rFonts w:asciiTheme="majorHAnsi" w:hAnsiTheme="majorHAnsi" w:cstheme="majorHAnsi"/>
          <w:sz w:val="24"/>
          <w:szCs w:val="24"/>
          <w:shd w:val="clear" w:color="auto" w:fill="FFFFFF" w:themeFill="background1"/>
        </w:rPr>
        <w:t xml:space="preserve"> </w:t>
      </w:r>
      <w:r w:rsidRPr="00554C8B">
        <w:rPr>
          <w:rFonts w:asciiTheme="majorHAnsi" w:hAnsiTheme="majorHAnsi" w:cstheme="majorHAnsi"/>
          <w:sz w:val="24"/>
          <w:szCs w:val="24"/>
          <w:shd w:val="clear" w:color="auto" w:fill="FFFFFF" w:themeFill="background1"/>
        </w:rPr>
        <w:t xml:space="preserve">935,8 </w:t>
      </w:r>
      <w:r w:rsidRPr="00554C8B">
        <w:rPr>
          <w:rFonts w:asciiTheme="majorHAnsi" w:eastAsia="MS Mincho" w:hAnsiTheme="majorHAnsi" w:cstheme="majorHAnsi"/>
          <w:sz w:val="24"/>
          <w:szCs w:val="24"/>
          <w:shd w:val="clear" w:color="auto" w:fill="FFFFFF" w:themeFill="background1"/>
          <w:lang w:eastAsia="ja-JP"/>
        </w:rPr>
        <w:t>mil.</w:t>
      </w:r>
      <w:r>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Pr="00554C8B">
        <w:rPr>
          <w:rFonts w:asciiTheme="majorHAnsi" w:eastAsia="MS Mincho" w:hAnsiTheme="majorHAnsi" w:cstheme="majorHAnsi"/>
          <w:sz w:val="24"/>
          <w:szCs w:val="24"/>
          <w:shd w:val="clear" w:color="auto" w:fill="FFFFFF" w:themeFill="background1"/>
          <w:lang w:eastAsia="ja-JP"/>
        </w:rPr>
        <w:t xml:space="preserve">, cu un nivel de executare de 99,2%, sau cu 0,2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mai mult față de anul 2017. </w:t>
      </w:r>
    </w:p>
    <w:p w:rsidR="008E1858" w:rsidRDefault="00554C8B" w:rsidP="00554C8B">
      <w:pPr>
        <w:shd w:val="clear" w:color="auto" w:fill="FFFFFF" w:themeFill="background1"/>
        <w:spacing w:after="0" w:line="276" w:lineRule="auto"/>
        <w:ind w:right="49" w:firstLine="709"/>
        <w:jc w:val="both"/>
        <w:rPr>
          <w:rFonts w:asciiTheme="majorHAnsi" w:eastAsia="MS Mincho" w:hAnsiTheme="majorHAnsi" w:cstheme="majorHAnsi"/>
          <w:sz w:val="24"/>
          <w:szCs w:val="24"/>
          <w:shd w:val="clear" w:color="auto" w:fill="FFFFFF" w:themeFill="background1"/>
          <w:lang w:eastAsia="ja-JP"/>
        </w:rPr>
      </w:pPr>
      <w:r w:rsidRPr="00554C8B">
        <w:rPr>
          <w:rFonts w:asciiTheme="majorHAnsi" w:eastAsia="MS Mincho" w:hAnsiTheme="majorHAnsi" w:cstheme="majorHAnsi"/>
          <w:sz w:val="24"/>
          <w:szCs w:val="24"/>
          <w:shd w:val="clear" w:color="auto" w:fill="FFFFFF" w:themeFill="background1"/>
          <w:lang w:eastAsia="ja-JP"/>
        </w:rPr>
        <w:t xml:space="preserve">Totodată, ponderea transferurilor de la BS în totalul veniturilor bugetelor componente ale BPN a constituit 33,7% la BASS (în creștere cu 0,4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față de perioada precedentă ), 39,6% la FAOAM (în descreștere cu 1,8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față de perioada precedentă) și 67,3% la BUAT (în descreștere cu 3,2 </w:t>
      </w:r>
      <w:proofErr w:type="spellStart"/>
      <w:r w:rsidRPr="00554C8B">
        <w:rPr>
          <w:rFonts w:asciiTheme="majorHAnsi" w:eastAsia="MS Mincho" w:hAnsiTheme="majorHAnsi" w:cstheme="majorHAnsi"/>
          <w:sz w:val="24"/>
          <w:szCs w:val="24"/>
          <w:shd w:val="clear" w:color="auto" w:fill="FFFFFF" w:themeFill="background1"/>
          <w:lang w:eastAsia="ja-JP"/>
        </w:rPr>
        <w:t>p.p.</w:t>
      </w:r>
      <w:proofErr w:type="spellEnd"/>
      <w:r w:rsidRPr="00554C8B">
        <w:rPr>
          <w:rFonts w:asciiTheme="majorHAnsi" w:eastAsia="MS Mincho" w:hAnsiTheme="majorHAnsi" w:cstheme="majorHAnsi"/>
          <w:sz w:val="24"/>
          <w:szCs w:val="24"/>
          <w:shd w:val="clear" w:color="auto" w:fill="FFFFFF" w:themeFill="background1"/>
          <w:lang w:eastAsia="ja-JP"/>
        </w:rPr>
        <w:t xml:space="preserve"> față de anul 2017). </w:t>
      </w:r>
    </w:p>
    <w:p w:rsidR="00554C8B" w:rsidRDefault="00554C8B" w:rsidP="00554C8B">
      <w:pPr>
        <w:shd w:val="clear" w:color="auto" w:fill="FFFFFF" w:themeFill="background1"/>
        <w:spacing w:after="0" w:line="276" w:lineRule="auto"/>
        <w:ind w:right="49" w:firstLine="709"/>
        <w:jc w:val="both"/>
        <w:rPr>
          <w:rFonts w:asciiTheme="majorHAnsi" w:eastAsia="Times New Roman" w:hAnsiTheme="majorHAnsi" w:cstheme="majorHAnsi"/>
          <w:i/>
          <w:sz w:val="24"/>
          <w:szCs w:val="24"/>
        </w:rPr>
      </w:pPr>
      <w:r w:rsidRPr="00554C8B">
        <w:rPr>
          <w:rFonts w:asciiTheme="majorHAnsi" w:eastAsia="Times New Roman" w:hAnsiTheme="majorHAnsi" w:cstheme="majorHAnsi"/>
          <w:sz w:val="24"/>
          <w:szCs w:val="24"/>
        </w:rPr>
        <w:t xml:space="preserve">Deși totalul veniturilor proprii ale BUAT a înregistrat o creștere de </w:t>
      </w:r>
      <w:r w:rsidR="00CE2BC2">
        <w:rPr>
          <w:rFonts w:asciiTheme="majorHAnsi" w:eastAsia="Times New Roman" w:hAnsiTheme="majorHAnsi" w:cstheme="majorHAnsi"/>
          <w:sz w:val="24"/>
          <w:szCs w:val="24"/>
        </w:rPr>
        <w:t>4,3 mil.</w:t>
      </w:r>
      <w:r w:rsidRPr="00554C8B">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00DD6B7C">
        <w:rPr>
          <w:rFonts w:asciiTheme="majorHAnsi" w:eastAsia="Times New Roman" w:hAnsiTheme="majorHAnsi" w:cstheme="majorHAnsi"/>
          <w:sz w:val="24"/>
          <w:szCs w:val="24"/>
        </w:rPr>
        <w:t>,</w:t>
      </w:r>
      <w:r w:rsidRPr="00554C8B">
        <w:rPr>
          <w:rFonts w:asciiTheme="majorHAnsi" w:eastAsia="Times New Roman" w:hAnsiTheme="majorHAnsi" w:cstheme="majorHAnsi"/>
          <w:sz w:val="24"/>
          <w:szCs w:val="24"/>
        </w:rPr>
        <w:t xml:space="preserve"> comparativ cu anul 2017, acesta a rămas la un nivel inferior nivelului transferurilor </w:t>
      </w:r>
      <w:proofErr w:type="spellStart"/>
      <w:r w:rsidRPr="00554C8B">
        <w:rPr>
          <w:rFonts w:asciiTheme="majorHAnsi" w:eastAsia="Times New Roman" w:hAnsiTheme="majorHAnsi" w:cstheme="majorHAnsi"/>
          <w:sz w:val="24"/>
          <w:szCs w:val="24"/>
        </w:rPr>
        <w:t>interbugetare</w:t>
      </w:r>
      <w:proofErr w:type="spellEnd"/>
      <w:r w:rsidRPr="00554C8B">
        <w:rPr>
          <w:rFonts w:asciiTheme="majorHAnsi" w:eastAsia="Times New Roman" w:hAnsiTheme="majorHAnsi" w:cstheme="majorHAnsi"/>
          <w:sz w:val="24"/>
          <w:szCs w:val="24"/>
        </w:rPr>
        <w:t xml:space="preserve">. </w:t>
      </w:r>
      <w:r w:rsidRPr="00554C8B">
        <w:rPr>
          <w:rFonts w:asciiTheme="majorHAnsi" w:eastAsia="Times New Roman" w:hAnsiTheme="majorHAnsi" w:cstheme="majorHAnsi"/>
          <w:i/>
          <w:sz w:val="24"/>
          <w:szCs w:val="24"/>
        </w:rPr>
        <w:t xml:space="preserve">Analiza auditului referitor la coraportul transferurilor de la bugetul de stat față de veniturile proprii ale bugetelor componente ale BPN se prezintă </w:t>
      </w:r>
      <w:r w:rsidR="00F462AD">
        <w:rPr>
          <w:rFonts w:asciiTheme="majorHAnsi" w:eastAsia="Times New Roman" w:hAnsiTheme="majorHAnsi" w:cstheme="majorHAnsi"/>
          <w:i/>
          <w:sz w:val="24"/>
          <w:szCs w:val="24"/>
        </w:rPr>
        <w:t>în Diagrama nr.</w:t>
      </w:r>
      <w:r w:rsidR="008C396F">
        <w:rPr>
          <w:rFonts w:asciiTheme="majorHAnsi" w:eastAsia="Times New Roman" w:hAnsiTheme="majorHAnsi" w:cstheme="majorHAnsi"/>
          <w:i/>
          <w:sz w:val="24"/>
          <w:szCs w:val="24"/>
        </w:rPr>
        <w:t>4</w:t>
      </w:r>
      <w:r w:rsidR="00F462AD">
        <w:rPr>
          <w:rFonts w:asciiTheme="majorHAnsi" w:eastAsia="Times New Roman" w:hAnsiTheme="majorHAnsi" w:cstheme="majorHAnsi"/>
          <w:i/>
          <w:sz w:val="24"/>
          <w:szCs w:val="24"/>
        </w:rPr>
        <w:t xml:space="preserve"> </w:t>
      </w:r>
      <w:r w:rsidRPr="00554C8B">
        <w:rPr>
          <w:rFonts w:asciiTheme="majorHAnsi" w:eastAsia="Times New Roman" w:hAnsiTheme="majorHAnsi" w:cstheme="majorHAnsi"/>
          <w:i/>
          <w:sz w:val="24"/>
          <w:szCs w:val="24"/>
        </w:rPr>
        <w:t xml:space="preserve">. </w:t>
      </w:r>
    </w:p>
    <w:p w:rsidR="009C55AC" w:rsidRPr="00097B2B" w:rsidRDefault="009C55AC" w:rsidP="009C55AC">
      <w:pPr>
        <w:spacing w:after="0" w:line="276" w:lineRule="auto"/>
        <w:ind w:right="49" w:firstLine="630"/>
        <w:jc w:val="right"/>
        <w:rPr>
          <w:rFonts w:asciiTheme="majorHAnsi" w:eastAsia="MS Mincho" w:hAnsiTheme="majorHAnsi" w:cstheme="majorHAnsi"/>
          <w:i/>
          <w:sz w:val="24"/>
          <w:szCs w:val="24"/>
          <w:lang w:eastAsia="ja-JP"/>
        </w:rPr>
      </w:pPr>
      <w:r>
        <w:rPr>
          <w:rFonts w:asciiTheme="majorHAnsi" w:eastAsia="Times New Roman" w:hAnsiTheme="majorHAnsi" w:cstheme="majorHAnsi"/>
          <w:i/>
          <w:sz w:val="24"/>
          <w:szCs w:val="24"/>
        </w:rPr>
        <w:t>Diagrama nr.4</w:t>
      </w:r>
    </w:p>
    <w:p w:rsidR="009C55AC" w:rsidRPr="00097B2B" w:rsidRDefault="009C55AC" w:rsidP="009C55AC">
      <w:pPr>
        <w:spacing w:after="0" w:line="276" w:lineRule="auto"/>
        <w:jc w:val="center"/>
        <w:rPr>
          <w:rFonts w:asciiTheme="majorHAnsi" w:eastAsia="MS Mincho" w:hAnsiTheme="majorHAnsi" w:cstheme="majorHAnsi"/>
          <w:b/>
          <w:sz w:val="24"/>
          <w:szCs w:val="24"/>
          <w:lang w:eastAsia="ja-JP"/>
        </w:rPr>
      </w:pPr>
      <w:r w:rsidRPr="00097B2B">
        <w:rPr>
          <w:rFonts w:asciiTheme="majorHAnsi" w:eastAsia="MS Mincho" w:hAnsiTheme="majorHAnsi" w:cstheme="majorHAnsi"/>
          <w:b/>
          <w:sz w:val="24"/>
          <w:szCs w:val="24"/>
          <w:lang w:eastAsia="ja-JP"/>
        </w:rPr>
        <w:t>Sinteza executării transferurilor de la bugetul de stat* în comparație cu veniturile proprii ale bugetelor componente ale BPN în perioada 2016-2018</w:t>
      </w:r>
    </w:p>
    <w:p w:rsidR="009C55AC" w:rsidRPr="00097B2B" w:rsidRDefault="009C55AC" w:rsidP="009C55AC">
      <w:pPr>
        <w:spacing w:after="0" w:line="276" w:lineRule="auto"/>
        <w:ind w:right="49"/>
        <w:jc w:val="right"/>
        <w:rPr>
          <w:rFonts w:asciiTheme="majorHAnsi" w:eastAsia="Times New Roman" w:hAnsiTheme="majorHAnsi" w:cstheme="majorHAnsi"/>
          <w:strike/>
          <w:sz w:val="24"/>
          <w:szCs w:val="24"/>
          <w:highlight w:val="yellow"/>
        </w:rPr>
      </w:pPr>
      <w:r>
        <w:rPr>
          <w:rFonts w:asciiTheme="majorHAnsi" w:eastAsia="MS Mincho" w:hAnsiTheme="majorHAnsi" w:cstheme="majorHAnsi"/>
          <w:i/>
          <w:sz w:val="24"/>
          <w:szCs w:val="24"/>
          <w:lang w:eastAsia="ja-JP"/>
        </w:rPr>
        <w:t>(mil</w:t>
      </w:r>
      <w:r w:rsidRPr="00097B2B">
        <w:rPr>
          <w:rFonts w:asciiTheme="majorHAnsi" w:eastAsia="MS Mincho" w:hAnsiTheme="majorHAnsi" w:cstheme="majorHAnsi"/>
          <w:i/>
          <w:sz w:val="24"/>
          <w:szCs w:val="24"/>
          <w:lang w:eastAsia="ja-JP"/>
        </w:rPr>
        <w:t>.</w:t>
      </w:r>
      <w:r w:rsidR="00DD6B7C">
        <w:rPr>
          <w:rFonts w:asciiTheme="majorHAnsi" w:eastAsia="MS Mincho" w:hAnsiTheme="majorHAnsi" w:cstheme="majorHAnsi"/>
          <w:i/>
          <w:sz w:val="24"/>
          <w:szCs w:val="24"/>
          <w:lang w:eastAsia="ja-JP"/>
        </w:rPr>
        <w:t xml:space="preserve"> </w:t>
      </w:r>
      <w:r w:rsidR="007160B9">
        <w:rPr>
          <w:rFonts w:asciiTheme="majorHAnsi" w:eastAsia="MS Mincho" w:hAnsiTheme="majorHAnsi" w:cstheme="majorHAnsi"/>
          <w:i/>
          <w:sz w:val="24"/>
          <w:szCs w:val="24"/>
          <w:lang w:eastAsia="ja-JP"/>
        </w:rPr>
        <w:t>MDL</w:t>
      </w:r>
      <w:r w:rsidRPr="00097B2B">
        <w:rPr>
          <w:rFonts w:asciiTheme="majorHAnsi" w:eastAsia="MS Mincho" w:hAnsiTheme="majorHAnsi" w:cstheme="majorHAnsi"/>
          <w:i/>
          <w:sz w:val="24"/>
          <w:szCs w:val="24"/>
          <w:lang w:eastAsia="ja-JP"/>
        </w:rPr>
        <w:t>)</w:t>
      </w:r>
    </w:p>
    <w:p w:rsidR="009C55AC" w:rsidRPr="00097B2B" w:rsidRDefault="009C55AC" w:rsidP="009C55AC">
      <w:pPr>
        <w:spacing w:after="0" w:line="276" w:lineRule="auto"/>
        <w:ind w:right="-601"/>
        <w:jc w:val="both"/>
        <w:rPr>
          <w:rFonts w:asciiTheme="majorHAnsi" w:eastAsia="MS Mincho" w:hAnsiTheme="majorHAnsi" w:cstheme="majorHAnsi"/>
          <w:b/>
          <w:sz w:val="24"/>
          <w:szCs w:val="24"/>
          <w:lang w:eastAsia="ja-JP"/>
        </w:rPr>
      </w:pPr>
      <w:r w:rsidRPr="00097B2B">
        <w:rPr>
          <w:rFonts w:asciiTheme="majorHAnsi" w:eastAsia="Times New Roman" w:hAnsiTheme="majorHAnsi" w:cstheme="majorHAnsi"/>
          <w:b/>
          <w:strike/>
          <w:noProof/>
          <w:sz w:val="24"/>
          <w:szCs w:val="24"/>
          <w:lang w:val="en-US"/>
        </w:rPr>
        <w:drawing>
          <wp:inline distT="0" distB="0" distL="0" distR="0" wp14:anchorId="0EABD6D8" wp14:editId="715DCF91">
            <wp:extent cx="2080260" cy="1751330"/>
            <wp:effectExtent l="0" t="0" r="1524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97B2B">
        <w:rPr>
          <w:rFonts w:asciiTheme="majorHAnsi" w:eastAsia="Times New Roman" w:hAnsiTheme="majorHAnsi" w:cstheme="majorHAnsi"/>
          <w:b/>
          <w:strike/>
          <w:noProof/>
          <w:sz w:val="24"/>
          <w:szCs w:val="24"/>
          <w:lang w:val="en-US"/>
        </w:rPr>
        <w:drawing>
          <wp:inline distT="0" distB="0" distL="0" distR="0" wp14:anchorId="36F0E93C" wp14:editId="53306A81">
            <wp:extent cx="1969770" cy="1751716"/>
            <wp:effectExtent l="0" t="0" r="1143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097B2B">
        <w:rPr>
          <w:rFonts w:asciiTheme="majorHAnsi" w:eastAsia="Times New Roman" w:hAnsiTheme="majorHAnsi" w:cstheme="majorHAnsi"/>
          <w:b/>
          <w:strike/>
          <w:noProof/>
          <w:sz w:val="24"/>
          <w:szCs w:val="24"/>
          <w:lang w:val="en-US"/>
        </w:rPr>
        <w:drawing>
          <wp:inline distT="0" distB="0" distL="0" distR="0" wp14:anchorId="0372AA30" wp14:editId="60F7A650">
            <wp:extent cx="2034540" cy="1751330"/>
            <wp:effectExtent l="0" t="0" r="3810"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55AC" w:rsidRPr="009C55AC" w:rsidRDefault="009C55AC" w:rsidP="009C55AC">
      <w:pPr>
        <w:spacing w:after="0" w:line="276" w:lineRule="auto"/>
        <w:jc w:val="both"/>
        <w:rPr>
          <w:rFonts w:asciiTheme="majorHAnsi" w:eastAsia="MS Mincho" w:hAnsiTheme="majorHAnsi" w:cstheme="majorHAnsi"/>
          <w:i/>
          <w:sz w:val="20"/>
          <w:szCs w:val="20"/>
          <w:lang w:eastAsia="ja-JP"/>
        </w:rPr>
      </w:pPr>
      <w:r w:rsidRPr="009C55AC">
        <w:rPr>
          <w:rFonts w:asciiTheme="majorHAnsi" w:eastAsia="MS Mincho" w:hAnsiTheme="majorHAnsi" w:cstheme="majorHAnsi"/>
          <w:b/>
          <w:i/>
          <w:sz w:val="20"/>
          <w:szCs w:val="20"/>
          <w:lang w:eastAsia="ja-JP"/>
        </w:rPr>
        <w:t xml:space="preserve">*Notă: </w:t>
      </w:r>
      <w:r w:rsidRPr="009C55AC">
        <w:rPr>
          <w:rFonts w:asciiTheme="majorHAnsi" w:eastAsia="MS Mincho" w:hAnsiTheme="majorHAnsi" w:cstheme="majorHAnsi"/>
          <w:i/>
          <w:sz w:val="20"/>
          <w:szCs w:val="20"/>
          <w:lang w:eastAsia="ja-JP"/>
        </w:rPr>
        <w:t>Transferurile în conformitate cu art.3 lit. a) din Legea bugetului de stat pentru anul 2018.</w:t>
      </w:r>
    </w:p>
    <w:p w:rsidR="009C55AC" w:rsidRPr="009C55AC" w:rsidRDefault="009C55AC" w:rsidP="009C55AC">
      <w:pPr>
        <w:spacing w:after="120" w:line="276" w:lineRule="auto"/>
        <w:jc w:val="both"/>
        <w:rPr>
          <w:rFonts w:asciiTheme="majorHAnsi" w:eastAsia="MS Mincho" w:hAnsiTheme="majorHAnsi" w:cstheme="majorHAnsi"/>
          <w:i/>
          <w:sz w:val="20"/>
          <w:szCs w:val="20"/>
          <w:lang w:eastAsia="ja-JP"/>
        </w:rPr>
      </w:pPr>
      <w:r w:rsidRPr="009C55AC">
        <w:rPr>
          <w:rFonts w:asciiTheme="majorHAnsi" w:eastAsia="MS Mincho" w:hAnsiTheme="majorHAnsi" w:cstheme="majorHAnsi"/>
          <w:b/>
          <w:i/>
          <w:sz w:val="20"/>
          <w:szCs w:val="20"/>
          <w:lang w:eastAsia="ja-JP"/>
        </w:rPr>
        <w:t>Sursă:</w:t>
      </w:r>
      <w:r w:rsidRPr="009C55AC">
        <w:rPr>
          <w:rFonts w:asciiTheme="majorHAnsi" w:eastAsia="MS Mincho" w:hAnsiTheme="majorHAnsi" w:cstheme="majorHAnsi"/>
          <w:b/>
          <w:sz w:val="20"/>
          <w:szCs w:val="20"/>
          <w:lang w:eastAsia="ja-JP"/>
        </w:rPr>
        <w:t xml:space="preserve"> </w:t>
      </w:r>
      <w:r w:rsidRPr="009C55AC">
        <w:rPr>
          <w:rFonts w:asciiTheme="majorHAnsi" w:eastAsia="MS Mincho" w:hAnsiTheme="majorHAnsi" w:cstheme="majorHAnsi"/>
          <w:i/>
          <w:sz w:val="20"/>
          <w:szCs w:val="20"/>
          <w:lang w:eastAsia="ja-JP"/>
        </w:rPr>
        <w:t>Informații generalizate de echipa de audit în baza datelor prezentate de Ministerul Finanțelor.</w:t>
      </w:r>
    </w:p>
    <w:p w:rsidR="00B95415" w:rsidRPr="00097B2B" w:rsidRDefault="00B95415" w:rsidP="00B95415">
      <w:pPr>
        <w:spacing w:after="0" w:line="276" w:lineRule="auto"/>
        <w:ind w:firstLine="709"/>
        <w:jc w:val="both"/>
        <w:rPr>
          <w:rFonts w:asciiTheme="majorHAnsi" w:eastAsia="MS Mincho" w:hAnsiTheme="majorHAnsi" w:cstheme="majorHAnsi"/>
          <w:sz w:val="24"/>
          <w:szCs w:val="24"/>
          <w:lang w:eastAsia="ja-JP"/>
        </w:rPr>
      </w:pPr>
      <w:r w:rsidRPr="00097B2B">
        <w:rPr>
          <w:rFonts w:asciiTheme="majorHAnsi" w:eastAsia="MS Mincho" w:hAnsiTheme="majorHAnsi" w:cstheme="majorHAnsi"/>
          <w:sz w:val="24"/>
          <w:szCs w:val="24"/>
          <w:lang w:eastAsia="ja-JP"/>
        </w:rPr>
        <w:t>Verificările transferurilor executate din BS către BUAT atestă că</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executarea de casă în anul 2018</w:t>
      </w:r>
      <w:r w:rsidR="00793C62">
        <w:rPr>
          <w:rFonts w:asciiTheme="majorHAnsi" w:eastAsia="MS Mincho" w:hAnsiTheme="majorHAnsi" w:cstheme="majorHAnsi"/>
          <w:sz w:val="24"/>
          <w:szCs w:val="24"/>
          <w:lang w:eastAsia="ja-JP"/>
        </w:rPr>
        <w:t xml:space="preserve"> </w:t>
      </w:r>
      <w:r w:rsidR="000A1A12">
        <w:rPr>
          <w:rFonts w:asciiTheme="majorHAnsi" w:eastAsia="MS Mincho" w:hAnsiTheme="majorHAnsi" w:cstheme="majorHAnsi"/>
          <w:sz w:val="24"/>
          <w:szCs w:val="24"/>
          <w:lang w:eastAsia="ja-JP"/>
        </w:rPr>
        <w:t xml:space="preserve">a </w:t>
      </w:r>
      <w:r w:rsidRPr="00097B2B">
        <w:rPr>
          <w:rFonts w:asciiTheme="majorHAnsi" w:eastAsia="MS Mincho" w:hAnsiTheme="majorHAnsi" w:cstheme="majorHAnsi"/>
          <w:sz w:val="24"/>
          <w:szCs w:val="24"/>
          <w:lang w:eastAsia="ja-JP"/>
        </w:rPr>
        <w:t>constitui</w:t>
      </w:r>
      <w:r w:rsidR="000A1A12">
        <w:rPr>
          <w:rFonts w:asciiTheme="majorHAnsi" w:eastAsia="MS Mincho" w:hAnsiTheme="majorHAnsi" w:cstheme="majorHAnsi"/>
          <w:sz w:val="24"/>
          <w:szCs w:val="24"/>
          <w:lang w:eastAsia="ja-JP"/>
        </w:rPr>
        <w:t>t</w:t>
      </w:r>
      <w:r w:rsidRPr="00097B2B">
        <w:rPr>
          <w:rFonts w:asciiTheme="majorHAnsi" w:eastAsia="MS Mincho" w:hAnsiTheme="majorHAnsi" w:cstheme="majorHAnsi"/>
          <w:sz w:val="24"/>
          <w:szCs w:val="24"/>
          <w:lang w:eastAsia="ja-JP"/>
        </w:rPr>
        <w:t xml:space="preserve"> </w:t>
      </w:r>
      <w:r w:rsidRPr="00097B2B">
        <w:rPr>
          <w:rFonts w:asciiTheme="majorHAnsi" w:hAnsiTheme="majorHAnsi" w:cstheme="majorHAnsi"/>
          <w:sz w:val="24"/>
          <w:szCs w:val="24"/>
          <w:shd w:val="clear" w:color="auto" w:fill="FFFFFF" w:themeFill="background1"/>
        </w:rPr>
        <w:t>9</w:t>
      </w:r>
      <w:r w:rsidR="00194385">
        <w:rPr>
          <w:rFonts w:asciiTheme="majorHAnsi" w:hAnsiTheme="majorHAnsi" w:cstheme="majorHAnsi"/>
          <w:sz w:val="24"/>
          <w:szCs w:val="24"/>
          <w:shd w:val="clear" w:color="auto" w:fill="FFFFFF" w:themeFill="background1"/>
        </w:rPr>
        <w:t xml:space="preserve"> </w:t>
      </w:r>
      <w:r w:rsidRPr="00097B2B">
        <w:rPr>
          <w:rFonts w:asciiTheme="majorHAnsi" w:hAnsiTheme="majorHAnsi" w:cstheme="majorHAnsi"/>
          <w:sz w:val="24"/>
          <w:szCs w:val="24"/>
          <w:shd w:val="clear" w:color="auto" w:fill="FFFFFF" w:themeFill="background1"/>
        </w:rPr>
        <w:t>935,8</w:t>
      </w:r>
      <w:r w:rsidR="00793C62">
        <w:rPr>
          <w:rFonts w:asciiTheme="majorHAnsi" w:hAnsiTheme="majorHAnsi" w:cstheme="majorHAnsi"/>
          <w:sz w:val="24"/>
          <w:szCs w:val="24"/>
          <w:shd w:val="clear" w:color="auto" w:fill="FFFFFF" w:themeFill="background1"/>
        </w:rPr>
        <w:t xml:space="preserve"> </w:t>
      </w:r>
      <w:r w:rsidRPr="00097B2B">
        <w:rPr>
          <w:rFonts w:asciiTheme="majorHAnsi" w:eastAsia="MS Mincho" w:hAnsiTheme="majorHAnsi" w:cstheme="majorHAnsi"/>
          <w:sz w:val="24"/>
          <w:szCs w:val="24"/>
          <w:lang w:eastAsia="ja-JP"/>
        </w:rPr>
        <w:t>mil.</w:t>
      </w:r>
      <w:r w:rsidR="00DD6B7C">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sau cu 79,5 mil.</w:t>
      </w:r>
      <w:r w:rsidR="00DD6B7C">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 xml:space="preserve">mai puțin decât nivelul precizat. Totodată, </w:t>
      </w:r>
      <w:r w:rsidRPr="00097B2B">
        <w:rPr>
          <w:rFonts w:asciiTheme="majorHAnsi" w:eastAsia="MS Mincho" w:hAnsiTheme="majorHAnsi" w:cstheme="majorHAnsi"/>
          <w:sz w:val="24"/>
          <w:szCs w:val="24"/>
          <w:lang w:eastAsia="ja-JP"/>
        </w:rPr>
        <w:lastRenderedPageBreak/>
        <w:t>în comparație cu anul 2017</w:t>
      </w:r>
      <w:r w:rsidR="00DD6B7C">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volumul transferurilor de la BS s-a majorat cu 807,6 mil.</w:t>
      </w:r>
      <w:r w:rsidR="00DD6B7C">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xml:space="preserve">, majorarea fiind determinată, preponderent, de creșterea </w:t>
      </w:r>
      <w:r w:rsidR="00DD6B7C" w:rsidRPr="00097B2B">
        <w:rPr>
          <w:rFonts w:asciiTheme="majorHAnsi" w:eastAsia="MS Mincho" w:hAnsiTheme="majorHAnsi" w:cstheme="majorHAnsi"/>
          <w:sz w:val="24"/>
          <w:szCs w:val="24"/>
          <w:lang w:eastAsia="ja-JP"/>
        </w:rPr>
        <w:t xml:space="preserve">cu 210,2 mil. </w:t>
      </w:r>
      <w:r w:rsidR="00DD6B7C">
        <w:rPr>
          <w:rFonts w:asciiTheme="majorHAnsi" w:eastAsia="MS Mincho" w:hAnsiTheme="majorHAnsi" w:cstheme="majorHAnsi"/>
          <w:sz w:val="24"/>
          <w:szCs w:val="24"/>
          <w:lang w:eastAsia="ja-JP"/>
        </w:rPr>
        <w:t>MDL</w:t>
      </w:r>
      <w:r w:rsidR="00DD6B7C" w:rsidRPr="00097B2B">
        <w:rPr>
          <w:rFonts w:asciiTheme="majorHAnsi" w:eastAsia="MS Mincho" w:hAnsiTheme="majorHAnsi" w:cstheme="majorHAnsi"/>
          <w:sz w:val="24"/>
          <w:szCs w:val="24"/>
          <w:lang w:eastAsia="ja-JP"/>
        </w:rPr>
        <w:t xml:space="preserve"> </w:t>
      </w:r>
      <w:r w:rsidR="00DD6B7C">
        <w:rPr>
          <w:rFonts w:asciiTheme="majorHAnsi" w:eastAsia="MS Mincho" w:hAnsiTheme="majorHAnsi" w:cstheme="majorHAnsi"/>
          <w:sz w:val="24"/>
          <w:szCs w:val="24"/>
          <w:lang w:eastAsia="ja-JP"/>
        </w:rPr>
        <w:t xml:space="preserve">a </w:t>
      </w:r>
      <w:r w:rsidRPr="00097B2B">
        <w:rPr>
          <w:rFonts w:asciiTheme="majorHAnsi" w:eastAsia="MS Mincho" w:hAnsiTheme="majorHAnsi" w:cstheme="majorHAnsi"/>
          <w:sz w:val="24"/>
          <w:szCs w:val="24"/>
          <w:lang w:eastAsia="ja-JP"/>
        </w:rPr>
        <w:t xml:space="preserve">volumului transferurilor cu destinație generală și </w:t>
      </w:r>
      <w:r w:rsidR="00DD6B7C" w:rsidRPr="00097B2B">
        <w:rPr>
          <w:rFonts w:asciiTheme="majorHAnsi" w:eastAsia="MS Mincho" w:hAnsiTheme="majorHAnsi" w:cstheme="majorHAnsi"/>
          <w:sz w:val="24"/>
          <w:szCs w:val="24"/>
          <w:lang w:eastAsia="ja-JP"/>
        </w:rPr>
        <w:t>cu 582,1 mil.</w:t>
      </w:r>
      <w:r w:rsidR="00DD6B7C">
        <w:rPr>
          <w:rFonts w:asciiTheme="majorHAnsi" w:eastAsia="MS Mincho" w:hAnsiTheme="majorHAnsi" w:cstheme="majorHAnsi"/>
          <w:sz w:val="24"/>
          <w:szCs w:val="24"/>
          <w:lang w:eastAsia="ja-JP"/>
        </w:rPr>
        <w:t xml:space="preserve"> MDL</w:t>
      </w:r>
      <w:r w:rsidR="00DD6B7C" w:rsidRPr="00097B2B">
        <w:rPr>
          <w:rFonts w:asciiTheme="majorHAnsi" w:eastAsia="MS Mincho" w:hAnsiTheme="majorHAnsi" w:cstheme="majorHAnsi"/>
          <w:sz w:val="24"/>
          <w:szCs w:val="24"/>
          <w:lang w:eastAsia="ja-JP"/>
        </w:rPr>
        <w:t xml:space="preserve"> </w:t>
      </w:r>
      <w:r w:rsidR="000A1A1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 xml:space="preserve">a transferurilor cu destinație specială pentru învățământul preșcolar, primar, secundar general, special și complementar (extrașcolar), din care 557,1 mil.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xml:space="preserve"> constituind majorările salariale ale cadrelor didactice.</w:t>
      </w:r>
    </w:p>
    <w:p w:rsidR="00B95415" w:rsidRPr="00097B2B" w:rsidRDefault="00B95415" w:rsidP="00B95415">
      <w:pPr>
        <w:shd w:val="clear" w:color="auto" w:fill="FFFFFF" w:themeFill="background1"/>
        <w:spacing w:after="0" w:line="276" w:lineRule="auto"/>
        <w:ind w:firstLine="709"/>
        <w:jc w:val="both"/>
        <w:rPr>
          <w:rFonts w:asciiTheme="majorHAnsi" w:eastAsia="MS Mincho" w:hAnsiTheme="majorHAnsi" w:cstheme="majorHAnsi"/>
          <w:sz w:val="24"/>
          <w:szCs w:val="24"/>
          <w:lang w:eastAsia="ja-JP"/>
        </w:rPr>
      </w:pPr>
      <w:r w:rsidRPr="00097B2B">
        <w:rPr>
          <w:rFonts w:asciiTheme="majorHAnsi" w:eastAsia="MS Mincho" w:hAnsiTheme="majorHAnsi" w:cstheme="majorHAnsi"/>
          <w:sz w:val="24"/>
          <w:szCs w:val="24"/>
          <w:lang w:eastAsia="ja-JP"/>
        </w:rPr>
        <w:t>Conform prevederilor legale</w:t>
      </w:r>
      <w:r w:rsidRPr="00097B2B">
        <w:rPr>
          <w:rStyle w:val="FootnoteReference"/>
          <w:rFonts w:asciiTheme="majorHAnsi" w:eastAsia="MS Mincho" w:hAnsiTheme="majorHAnsi" w:cstheme="majorHAnsi"/>
          <w:sz w:val="24"/>
          <w:szCs w:val="24"/>
          <w:lang w:eastAsia="ja-JP"/>
        </w:rPr>
        <w:footnoteReference w:id="33"/>
      </w:r>
      <w:r w:rsidRPr="00097B2B">
        <w:rPr>
          <w:rFonts w:asciiTheme="majorHAnsi" w:eastAsia="MS Mincho" w:hAnsiTheme="majorHAnsi" w:cstheme="majorHAnsi"/>
          <w:sz w:val="24"/>
          <w:szCs w:val="24"/>
          <w:lang w:eastAsia="ja-JP"/>
        </w:rPr>
        <w:t xml:space="preserve">, BUAT beneficiază de transferuri cu destinație generală și de transferuri cu destinație specială. </w:t>
      </w:r>
    </w:p>
    <w:p w:rsidR="009C55AC" w:rsidRPr="002B3276" w:rsidRDefault="00B95415" w:rsidP="002B3276">
      <w:pPr>
        <w:shd w:val="clear" w:color="auto" w:fill="FFFFFF" w:themeFill="background1"/>
        <w:spacing w:after="0" w:line="276" w:lineRule="auto"/>
        <w:ind w:firstLine="709"/>
        <w:jc w:val="both"/>
        <w:rPr>
          <w:rFonts w:asciiTheme="majorHAnsi" w:eastAsia="MS Mincho" w:hAnsiTheme="majorHAnsi" w:cstheme="majorHAnsi"/>
          <w:sz w:val="24"/>
          <w:szCs w:val="24"/>
          <w:lang w:eastAsia="ja-JP"/>
        </w:rPr>
      </w:pPr>
      <w:r w:rsidRPr="00097B2B">
        <w:rPr>
          <w:rFonts w:asciiTheme="majorHAnsi" w:eastAsia="MS Mincho" w:hAnsiTheme="majorHAnsi" w:cstheme="majorHAnsi"/>
          <w:sz w:val="24"/>
          <w:szCs w:val="24"/>
          <w:lang w:eastAsia="ja-JP"/>
        </w:rPr>
        <w:t>În așa mod, transferurile cu destinație generală</w:t>
      </w:r>
      <w:r w:rsidR="00D56A28">
        <w:rPr>
          <w:rFonts w:asciiTheme="majorHAnsi" w:eastAsia="MS Mincho" w:hAnsiTheme="majorHAnsi" w:cstheme="majorHAnsi"/>
          <w:sz w:val="24"/>
          <w:szCs w:val="24"/>
          <w:lang w:eastAsia="ja-JP"/>
        </w:rPr>
        <w:t>,</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executate</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în anul 2018</w:t>
      </w:r>
      <w:r w:rsidR="00D56A28">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au constituit </w:t>
      </w:r>
      <w:r w:rsidRPr="00097B2B">
        <w:rPr>
          <w:rFonts w:asciiTheme="majorHAnsi" w:eastAsia="MS Mincho" w:hAnsiTheme="majorHAnsi" w:cstheme="majorHAnsi"/>
          <w:sz w:val="24"/>
          <w:szCs w:val="24"/>
        </w:rPr>
        <w:t>1</w:t>
      </w:r>
      <w:r w:rsidR="00D56A28">
        <w:rPr>
          <w:rFonts w:asciiTheme="majorHAnsi" w:eastAsia="MS Mincho" w:hAnsiTheme="majorHAnsi" w:cstheme="majorHAnsi"/>
          <w:sz w:val="24"/>
          <w:szCs w:val="24"/>
        </w:rPr>
        <w:t xml:space="preserve"> </w:t>
      </w:r>
      <w:r w:rsidRPr="00097B2B">
        <w:rPr>
          <w:rFonts w:asciiTheme="majorHAnsi" w:eastAsia="MS Mincho" w:hAnsiTheme="majorHAnsi" w:cstheme="majorHAnsi"/>
          <w:sz w:val="24"/>
          <w:szCs w:val="24"/>
        </w:rPr>
        <w:t xml:space="preserve">421,3 </w:t>
      </w:r>
      <w:r w:rsidRPr="00097B2B">
        <w:rPr>
          <w:rFonts w:asciiTheme="majorHAnsi" w:eastAsia="MS Mincho" w:hAnsiTheme="majorHAnsi" w:cstheme="majorHAnsi"/>
          <w:sz w:val="24"/>
          <w:szCs w:val="24"/>
          <w:lang w:eastAsia="ja-JP"/>
        </w:rPr>
        <w:t>mil.</w:t>
      </w:r>
      <w:r w:rsidR="00D56A28">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xml:space="preserve">, cu nivelul de executare de 100%, </w:t>
      </w:r>
      <w:r w:rsidR="00D56A28">
        <w:rPr>
          <w:rFonts w:asciiTheme="majorHAnsi" w:eastAsia="MS Mincho" w:hAnsiTheme="majorHAnsi" w:cstheme="majorHAnsi"/>
          <w:sz w:val="24"/>
          <w:szCs w:val="24"/>
          <w:lang w:eastAsia="ja-JP"/>
        </w:rPr>
        <w:t xml:space="preserve">iar </w:t>
      </w:r>
      <w:r w:rsidRPr="00097B2B">
        <w:rPr>
          <w:rFonts w:asciiTheme="majorHAnsi" w:eastAsia="MS Mincho" w:hAnsiTheme="majorHAnsi" w:cstheme="majorHAnsi"/>
          <w:sz w:val="24"/>
          <w:szCs w:val="24"/>
          <w:lang w:eastAsia="ja-JP"/>
        </w:rPr>
        <w:t xml:space="preserve">transferurile cu destinație specială – </w:t>
      </w:r>
      <w:r w:rsidRPr="00097B2B">
        <w:rPr>
          <w:rFonts w:asciiTheme="majorHAnsi" w:eastAsia="MS Mincho" w:hAnsiTheme="majorHAnsi" w:cstheme="majorHAnsi"/>
          <w:sz w:val="24"/>
          <w:szCs w:val="24"/>
        </w:rPr>
        <w:t>8</w:t>
      </w:r>
      <w:r w:rsidR="00837746">
        <w:rPr>
          <w:rFonts w:asciiTheme="majorHAnsi" w:eastAsia="MS Mincho" w:hAnsiTheme="majorHAnsi" w:cstheme="majorHAnsi"/>
          <w:sz w:val="24"/>
          <w:szCs w:val="24"/>
        </w:rPr>
        <w:t xml:space="preserve"> </w:t>
      </w:r>
      <w:r w:rsidRPr="00097B2B">
        <w:rPr>
          <w:rFonts w:asciiTheme="majorHAnsi" w:eastAsia="MS Mincho" w:hAnsiTheme="majorHAnsi" w:cstheme="majorHAnsi"/>
          <w:sz w:val="24"/>
          <w:szCs w:val="24"/>
        </w:rPr>
        <w:t xml:space="preserve">496,4 </w:t>
      </w:r>
      <w:r w:rsidRPr="00097B2B">
        <w:rPr>
          <w:rFonts w:asciiTheme="majorHAnsi" w:eastAsia="MS Mincho" w:hAnsiTheme="majorHAnsi" w:cstheme="majorHAnsi"/>
          <w:sz w:val="24"/>
          <w:szCs w:val="24"/>
          <w:lang w:eastAsia="ja-JP"/>
        </w:rPr>
        <w:t>m</w:t>
      </w:r>
      <w:r w:rsidR="00AD29DA">
        <w:rPr>
          <w:rFonts w:asciiTheme="majorHAnsi" w:eastAsia="MS Mincho" w:hAnsiTheme="majorHAnsi" w:cstheme="majorHAnsi"/>
          <w:sz w:val="24"/>
          <w:szCs w:val="24"/>
          <w:lang w:eastAsia="ja-JP"/>
        </w:rPr>
        <w:t>il.</w:t>
      </w:r>
      <w:r w:rsidR="00837746">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D56A28">
        <w:rPr>
          <w:rFonts w:asciiTheme="majorHAnsi" w:eastAsia="MS Mincho" w:hAnsiTheme="majorHAnsi" w:cstheme="majorHAnsi"/>
          <w:sz w:val="24"/>
          <w:szCs w:val="24"/>
          <w:lang w:eastAsia="ja-JP"/>
        </w:rPr>
        <w:t>,</w:t>
      </w:r>
      <w:r w:rsidR="00AD29DA">
        <w:rPr>
          <w:rFonts w:asciiTheme="majorHAnsi" w:eastAsia="MS Mincho" w:hAnsiTheme="majorHAnsi" w:cstheme="majorHAnsi"/>
          <w:sz w:val="24"/>
          <w:szCs w:val="24"/>
          <w:lang w:eastAsia="ja-JP"/>
        </w:rPr>
        <w:t xml:space="preserve"> sau 99,1%. Pe </w:t>
      </w:r>
      <w:r w:rsidR="00837746">
        <w:rPr>
          <w:rFonts w:asciiTheme="majorHAnsi" w:eastAsia="MS Mincho" w:hAnsiTheme="majorHAnsi" w:cstheme="majorHAnsi"/>
          <w:sz w:val="24"/>
          <w:szCs w:val="24"/>
          <w:lang w:eastAsia="ja-JP"/>
        </w:rPr>
        <w:t>lâ</w:t>
      </w:r>
      <w:r w:rsidR="00837746" w:rsidRPr="00097B2B">
        <w:rPr>
          <w:rFonts w:asciiTheme="majorHAnsi" w:eastAsia="MS Mincho" w:hAnsiTheme="majorHAnsi" w:cstheme="majorHAnsi"/>
          <w:sz w:val="24"/>
          <w:szCs w:val="24"/>
          <w:lang w:eastAsia="ja-JP"/>
        </w:rPr>
        <w:t>ngă</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transferurile menționate</w:t>
      </w:r>
      <w:r w:rsidR="00D56A28">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de la BS a</w:t>
      </w:r>
      <w:r w:rsidR="00D56A28">
        <w:rPr>
          <w:rFonts w:asciiTheme="majorHAnsi" w:eastAsia="MS Mincho" w:hAnsiTheme="majorHAnsi" w:cstheme="majorHAnsi"/>
          <w:sz w:val="24"/>
          <w:szCs w:val="24"/>
          <w:lang w:eastAsia="ja-JP"/>
        </w:rPr>
        <w:t>u</w:t>
      </w:r>
      <w:r w:rsidRPr="00097B2B">
        <w:rPr>
          <w:rFonts w:asciiTheme="majorHAnsi" w:eastAsia="MS Mincho" w:hAnsiTheme="majorHAnsi" w:cstheme="majorHAnsi"/>
          <w:sz w:val="24"/>
          <w:szCs w:val="24"/>
          <w:lang w:eastAsia="ja-JP"/>
        </w:rPr>
        <w:t xml:space="preserve"> mai</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fost efectuate transferuri în sumă de 18 mil.</w:t>
      </w:r>
      <w:r w:rsidR="00D56A28">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xml:space="preserve">, inclusiv din fondul de compensare – </w:t>
      </w:r>
      <w:r w:rsidRPr="00097B2B">
        <w:rPr>
          <w:rFonts w:asciiTheme="majorHAnsi" w:eastAsia="MS Mincho" w:hAnsiTheme="majorHAnsi" w:cstheme="majorHAnsi"/>
          <w:sz w:val="24"/>
          <w:szCs w:val="24"/>
        </w:rPr>
        <w:t xml:space="preserve">8,6 </w:t>
      </w:r>
      <w:r w:rsidRPr="00097B2B">
        <w:rPr>
          <w:rFonts w:asciiTheme="majorHAnsi" w:eastAsia="MS Mincho" w:hAnsiTheme="majorHAnsi" w:cstheme="majorHAnsi"/>
          <w:sz w:val="24"/>
          <w:szCs w:val="24"/>
          <w:lang w:eastAsia="ja-JP"/>
        </w:rPr>
        <w:t>mil.</w:t>
      </w:r>
      <w:r>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D56A28">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w:t>
      </w:r>
      <w:r w:rsidR="00D56A28">
        <w:rPr>
          <w:rFonts w:asciiTheme="majorHAnsi" w:eastAsia="MS Mincho" w:hAnsiTheme="majorHAnsi" w:cstheme="majorHAnsi"/>
          <w:sz w:val="24"/>
          <w:szCs w:val="24"/>
          <w:lang w:eastAsia="ja-JP"/>
        </w:rPr>
        <w:t xml:space="preserve">precum </w:t>
      </w:r>
      <w:r w:rsidRPr="00097B2B">
        <w:rPr>
          <w:rFonts w:asciiTheme="majorHAnsi" w:eastAsia="MS Mincho" w:hAnsiTheme="majorHAnsi" w:cstheme="majorHAnsi"/>
          <w:sz w:val="24"/>
          <w:szCs w:val="24"/>
          <w:lang w:eastAsia="ja-JP"/>
        </w:rPr>
        <w:t xml:space="preserve">și alte transferuri curente cu destinație generală în sumă de </w:t>
      </w:r>
      <w:r w:rsidRPr="00097B2B">
        <w:rPr>
          <w:rFonts w:asciiTheme="majorHAnsi" w:eastAsia="MS Mincho" w:hAnsiTheme="majorHAnsi" w:cstheme="majorHAnsi"/>
          <w:sz w:val="24"/>
          <w:szCs w:val="24"/>
        </w:rPr>
        <w:t xml:space="preserve">9,4 </w:t>
      </w:r>
      <w:r w:rsidR="002B3276">
        <w:rPr>
          <w:rFonts w:asciiTheme="majorHAnsi" w:eastAsia="MS Mincho" w:hAnsiTheme="majorHAnsi" w:cstheme="majorHAnsi"/>
          <w:sz w:val="24"/>
          <w:szCs w:val="24"/>
          <w:lang w:eastAsia="ja-JP"/>
        </w:rPr>
        <w:t>mil.</w:t>
      </w:r>
      <w:r w:rsidR="00837746">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2B3276">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i/>
          <w:sz w:val="24"/>
          <w:szCs w:val="24"/>
          <w:lang w:eastAsia="ja-JP"/>
        </w:rPr>
        <w:t>Analiza auditului referitor la executarea transferurilor de la BS către BUAT în anul 2018 se prezintă în</w:t>
      </w:r>
      <w:r w:rsidRPr="00097B2B">
        <w:rPr>
          <w:rFonts w:asciiTheme="majorHAnsi" w:eastAsia="MS Mincho" w:hAnsiTheme="majorHAnsi" w:cstheme="majorHAnsi"/>
          <w:sz w:val="24"/>
          <w:szCs w:val="24"/>
          <w:lang w:eastAsia="ja-JP"/>
        </w:rPr>
        <w:t xml:space="preserve"> </w:t>
      </w:r>
      <w:r>
        <w:rPr>
          <w:rFonts w:asciiTheme="majorHAnsi" w:eastAsia="MS Mincho" w:hAnsiTheme="majorHAnsi" w:cstheme="majorHAnsi"/>
          <w:i/>
          <w:sz w:val="24"/>
          <w:szCs w:val="24"/>
          <w:lang w:eastAsia="ja-JP"/>
        </w:rPr>
        <w:t>Tabelul nr.8</w:t>
      </w:r>
      <w:r w:rsidRPr="00097B2B">
        <w:rPr>
          <w:rFonts w:asciiTheme="majorHAnsi" w:eastAsia="MS Mincho" w:hAnsiTheme="majorHAnsi" w:cstheme="majorHAnsi"/>
          <w:i/>
          <w:sz w:val="24"/>
          <w:szCs w:val="24"/>
          <w:lang w:eastAsia="ja-JP"/>
        </w:rPr>
        <w:t>.</w:t>
      </w:r>
    </w:p>
    <w:p w:rsidR="00554C8B" w:rsidRPr="00CE2BC2" w:rsidRDefault="00CE2BC2" w:rsidP="00554C8B">
      <w:pPr>
        <w:shd w:val="clear" w:color="auto" w:fill="FFFFFF" w:themeFill="background1"/>
        <w:spacing w:after="0" w:line="276" w:lineRule="auto"/>
        <w:jc w:val="right"/>
        <w:rPr>
          <w:rFonts w:asciiTheme="majorHAnsi" w:eastAsia="MS Mincho" w:hAnsiTheme="majorHAnsi" w:cstheme="majorHAnsi"/>
          <w:i/>
          <w:sz w:val="24"/>
          <w:szCs w:val="24"/>
          <w:lang w:eastAsia="ja-JP"/>
        </w:rPr>
      </w:pPr>
      <w:r w:rsidRPr="00CE2BC2">
        <w:rPr>
          <w:rFonts w:asciiTheme="majorHAnsi" w:eastAsia="MS Mincho" w:hAnsiTheme="majorHAnsi" w:cstheme="majorHAnsi"/>
          <w:i/>
          <w:sz w:val="24"/>
          <w:szCs w:val="24"/>
          <w:lang w:eastAsia="ja-JP"/>
        </w:rPr>
        <w:t>Tabelul nr.</w:t>
      </w:r>
      <w:r w:rsidR="00F438B1">
        <w:rPr>
          <w:rFonts w:asciiTheme="majorHAnsi" w:eastAsia="MS Mincho" w:hAnsiTheme="majorHAnsi" w:cstheme="majorHAnsi"/>
          <w:i/>
          <w:sz w:val="24"/>
          <w:szCs w:val="24"/>
          <w:lang w:eastAsia="ja-JP"/>
        </w:rPr>
        <w:t>8</w:t>
      </w:r>
    </w:p>
    <w:p w:rsidR="00554C8B" w:rsidRPr="00CE2BC2" w:rsidRDefault="00554C8B" w:rsidP="00554C8B">
      <w:pPr>
        <w:spacing w:after="0" w:line="276" w:lineRule="auto"/>
        <w:ind w:right="-91"/>
        <w:jc w:val="center"/>
        <w:rPr>
          <w:rFonts w:asciiTheme="majorHAnsi" w:eastAsia="MS Mincho" w:hAnsiTheme="majorHAnsi" w:cstheme="majorHAnsi"/>
          <w:b/>
          <w:sz w:val="24"/>
          <w:szCs w:val="24"/>
          <w:lang w:eastAsia="ja-JP"/>
        </w:rPr>
      </w:pPr>
      <w:r w:rsidRPr="00CE2BC2">
        <w:rPr>
          <w:rFonts w:asciiTheme="majorHAnsi" w:eastAsia="MS Mincho" w:hAnsiTheme="majorHAnsi" w:cstheme="majorHAnsi"/>
          <w:b/>
          <w:sz w:val="24"/>
          <w:szCs w:val="24"/>
          <w:lang w:eastAsia="ja-JP"/>
        </w:rPr>
        <w:t xml:space="preserve">Sinteza executării transferurilor de la BS către BUAT </w:t>
      </w:r>
      <w:r w:rsidR="00D56A28">
        <w:rPr>
          <w:rFonts w:asciiTheme="majorHAnsi" w:eastAsia="MS Mincho" w:hAnsiTheme="majorHAnsi" w:cstheme="majorHAnsi"/>
          <w:b/>
          <w:sz w:val="24"/>
          <w:szCs w:val="24"/>
          <w:lang w:eastAsia="ja-JP"/>
        </w:rPr>
        <w:t>în</w:t>
      </w:r>
      <w:r w:rsidRPr="00CE2BC2">
        <w:rPr>
          <w:rFonts w:asciiTheme="majorHAnsi" w:eastAsia="MS Mincho" w:hAnsiTheme="majorHAnsi" w:cstheme="majorHAnsi"/>
          <w:b/>
          <w:sz w:val="24"/>
          <w:szCs w:val="24"/>
          <w:lang w:eastAsia="ja-JP"/>
        </w:rPr>
        <w:t xml:space="preserve"> anul 2018</w:t>
      </w:r>
    </w:p>
    <w:p w:rsidR="00554C8B" w:rsidRPr="00CE2BC2" w:rsidRDefault="00554C8B" w:rsidP="00554C8B">
      <w:pPr>
        <w:spacing w:after="0" w:line="276" w:lineRule="auto"/>
        <w:jc w:val="right"/>
        <w:rPr>
          <w:rFonts w:asciiTheme="majorHAnsi" w:eastAsia="MS Mincho" w:hAnsiTheme="majorHAnsi" w:cstheme="majorHAnsi"/>
          <w:b/>
          <w:sz w:val="24"/>
          <w:szCs w:val="24"/>
          <w:lang w:eastAsia="ja-JP"/>
        </w:rPr>
      </w:pPr>
      <w:r w:rsidRPr="00CE2BC2">
        <w:rPr>
          <w:rFonts w:asciiTheme="majorHAnsi" w:eastAsia="MS Mincho" w:hAnsiTheme="majorHAnsi" w:cstheme="majorHAnsi"/>
          <w:b/>
          <w:sz w:val="24"/>
          <w:szCs w:val="24"/>
          <w:lang w:eastAsia="ja-JP"/>
        </w:rPr>
        <w:t xml:space="preserve"> (mil.</w:t>
      </w:r>
      <w:r w:rsidR="00CE2BC2" w:rsidRPr="00CE2BC2">
        <w:rPr>
          <w:rFonts w:asciiTheme="majorHAnsi" w:eastAsia="MS Mincho" w:hAnsiTheme="majorHAnsi" w:cstheme="majorHAnsi"/>
          <w:b/>
          <w:sz w:val="24"/>
          <w:szCs w:val="24"/>
          <w:lang w:eastAsia="ja-JP"/>
        </w:rPr>
        <w:t xml:space="preserve"> </w:t>
      </w:r>
      <w:r w:rsidR="007160B9">
        <w:rPr>
          <w:rFonts w:asciiTheme="majorHAnsi" w:eastAsia="MS Mincho" w:hAnsiTheme="majorHAnsi" w:cstheme="majorHAnsi"/>
          <w:b/>
          <w:sz w:val="24"/>
          <w:szCs w:val="24"/>
          <w:lang w:eastAsia="ja-JP"/>
        </w:rPr>
        <w:t>MDL</w:t>
      </w:r>
      <w:r w:rsidRPr="00CE2BC2">
        <w:rPr>
          <w:rFonts w:asciiTheme="majorHAnsi" w:eastAsia="MS Mincho" w:hAnsiTheme="majorHAnsi" w:cstheme="majorHAnsi"/>
          <w:b/>
          <w:sz w:val="24"/>
          <w:szCs w:val="24"/>
          <w:lang w:eastAsia="ja-JP"/>
        </w:rPr>
        <w:t>)</w:t>
      </w:r>
    </w:p>
    <w:tbl>
      <w:tblPr>
        <w:tblStyle w:val="GridTable1Light1"/>
        <w:tblW w:w="9634" w:type="dxa"/>
        <w:tblLayout w:type="fixed"/>
        <w:tblLook w:val="04A0" w:firstRow="1" w:lastRow="0" w:firstColumn="1" w:lastColumn="0" w:noHBand="0" w:noVBand="1"/>
      </w:tblPr>
      <w:tblGrid>
        <w:gridCol w:w="2547"/>
        <w:gridCol w:w="993"/>
        <w:gridCol w:w="992"/>
        <w:gridCol w:w="992"/>
        <w:gridCol w:w="992"/>
        <w:gridCol w:w="992"/>
        <w:gridCol w:w="992"/>
        <w:gridCol w:w="1134"/>
      </w:tblGrid>
      <w:tr w:rsidR="00CE2BC2" w:rsidRPr="005A4D3E" w:rsidTr="00021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554C8B" w:rsidRPr="005A4D3E" w:rsidRDefault="00554C8B" w:rsidP="00974C12">
            <w:pPr>
              <w:spacing w:after="160" w:line="256" w:lineRule="auto"/>
              <w:ind w:right="-93"/>
              <w:jc w:val="center"/>
              <w:rPr>
                <w:rFonts w:asciiTheme="majorHAnsi" w:eastAsia="MS Mincho" w:hAnsiTheme="majorHAnsi" w:cstheme="majorHAnsi"/>
              </w:rPr>
            </w:pPr>
            <w:r w:rsidRPr="005A4D3E">
              <w:rPr>
                <w:rFonts w:asciiTheme="majorHAnsi" w:eastAsia="MS Mincho" w:hAnsiTheme="majorHAnsi" w:cstheme="majorHAnsi"/>
              </w:rPr>
              <w:t>Indicatori</w:t>
            </w:r>
          </w:p>
        </w:tc>
        <w:tc>
          <w:tcPr>
            <w:tcW w:w="993" w:type="dxa"/>
            <w:vMerge w:val="restart"/>
            <w:vAlign w:val="center"/>
          </w:tcPr>
          <w:p w:rsidR="00554C8B" w:rsidRPr="005A4D3E" w:rsidRDefault="00554C8B" w:rsidP="00974C12">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Aprobat pe an</w:t>
            </w:r>
          </w:p>
        </w:tc>
        <w:tc>
          <w:tcPr>
            <w:tcW w:w="992" w:type="dxa"/>
            <w:vMerge w:val="restart"/>
            <w:vAlign w:val="center"/>
          </w:tcPr>
          <w:p w:rsidR="00554C8B" w:rsidRPr="005A4D3E" w:rsidRDefault="00554C8B" w:rsidP="00974C12">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Precizat pe an</w:t>
            </w:r>
          </w:p>
        </w:tc>
        <w:tc>
          <w:tcPr>
            <w:tcW w:w="1984" w:type="dxa"/>
            <w:gridSpan w:val="2"/>
            <w:vAlign w:val="center"/>
          </w:tcPr>
          <w:p w:rsidR="00554C8B" w:rsidRPr="005A4D3E" w:rsidRDefault="00554C8B" w:rsidP="00974C12">
            <w:pPr>
              <w:ind w:left="-102" w:right="-103"/>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5A4D3E">
              <w:rPr>
                <w:rFonts w:asciiTheme="majorHAnsi" w:eastAsia="Times New Roman" w:hAnsiTheme="majorHAnsi" w:cstheme="majorHAnsi"/>
                <w:lang w:eastAsia="ru-RU"/>
              </w:rPr>
              <w:t>Precizat pe an față de aprobat pe an</w:t>
            </w:r>
          </w:p>
        </w:tc>
        <w:tc>
          <w:tcPr>
            <w:tcW w:w="992" w:type="dxa"/>
            <w:vMerge w:val="restart"/>
            <w:vAlign w:val="center"/>
          </w:tcPr>
          <w:p w:rsidR="00554C8B" w:rsidRPr="005A4D3E" w:rsidRDefault="00554C8B" w:rsidP="00974C12">
            <w:pPr>
              <w:ind w:left="-115"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5A4D3E">
              <w:rPr>
                <w:rFonts w:asciiTheme="majorHAnsi" w:eastAsia="Times New Roman" w:hAnsiTheme="majorHAnsi" w:cstheme="majorHAnsi"/>
                <w:lang w:eastAsia="ru-RU"/>
              </w:rPr>
              <w:t>Executat</w:t>
            </w:r>
          </w:p>
        </w:tc>
        <w:tc>
          <w:tcPr>
            <w:tcW w:w="2126" w:type="dxa"/>
            <w:gridSpan w:val="2"/>
            <w:vAlign w:val="center"/>
          </w:tcPr>
          <w:p w:rsidR="00554C8B" w:rsidRPr="005A4D3E" w:rsidRDefault="00554C8B" w:rsidP="00974C12">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Executat față</w:t>
            </w:r>
          </w:p>
          <w:p w:rsidR="00554C8B" w:rsidRPr="005A4D3E" w:rsidRDefault="00554C8B" w:rsidP="00974C12">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de precizat pe an</w:t>
            </w:r>
          </w:p>
        </w:tc>
      </w:tr>
      <w:tr w:rsidR="00554C8B" w:rsidRPr="005A4D3E" w:rsidTr="00021CEB">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554C8B" w:rsidRPr="005A4D3E" w:rsidRDefault="00554C8B" w:rsidP="00974C12">
            <w:pPr>
              <w:spacing w:after="160" w:line="256" w:lineRule="auto"/>
              <w:ind w:right="-93"/>
              <w:jc w:val="center"/>
              <w:rPr>
                <w:rFonts w:asciiTheme="majorHAnsi" w:eastAsia="MS Mincho" w:hAnsiTheme="majorHAnsi" w:cstheme="majorHAnsi"/>
                <w:color w:val="FFFFFF" w:themeColor="background1"/>
              </w:rPr>
            </w:pPr>
          </w:p>
        </w:tc>
        <w:tc>
          <w:tcPr>
            <w:tcW w:w="993" w:type="dxa"/>
            <w:vMerge/>
            <w:vAlign w:val="center"/>
          </w:tcPr>
          <w:p w:rsidR="00554C8B" w:rsidRPr="005A4D3E" w:rsidRDefault="00554C8B" w:rsidP="00974C12">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rPr>
            </w:pPr>
          </w:p>
        </w:tc>
        <w:tc>
          <w:tcPr>
            <w:tcW w:w="992" w:type="dxa"/>
            <w:vMerge/>
            <w:vAlign w:val="center"/>
          </w:tcPr>
          <w:p w:rsidR="00554C8B" w:rsidRPr="005A4D3E" w:rsidRDefault="00554C8B" w:rsidP="00974C12">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rPr>
            </w:pPr>
          </w:p>
        </w:tc>
        <w:tc>
          <w:tcPr>
            <w:tcW w:w="992" w:type="dxa"/>
            <w:vAlign w:val="center"/>
          </w:tcPr>
          <w:p w:rsidR="00554C8B" w:rsidRPr="00EE4CDC" w:rsidRDefault="00554C8B" w:rsidP="00974C12">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eastAsia="ru-RU"/>
              </w:rPr>
            </w:pPr>
            <w:r w:rsidRPr="00EE4CDC">
              <w:rPr>
                <w:rFonts w:asciiTheme="majorHAnsi" w:eastAsia="Times New Roman" w:hAnsiTheme="majorHAnsi" w:cstheme="majorHAnsi"/>
                <w:b/>
                <w:color w:val="000000" w:themeColor="text1"/>
                <w:lang w:eastAsia="ru-RU"/>
              </w:rPr>
              <w:t>devieri (+/-)</w:t>
            </w:r>
          </w:p>
        </w:tc>
        <w:tc>
          <w:tcPr>
            <w:tcW w:w="992" w:type="dxa"/>
            <w:vAlign w:val="center"/>
          </w:tcPr>
          <w:p w:rsidR="00554C8B" w:rsidRPr="00EE4CDC" w:rsidRDefault="00EE4CDC" w:rsidP="00974C12">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eastAsia="ru-RU"/>
              </w:rPr>
            </w:pPr>
            <w:r>
              <w:rPr>
                <w:rFonts w:asciiTheme="majorHAnsi" w:eastAsia="Times New Roman" w:hAnsiTheme="majorHAnsi" w:cstheme="majorHAnsi"/>
                <w:b/>
                <w:color w:val="000000" w:themeColor="text1"/>
                <w:lang w:eastAsia="ru-RU"/>
              </w:rPr>
              <w:t>(</w:t>
            </w:r>
            <w:r w:rsidR="00554C8B" w:rsidRPr="00EE4CDC">
              <w:rPr>
                <w:rFonts w:asciiTheme="majorHAnsi" w:eastAsia="Times New Roman" w:hAnsiTheme="majorHAnsi" w:cstheme="majorHAnsi"/>
                <w:b/>
                <w:color w:val="000000" w:themeColor="text1"/>
                <w:lang w:eastAsia="ru-RU"/>
              </w:rPr>
              <w:t>%</w:t>
            </w:r>
            <w:r>
              <w:rPr>
                <w:rFonts w:asciiTheme="majorHAnsi" w:eastAsia="Times New Roman" w:hAnsiTheme="majorHAnsi" w:cstheme="majorHAnsi"/>
                <w:b/>
                <w:color w:val="000000" w:themeColor="text1"/>
                <w:lang w:eastAsia="ru-RU"/>
              </w:rPr>
              <w:t>)</w:t>
            </w:r>
          </w:p>
        </w:tc>
        <w:tc>
          <w:tcPr>
            <w:tcW w:w="992" w:type="dxa"/>
            <w:vMerge/>
            <w:vAlign w:val="center"/>
          </w:tcPr>
          <w:p w:rsidR="00554C8B" w:rsidRPr="005A4D3E" w:rsidRDefault="00554C8B" w:rsidP="00974C12">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rPr>
            </w:pPr>
          </w:p>
        </w:tc>
        <w:tc>
          <w:tcPr>
            <w:tcW w:w="992" w:type="dxa"/>
            <w:vAlign w:val="center"/>
          </w:tcPr>
          <w:p w:rsidR="00554C8B" w:rsidRPr="00EE4CDC" w:rsidRDefault="00554C8B" w:rsidP="00974C12">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eastAsia="ru-RU"/>
              </w:rPr>
            </w:pPr>
            <w:r w:rsidRPr="00EE4CDC">
              <w:rPr>
                <w:rFonts w:asciiTheme="majorHAnsi" w:eastAsia="Times New Roman" w:hAnsiTheme="majorHAnsi" w:cstheme="majorHAnsi"/>
                <w:b/>
                <w:color w:val="000000" w:themeColor="text1"/>
                <w:lang w:eastAsia="ru-RU"/>
              </w:rPr>
              <w:t>devieri (+/-)</w:t>
            </w:r>
          </w:p>
        </w:tc>
        <w:tc>
          <w:tcPr>
            <w:tcW w:w="1134" w:type="dxa"/>
            <w:vAlign w:val="center"/>
          </w:tcPr>
          <w:p w:rsidR="00554C8B" w:rsidRPr="00EE4CDC" w:rsidRDefault="00EE4CDC" w:rsidP="00974C12">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eastAsia="ru-RU"/>
              </w:rPr>
            </w:pPr>
            <w:r>
              <w:rPr>
                <w:rFonts w:asciiTheme="majorHAnsi" w:eastAsia="Times New Roman" w:hAnsiTheme="majorHAnsi" w:cstheme="majorHAnsi"/>
                <w:b/>
                <w:color w:val="000000" w:themeColor="text1"/>
                <w:lang w:eastAsia="ru-RU"/>
              </w:rPr>
              <w:t>(</w:t>
            </w:r>
            <w:r w:rsidR="00554C8B" w:rsidRPr="00EE4CDC">
              <w:rPr>
                <w:rFonts w:asciiTheme="majorHAnsi" w:eastAsia="Times New Roman" w:hAnsiTheme="majorHAnsi" w:cstheme="majorHAnsi"/>
                <w:b/>
                <w:color w:val="000000" w:themeColor="text1"/>
                <w:lang w:eastAsia="ru-RU"/>
              </w:rPr>
              <w:t>%</w:t>
            </w:r>
            <w:r>
              <w:rPr>
                <w:rFonts w:asciiTheme="majorHAnsi" w:eastAsia="Times New Roman" w:hAnsiTheme="majorHAnsi" w:cstheme="majorHAnsi"/>
                <w:b/>
                <w:color w:val="000000" w:themeColor="text1"/>
                <w:lang w:eastAsia="ru-RU"/>
              </w:rPr>
              <w:t>)</w:t>
            </w:r>
          </w:p>
        </w:tc>
      </w:tr>
      <w:tr w:rsidR="00554C8B" w:rsidRPr="005A4D3E" w:rsidTr="00CE2BC2">
        <w:tc>
          <w:tcPr>
            <w:cnfStyle w:val="001000000000" w:firstRow="0" w:lastRow="0" w:firstColumn="1" w:lastColumn="0" w:oddVBand="0" w:evenVBand="0" w:oddHBand="0" w:evenHBand="0" w:firstRowFirstColumn="0" w:firstRowLastColumn="0" w:lastRowFirstColumn="0" w:lastRowLastColumn="0"/>
            <w:tcW w:w="2547" w:type="dxa"/>
          </w:tcPr>
          <w:p w:rsidR="00554C8B" w:rsidRPr="00CE2BC2" w:rsidRDefault="00554C8B" w:rsidP="00974C12">
            <w:pPr>
              <w:spacing w:line="257" w:lineRule="auto"/>
              <w:ind w:right="-91"/>
              <w:jc w:val="center"/>
              <w:rPr>
                <w:rFonts w:asciiTheme="majorHAnsi" w:eastAsia="MS Mincho" w:hAnsiTheme="majorHAnsi" w:cstheme="majorHAnsi"/>
                <w:b w:val="0"/>
                <w:i/>
                <w:sz w:val="18"/>
                <w:szCs w:val="18"/>
              </w:rPr>
            </w:pPr>
            <w:r w:rsidRPr="00CE2BC2">
              <w:rPr>
                <w:rFonts w:asciiTheme="majorHAnsi" w:eastAsia="MS Mincho" w:hAnsiTheme="majorHAnsi" w:cstheme="majorHAnsi"/>
                <w:b w:val="0"/>
                <w:i/>
                <w:sz w:val="18"/>
                <w:szCs w:val="18"/>
              </w:rPr>
              <w:t>1</w:t>
            </w:r>
          </w:p>
        </w:tc>
        <w:tc>
          <w:tcPr>
            <w:tcW w:w="993" w:type="dxa"/>
          </w:tcPr>
          <w:p w:rsidR="00554C8B" w:rsidRPr="00CE2BC2" w:rsidRDefault="00554C8B" w:rsidP="00974C12">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2</w:t>
            </w:r>
          </w:p>
        </w:tc>
        <w:tc>
          <w:tcPr>
            <w:tcW w:w="992" w:type="dxa"/>
          </w:tcPr>
          <w:p w:rsidR="00554C8B" w:rsidRPr="00CE2BC2" w:rsidRDefault="00554C8B" w:rsidP="00974C12">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3</w:t>
            </w:r>
          </w:p>
        </w:tc>
        <w:tc>
          <w:tcPr>
            <w:tcW w:w="992" w:type="dxa"/>
          </w:tcPr>
          <w:p w:rsidR="00554C8B" w:rsidRPr="00CE2BC2" w:rsidRDefault="00554C8B" w:rsidP="00974C12">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4=3-2</w:t>
            </w:r>
          </w:p>
        </w:tc>
        <w:tc>
          <w:tcPr>
            <w:tcW w:w="992" w:type="dxa"/>
          </w:tcPr>
          <w:p w:rsidR="00554C8B" w:rsidRPr="00CE2BC2" w:rsidRDefault="00554C8B" w:rsidP="00974C12">
            <w:pPr>
              <w:spacing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4=3/2*100</w:t>
            </w:r>
          </w:p>
        </w:tc>
        <w:tc>
          <w:tcPr>
            <w:tcW w:w="992" w:type="dxa"/>
          </w:tcPr>
          <w:p w:rsidR="00554C8B" w:rsidRPr="00CE2BC2" w:rsidRDefault="00554C8B" w:rsidP="00974C12">
            <w:pPr>
              <w:spacing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5</w:t>
            </w:r>
          </w:p>
        </w:tc>
        <w:tc>
          <w:tcPr>
            <w:tcW w:w="992" w:type="dxa"/>
          </w:tcPr>
          <w:p w:rsidR="00554C8B" w:rsidRPr="00CE2BC2" w:rsidRDefault="00554C8B" w:rsidP="00974C12">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6=5-3</w:t>
            </w:r>
          </w:p>
        </w:tc>
        <w:tc>
          <w:tcPr>
            <w:tcW w:w="1134" w:type="dxa"/>
          </w:tcPr>
          <w:p w:rsidR="00554C8B" w:rsidRPr="00CE2BC2" w:rsidRDefault="00554C8B" w:rsidP="00974C12">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rPr>
            </w:pPr>
            <w:r w:rsidRPr="00CE2BC2">
              <w:rPr>
                <w:rFonts w:asciiTheme="majorHAnsi" w:eastAsia="MS Mincho" w:hAnsiTheme="majorHAnsi" w:cstheme="majorHAnsi"/>
                <w:i/>
                <w:sz w:val="18"/>
                <w:szCs w:val="18"/>
              </w:rPr>
              <w:t>7=5/3*100</w:t>
            </w:r>
          </w:p>
        </w:tc>
      </w:tr>
      <w:tr w:rsidR="00554C8B" w:rsidRPr="005A4D3E" w:rsidTr="00CE2BC2">
        <w:tc>
          <w:tcPr>
            <w:cnfStyle w:val="001000000000" w:firstRow="0" w:lastRow="0" w:firstColumn="1" w:lastColumn="0" w:oddVBand="0" w:evenVBand="0" w:oddHBand="0" w:evenHBand="0" w:firstRowFirstColumn="0" w:firstRowLastColumn="0" w:lastRowFirstColumn="0" w:lastRowLastColumn="0"/>
            <w:tcW w:w="2547" w:type="dxa"/>
          </w:tcPr>
          <w:p w:rsidR="00554C8B" w:rsidRPr="005A4D3E" w:rsidRDefault="00554C8B" w:rsidP="00CE2BC2">
            <w:pPr>
              <w:spacing w:after="40"/>
              <w:ind w:right="-93"/>
              <w:jc w:val="both"/>
              <w:rPr>
                <w:rFonts w:asciiTheme="majorHAnsi" w:eastAsia="MS Mincho" w:hAnsiTheme="majorHAnsi" w:cstheme="majorHAnsi"/>
              </w:rPr>
            </w:pPr>
            <w:r w:rsidRPr="005A4D3E">
              <w:rPr>
                <w:rFonts w:asciiTheme="majorHAnsi" w:eastAsia="MS Mincho" w:hAnsiTheme="majorHAnsi" w:cstheme="majorHAnsi"/>
              </w:rPr>
              <w:t xml:space="preserve">Transferuri </w:t>
            </w:r>
          </w:p>
          <w:p w:rsidR="00554C8B" w:rsidRPr="005A4D3E" w:rsidRDefault="00554C8B" w:rsidP="00CE2BC2">
            <w:pPr>
              <w:spacing w:after="40"/>
              <w:ind w:right="-93"/>
              <w:jc w:val="both"/>
              <w:rPr>
                <w:rFonts w:asciiTheme="majorHAnsi" w:eastAsia="MS Mincho" w:hAnsiTheme="majorHAnsi" w:cstheme="majorHAnsi"/>
                <w:b w:val="0"/>
              </w:rPr>
            </w:pPr>
            <w:r w:rsidRPr="005A4D3E">
              <w:rPr>
                <w:rFonts w:asciiTheme="majorHAnsi" w:eastAsia="MS Mincho" w:hAnsiTheme="majorHAnsi" w:cstheme="majorHAnsi"/>
                <w:i/>
              </w:rPr>
              <w:t>Total general</w:t>
            </w:r>
            <w:r w:rsidRPr="005A4D3E">
              <w:rPr>
                <w:rFonts w:asciiTheme="majorHAnsi" w:eastAsia="MS Mincho" w:hAnsiTheme="majorHAnsi" w:cstheme="majorHAnsi"/>
                <w:b w:val="0"/>
              </w:rPr>
              <w:t xml:space="preserve">, </w:t>
            </w:r>
            <w:r w:rsidRPr="005A4D3E">
              <w:rPr>
                <w:rFonts w:asciiTheme="majorHAnsi" w:eastAsia="MS Mincho" w:hAnsiTheme="majorHAnsi" w:cstheme="majorHAnsi"/>
                <w:b w:val="0"/>
                <w:i/>
              </w:rPr>
              <w:t>inclusiv:</w:t>
            </w:r>
          </w:p>
        </w:tc>
        <w:tc>
          <w:tcPr>
            <w:tcW w:w="993"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rPr>
            </w:pPr>
            <w:r w:rsidRPr="005A4D3E">
              <w:rPr>
                <w:rFonts w:asciiTheme="majorHAnsi" w:eastAsia="MS Mincho" w:hAnsiTheme="majorHAnsi" w:cstheme="majorHAnsi"/>
                <w:b/>
              </w:rPr>
              <w:t>9</w:t>
            </w:r>
            <w:r w:rsidR="001E1439">
              <w:rPr>
                <w:rFonts w:asciiTheme="majorHAnsi" w:eastAsia="MS Mincho" w:hAnsiTheme="majorHAnsi" w:cstheme="majorHAnsi"/>
                <w:b/>
              </w:rPr>
              <w:t xml:space="preserve"> </w:t>
            </w:r>
            <w:r w:rsidRPr="005A4D3E">
              <w:rPr>
                <w:rFonts w:asciiTheme="majorHAnsi" w:eastAsia="MS Mincho" w:hAnsiTheme="majorHAnsi" w:cstheme="majorHAnsi"/>
                <w:b/>
              </w:rPr>
              <w:t>861,3</w:t>
            </w:r>
          </w:p>
        </w:tc>
        <w:tc>
          <w:tcPr>
            <w:tcW w:w="992"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rPr>
            </w:pPr>
            <w:r w:rsidRPr="005A4D3E">
              <w:rPr>
                <w:rFonts w:asciiTheme="majorHAnsi" w:eastAsia="MS Mincho" w:hAnsiTheme="majorHAnsi" w:cstheme="majorHAnsi"/>
                <w:b/>
              </w:rPr>
              <w:t>10</w:t>
            </w:r>
            <w:r w:rsidR="001E1439">
              <w:rPr>
                <w:rFonts w:asciiTheme="majorHAnsi" w:eastAsia="MS Mincho" w:hAnsiTheme="majorHAnsi" w:cstheme="majorHAnsi"/>
                <w:b/>
              </w:rPr>
              <w:t xml:space="preserve"> </w:t>
            </w:r>
            <w:r w:rsidRPr="005A4D3E">
              <w:rPr>
                <w:rFonts w:asciiTheme="majorHAnsi" w:eastAsia="MS Mincho" w:hAnsiTheme="majorHAnsi" w:cstheme="majorHAnsi"/>
                <w:b/>
              </w:rPr>
              <w:t>015,3</w:t>
            </w:r>
          </w:p>
        </w:tc>
        <w:tc>
          <w:tcPr>
            <w:tcW w:w="992"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rPr>
            </w:pPr>
            <w:r w:rsidRPr="005A4D3E">
              <w:rPr>
                <w:rFonts w:asciiTheme="majorHAnsi" w:eastAsia="MS Mincho" w:hAnsiTheme="majorHAnsi" w:cstheme="majorHAnsi"/>
                <w:b/>
              </w:rPr>
              <w:t>+154,0</w:t>
            </w:r>
          </w:p>
        </w:tc>
        <w:tc>
          <w:tcPr>
            <w:tcW w:w="992"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rPr>
            </w:pPr>
            <w:r w:rsidRPr="005A4D3E">
              <w:rPr>
                <w:rFonts w:asciiTheme="majorHAnsi" w:eastAsia="MS Mincho" w:hAnsiTheme="majorHAnsi" w:cstheme="majorHAnsi"/>
                <w:b/>
                <w:i/>
              </w:rPr>
              <w:t>101,6</w:t>
            </w:r>
          </w:p>
        </w:tc>
        <w:tc>
          <w:tcPr>
            <w:tcW w:w="992"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rPr>
            </w:pPr>
            <w:r w:rsidRPr="005A4D3E">
              <w:rPr>
                <w:rFonts w:asciiTheme="majorHAnsi" w:eastAsia="MS Mincho" w:hAnsiTheme="majorHAnsi" w:cstheme="majorHAnsi"/>
                <w:b/>
              </w:rPr>
              <w:t>9</w:t>
            </w:r>
            <w:r w:rsidR="001E1439">
              <w:rPr>
                <w:rFonts w:asciiTheme="majorHAnsi" w:eastAsia="MS Mincho" w:hAnsiTheme="majorHAnsi" w:cstheme="majorHAnsi"/>
                <w:b/>
              </w:rPr>
              <w:t xml:space="preserve"> </w:t>
            </w:r>
            <w:r w:rsidRPr="005A4D3E">
              <w:rPr>
                <w:rFonts w:asciiTheme="majorHAnsi" w:eastAsia="MS Mincho" w:hAnsiTheme="majorHAnsi" w:cstheme="majorHAnsi"/>
                <w:b/>
              </w:rPr>
              <w:t>935,7</w:t>
            </w:r>
          </w:p>
        </w:tc>
        <w:tc>
          <w:tcPr>
            <w:tcW w:w="992"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rPr>
            </w:pPr>
            <w:r w:rsidRPr="005A4D3E">
              <w:rPr>
                <w:rFonts w:asciiTheme="majorHAnsi" w:eastAsia="MS Mincho" w:hAnsiTheme="majorHAnsi" w:cstheme="majorHAnsi"/>
                <w:b/>
              </w:rPr>
              <w:t>-79,6</w:t>
            </w:r>
          </w:p>
        </w:tc>
        <w:tc>
          <w:tcPr>
            <w:tcW w:w="1134" w:type="dxa"/>
          </w:tcPr>
          <w:p w:rsidR="00554C8B" w:rsidRPr="005A4D3E" w:rsidRDefault="00554C8B" w:rsidP="001E1439">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rPr>
            </w:pPr>
            <w:r w:rsidRPr="005A4D3E">
              <w:rPr>
                <w:rFonts w:asciiTheme="majorHAnsi" w:eastAsia="MS Mincho" w:hAnsiTheme="majorHAnsi" w:cstheme="majorHAnsi"/>
                <w:b/>
                <w:i/>
              </w:rPr>
              <w:t>99,2</w:t>
            </w:r>
          </w:p>
        </w:tc>
      </w:tr>
      <w:tr w:rsidR="00554C8B" w:rsidRPr="005A4D3E" w:rsidTr="00CE2BC2">
        <w:tc>
          <w:tcPr>
            <w:cnfStyle w:val="001000000000" w:firstRow="0" w:lastRow="0" w:firstColumn="1" w:lastColumn="0" w:oddVBand="0" w:evenVBand="0" w:oddHBand="0" w:evenHBand="0" w:firstRowFirstColumn="0" w:firstRowLastColumn="0" w:lastRowFirstColumn="0" w:lastRowLastColumn="0"/>
            <w:tcW w:w="2547" w:type="dxa"/>
          </w:tcPr>
          <w:p w:rsidR="00554C8B" w:rsidRPr="005A4D3E" w:rsidRDefault="00554C8B" w:rsidP="00CE2BC2">
            <w:pPr>
              <w:spacing w:after="40"/>
              <w:ind w:right="-91"/>
              <w:jc w:val="both"/>
              <w:rPr>
                <w:rFonts w:asciiTheme="majorHAnsi" w:eastAsia="MS Mincho" w:hAnsiTheme="majorHAnsi" w:cstheme="majorHAnsi"/>
                <w:b w:val="0"/>
              </w:rPr>
            </w:pPr>
            <w:r w:rsidRPr="005A4D3E">
              <w:rPr>
                <w:rFonts w:asciiTheme="majorHAnsi" w:eastAsia="MS Mincho" w:hAnsiTheme="majorHAnsi" w:cstheme="majorHAnsi"/>
                <w:b w:val="0"/>
              </w:rPr>
              <w:t>cu destinație generală</w:t>
            </w:r>
          </w:p>
        </w:tc>
        <w:tc>
          <w:tcPr>
            <w:tcW w:w="993"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1</w:t>
            </w:r>
            <w:r w:rsidR="001E1439">
              <w:rPr>
                <w:rFonts w:asciiTheme="majorHAnsi" w:eastAsia="MS Mincho" w:hAnsiTheme="majorHAnsi" w:cstheme="majorHAnsi"/>
              </w:rPr>
              <w:t xml:space="preserve"> </w:t>
            </w:r>
            <w:r w:rsidRPr="005A4D3E">
              <w:rPr>
                <w:rFonts w:asciiTheme="majorHAnsi" w:eastAsia="MS Mincho" w:hAnsiTheme="majorHAnsi" w:cstheme="majorHAnsi"/>
              </w:rPr>
              <w:t>421,3</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1</w:t>
            </w:r>
            <w:r w:rsidR="001E1439">
              <w:rPr>
                <w:rFonts w:asciiTheme="majorHAnsi" w:eastAsia="MS Mincho" w:hAnsiTheme="majorHAnsi" w:cstheme="majorHAnsi"/>
              </w:rPr>
              <w:t xml:space="preserve"> </w:t>
            </w:r>
            <w:r w:rsidRPr="005A4D3E">
              <w:rPr>
                <w:rFonts w:asciiTheme="majorHAnsi" w:eastAsia="MS Mincho" w:hAnsiTheme="majorHAnsi" w:cstheme="majorHAnsi"/>
              </w:rPr>
              <w:t>421,3</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100,0</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1</w:t>
            </w:r>
            <w:r w:rsidR="001E1439">
              <w:rPr>
                <w:rFonts w:asciiTheme="majorHAnsi" w:eastAsia="MS Mincho" w:hAnsiTheme="majorHAnsi" w:cstheme="majorHAnsi"/>
              </w:rPr>
              <w:t xml:space="preserve"> </w:t>
            </w:r>
            <w:r w:rsidRPr="005A4D3E">
              <w:rPr>
                <w:rFonts w:asciiTheme="majorHAnsi" w:eastAsia="MS Mincho" w:hAnsiTheme="majorHAnsi" w:cstheme="majorHAnsi"/>
              </w:rPr>
              <w:t>421,3</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1134"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100,0</w:t>
            </w:r>
          </w:p>
        </w:tc>
      </w:tr>
      <w:tr w:rsidR="00554C8B" w:rsidRPr="005A4D3E" w:rsidTr="00CE2BC2">
        <w:tc>
          <w:tcPr>
            <w:cnfStyle w:val="001000000000" w:firstRow="0" w:lastRow="0" w:firstColumn="1" w:lastColumn="0" w:oddVBand="0" w:evenVBand="0" w:oddHBand="0" w:evenHBand="0" w:firstRowFirstColumn="0" w:firstRowLastColumn="0" w:lastRowFirstColumn="0" w:lastRowLastColumn="0"/>
            <w:tcW w:w="2547" w:type="dxa"/>
          </w:tcPr>
          <w:p w:rsidR="00554C8B" w:rsidRPr="005A4D3E" w:rsidRDefault="00554C8B" w:rsidP="00CE2BC2">
            <w:pPr>
              <w:spacing w:after="40"/>
              <w:ind w:right="-91"/>
              <w:jc w:val="both"/>
              <w:rPr>
                <w:rFonts w:asciiTheme="majorHAnsi" w:eastAsia="MS Mincho" w:hAnsiTheme="majorHAnsi" w:cstheme="majorHAnsi"/>
                <w:b w:val="0"/>
              </w:rPr>
            </w:pPr>
            <w:r w:rsidRPr="005A4D3E">
              <w:rPr>
                <w:rFonts w:asciiTheme="majorHAnsi" w:eastAsia="MS Mincho" w:hAnsiTheme="majorHAnsi" w:cstheme="majorHAnsi"/>
                <w:b w:val="0"/>
              </w:rPr>
              <w:t>cu destinație specială*</w:t>
            </w:r>
          </w:p>
        </w:tc>
        <w:tc>
          <w:tcPr>
            <w:tcW w:w="993"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w:t>
            </w:r>
            <w:r w:rsidR="001E1439">
              <w:rPr>
                <w:rFonts w:asciiTheme="majorHAnsi" w:eastAsia="MS Mincho" w:hAnsiTheme="majorHAnsi" w:cstheme="majorHAnsi"/>
              </w:rPr>
              <w:t xml:space="preserve"> </w:t>
            </w:r>
            <w:r w:rsidRPr="005A4D3E">
              <w:rPr>
                <w:rFonts w:asciiTheme="majorHAnsi" w:eastAsia="MS Mincho" w:hAnsiTheme="majorHAnsi" w:cstheme="majorHAnsi"/>
              </w:rPr>
              <w:t>431,4</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w:t>
            </w:r>
            <w:r w:rsidR="001E1439">
              <w:rPr>
                <w:rFonts w:asciiTheme="majorHAnsi" w:eastAsia="MS Mincho" w:hAnsiTheme="majorHAnsi" w:cstheme="majorHAnsi"/>
              </w:rPr>
              <w:t xml:space="preserve"> </w:t>
            </w:r>
            <w:r w:rsidRPr="005A4D3E">
              <w:rPr>
                <w:rFonts w:asciiTheme="majorHAnsi" w:eastAsia="MS Mincho" w:hAnsiTheme="majorHAnsi" w:cstheme="majorHAnsi"/>
              </w:rPr>
              <w:t>575,9</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+144,5</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101,7</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w:t>
            </w:r>
            <w:r w:rsidR="001E1439">
              <w:rPr>
                <w:rFonts w:asciiTheme="majorHAnsi" w:eastAsia="MS Mincho" w:hAnsiTheme="majorHAnsi" w:cstheme="majorHAnsi"/>
              </w:rPr>
              <w:t xml:space="preserve"> </w:t>
            </w:r>
            <w:r w:rsidRPr="005A4D3E">
              <w:rPr>
                <w:rFonts w:asciiTheme="majorHAnsi" w:eastAsia="MS Mincho" w:hAnsiTheme="majorHAnsi" w:cstheme="majorHAnsi"/>
              </w:rPr>
              <w:t>496,4</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-79,5</w:t>
            </w:r>
          </w:p>
        </w:tc>
        <w:tc>
          <w:tcPr>
            <w:tcW w:w="1134"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99,1</w:t>
            </w:r>
          </w:p>
        </w:tc>
      </w:tr>
      <w:tr w:rsidR="00554C8B" w:rsidRPr="005A4D3E" w:rsidTr="00CE2BC2">
        <w:trPr>
          <w:trHeight w:val="276"/>
        </w:trPr>
        <w:tc>
          <w:tcPr>
            <w:cnfStyle w:val="001000000000" w:firstRow="0" w:lastRow="0" w:firstColumn="1" w:lastColumn="0" w:oddVBand="0" w:evenVBand="0" w:oddHBand="0" w:evenHBand="0" w:firstRowFirstColumn="0" w:firstRowLastColumn="0" w:lastRowFirstColumn="0" w:lastRowLastColumn="0"/>
            <w:tcW w:w="2547" w:type="dxa"/>
          </w:tcPr>
          <w:p w:rsidR="00554C8B" w:rsidRPr="005A4D3E" w:rsidRDefault="00554C8B" w:rsidP="00CE2BC2">
            <w:pPr>
              <w:spacing w:after="40"/>
              <w:ind w:right="-91"/>
              <w:jc w:val="both"/>
              <w:rPr>
                <w:rFonts w:asciiTheme="majorHAnsi" w:eastAsia="MS Mincho" w:hAnsiTheme="majorHAnsi" w:cstheme="majorHAnsi"/>
                <w:b w:val="0"/>
              </w:rPr>
            </w:pPr>
            <w:r w:rsidRPr="005A4D3E">
              <w:rPr>
                <w:rFonts w:asciiTheme="majorHAnsi" w:eastAsia="MS Mincho" w:hAnsiTheme="majorHAnsi" w:cstheme="majorHAnsi"/>
                <w:b w:val="0"/>
              </w:rPr>
              <w:t>din fondul de compensare</w:t>
            </w:r>
          </w:p>
        </w:tc>
        <w:tc>
          <w:tcPr>
            <w:tcW w:w="993"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8,6</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8,6</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100,0</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8,6</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1134"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100,0</w:t>
            </w:r>
          </w:p>
        </w:tc>
      </w:tr>
      <w:tr w:rsidR="00554C8B" w:rsidRPr="005A4D3E" w:rsidTr="00CE2BC2">
        <w:tc>
          <w:tcPr>
            <w:cnfStyle w:val="001000000000" w:firstRow="0" w:lastRow="0" w:firstColumn="1" w:lastColumn="0" w:oddVBand="0" w:evenVBand="0" w:oddHBand="0" w:evenHBand="0" w:firstRowFirstColumn="0" w:firstRowLastColumn="0" w:lastRowFirstColumn="0" w:lastRowLastColumn="0"/>
            <w:tcW w:w="2547" w:type="dxa"/>
          </w:tcPr>
          <w:p w:rsidR="00554C8B" w:rsidRPr="005A4D3E" w:rsidRDefault="00554C8B" w:rsidP="00CE2BC2">
            <w:pPr>
              <w:ind w:right="-91"/>
              <w:jc w:val="both"/>
              <w:rPr>
                <w:rFonts w:asciiTheme="majorHAnsi" w:eastAsia="MS Mincho" w:hAnsiTheme="majorHAnsi" w:cstheme="majorHAnsi"/>
                <w:b w:val="0"/>
              </w:rPr>
            </w:pPr>
            <w:r w:rsidRPr="005A4D3E">
              <w:rPr>
                <w:rFonts w:asciiTheme="majorHAnsi" w:eastAsia="MS Mincho" w:hAnsiTheme="majorHAnsi" w:cstheme="majorHAnsi"/>
                <w:b w:val="0"/>
              </w:rPr>
              <w:t xml:space="preserve">alte transferuri curente </w:t>
            </w:r>
          </w:p>
          <w:p w:rsidR="00554C8B" w:rsidRPr="005A4D3E" w:rsidRDefault="00554C8B" w:rsidP="00CE2BC2">
            <w:pPr>
              <w:ind w:right="-91"/>
              <w:jc w:val="both"/>
              <w:rPr>
                <w:rFonts w:asciiTheme="majorHAnsi" w:eastAsia="MS Mincho" w:hAnsiTheme="majorHAnsi" w:cstheme="majorHAnsi"/>
                <w:b w:val="0"/>
              </w:rPr>
            </w:pPr>
            <w:r w:rsidRPr="005A4D3E">
              <w:rPr>
                <w:rFonts w:asciiTheme="majorHAnsi" w:eastAsia="MS Mincho" w:hAnsiTheme="majorHAnsi" w:cstheme="majorHAnsi"/>
                <w:b w:val="0"/>
              </w:rPr>
              <w:t>cu destinație generală</w:t>
            </w:r>
          </w:p>
        </w:tc>
        <w:tc>
          <w:tcPr>
            <w:tcW w:w="993" w:type="dxa"/>
          </w:tcPr>
          <w:p w:rsidR="00554C8B" w:rsidRPr="005A4D3E" w:rsidRDefault="001E1439"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Pr>
                <w:rFonts w:asciiTheme="majorHAnsi" w:eastAsia="MS Mincho" w:hAnsiTheme="majorHAnsi" w:cstheme="majorHAnsi"/>
              </w:rPr>
              <w:t>-</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9,4</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9,4</w:t>
            </w:r>
          </w:p>
        </w:tc>
        <w:tc>
          <w:tcPr>
            <w:tcW w:w="992"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rPr>
            </w:pPr>
            <w:r w:rsidRPr="005A4D3E">
              <w:rPr>
                <w:rFonts w:asciiTheme="majorHAnsi" w:eastAsia="MS Mincho" w:hAnsiTheme="majorHAnsi" w:cstheme="majorHAnsi"/>
              </w:rPr>
              <w:t>-</w:t>
            </w:r>
          </w:p>
        </w:tc>
        <w:tc>
          <w:tcPr>
            <w:tcW w:w="1134" w:type="dxa"/>
          </w:tcPr>
          <w:p w:rsidR="00554C8B" w:rsidRPr="005A4D3E" w:rsidRDefault="00554C8B" w:rsidP="001E1439">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rPr>
            </w:pPr>
            <w:r w:rsidRPr="005A4D3E">
              <w:rPr>
                <w:rFonts w:asciiTheme="majorHAnsi" w:eastAsia="MS Mincho" w:hAnsiTheme="majorHAnsi" w:cstheme="majorHAnsi"/>
                <w:i/>
              </w:rPr>
              <w:t>100,0</w:t>
            </w:r>
          </w:p>
        </w:tc>
      </w:tr>
    </w:tbl>
    <w:p w:rsidR="00554C8B" w:rsidRPr="00823189" w:rsidRDefault="00554C8B" w:rsidP="00554C8B">
      <w:pPr>
        <w:spacing w:after="0" w:line="257" w:lineRule="auto"/>
        <w:jc w:val="both"/>
        <w:rPr>
          <w:rFonts w:asciiTheme="majorHAnsi" w:eastAsia="MS Mincho" w:hAnsiTheme="majorHAnsi" w:cstheme="majorHAnsi"/>
          <w:sz w:val="20"/>
          <w:szCs w:val="20"/>
          <w:lang w:eastAsia="ja-JP"/>
        </w:rPr>
      </w:pPr>
      <w:r w:rsidRPr="00D82D99">
        <w:rPr>
          <w:rFonts w:asciiTheme="majorHAnsi" w:eastAsia="MS Mincho" w:hAnsiTheme="majorHAnsi" w:cstheme="majorHAnsi"/>
          <w:b/>
          <w:i/>
          <w:sz w:val="20"/>
          <w:szCs w:val="20"/>
          <w:lang w:eastAsia="ja-JP"/>
        </w:rPr>
        <w:t>*Notă:</w:t>
      </w:r>
      <w:r w:rsidRPr="00782881">
        <w:rPr>
          <w:rFonts w:asciiTheme="majorHAnsi" w:eastAsia="MS Mincho" w:hAnsiTheme="majorHAnsi" w:cstheme="majorHAnsi"/>
          <w:b/>
          <w:sz w:val="20"/>
          <w:szCs w:val="20"/>
          <w:lang w:eastAsia="ja-JP"/>
        </w:rPr>
        <w:t xml:space="preserve"> </w:t>
      </w:r>
      <w:r w:rsidRPr="00782881">
        <w:rPr>
          <w:rFonts w:asciiTheme="majorHAnsi" w:eastAsia="MS Mincho" w:hAnsiTheme="majorHAnsi" w:cstheme="majorHAnsi"/>
          <w:i/>
          <w:sz w:val="20"/>
          <w:szCs w:val="20"/>
          <w:lang w:eastAsia="ja-JP"/>
        </w:rPr>
        <w:t>Sinteza executării transferurilor cu destinație specială se prezintă în Tabelu</w:t>
      </w:r>
      <w:r w:rsidR="00782881">
        <w:rPr>
          <w:rFonts w:asciiTheme="majorHAnsi" w:eastAsia="MS Mincho" w:hAnsiTheme="majorHAnsi" w:cstheme="majorHAnsi"/>
          <w:i/>
          <w:sz w:val="20"/>
          <w:szCs w:val="20"/>
          <w:lang w:eastAsia="ja-JP"/>
        </w:rPr>
        <w:t>l nr.4 din Anexa nr.6</w:t>
      </w:r>
      <w:r w:rsidRPr="00782881">
        <w:rPr>
          <w:rFonts w:asciiTheme="majorHAnsi" w:eastAsia="MS Mincho" w:hAnsiTheme="majorHAnsi" w:cstheme="majorHAnsi"/>
          <w:i/>
          <w:sz w:val="20"/>
          <w:szCs w:val="20"/>
          <w:lang w:eastAsia="ja-JP"/>
        </w:rPr>
        <w:t xml:space="preserve"> la prezentul Raport de audit.</w:t>
      </w:r>
    </w:p>
    <w:p w:rsidR="00554C8B" w:rsidRPr="00823189" w:rsidRDefault="00554C8B" w:rsidP="00554C8B">
      <w:pPr>
        <w:spacing w:line="256" w:lineRule="auto"/>
        <w:jc w:val="both"/>
        <w:rPr>
          <w:rFonts w:asciiTheme="majorHAnsi" w:eastAsia="MS Mincho" w:hAnsiTheme="majorHAnsi" w:cstheme="majorHAnsi"/>
          <w:i/>
          <w:sz w:val="20"/>
          <w:szCs w:val="20"/>
          <w:lang w:eastAsia="ja-JP"/>
        </w:rPr>
      </w:pPr>
      <w:r w:rsidRPr="00823189">
        <w:rPr>
          <w:rFonts w:asciiTheme="majorHAnsi" w:eastAsia="MS Mincho" w:hAnsiTheme="majorHAnsi" w:cstheme="majorHAnsi"/>
          <w:b/>
          <w:i/>
          <w:sz w:val="20"/>
          <w:szCs w:val="20"/>
          <w:lang w:eastAsia="ja-JP"/>
        </w:rPr>
        <w:t>Sursă:</w:t>
      </w:r>
      <w:r w:rsidRPr="00823189">
        <w:rPr>
          <w:rFonts w:asciiTheme="majorHAnsi" w:eastAsia="MS Mincho" w:hAnsiTheme="majorHAnsi" w:cstheme="majorHAnsi"/>
          <w:b/>
          <w:sz w:val="20"/>
          <w:szCs w:val="20"/>
          <w:lang w:eastAsia="ja-JP"/>
        </w:rPr>
        <w:t xml:space="preserve"> </w:t>
      </w:r>
      <w:r w:rsidRPr="00823189">
        <w:rPr>
          <w:rFonts w:asciiTheme="majorHAnsi" w:eastAsia="MS Mincho" w:hAnsiTheme="majorHAnsi" w:cstheme="majorHAnsi"/>
          <w:i/>
          <w:sz w:val="20"/>
          <w:szCs w:val="20"/>
          <w:lang w:eastAsia="ja-JP"/>
        </w:rPr>
        <w:t>Informații generalizate de echipa de audit în baza datelor din Raportul privind executarea bugetului de stat pe anul 2018, Formularul nr.5.</w:t>
      </w:r>
    </w:p>
    <w:p w:rsidR="00B95415" w:rsidRDefault="00B95415" w:rsidP="00B95415">
      <w:pPr>
        <w:shd w:val="clear" w:color="auto" w:fill="FFFFFF" w:themeFill="background1"/>
        <w:spacing w:after="0" w:line="276" w:lineRule="auto"/>
        <w:ind w:firstLine="709"/>
        <w:jc w:val="both"/>
        <w:rPr>
          <w:rFonts w:asciiTheme="majorHAnsi" w:eastAsia="MS Mincho" w:hAnsiTheme="majorHAnsi" w:cstheme="majorHAnsi"/>
          <w:sz w:val="24"/>
          <w:szCs w:val="24"/>
          <w:lang w:eastAsia="ja-JP"/>
        </w:rPr>
      </w:pPr>
      <w:r w:rsidRPr="00097B2B">
        <w:rPr>
          <w:rFonts w:asciiTheme="majorHAnsi" w:eastAsia="MS Mincho" w:hAnsiTheme="majorHAnsi" w:cstheme="majorHAnsi"/>
          <w:sz w:val="24"/>
          <w:szCs w:val="24"/>
          <w:lang w:eastAsia="ja-JP"/>
        </w:rPr>
        <w:t xml:space="preserve">Constatările auditului referitor la conformitatea efectuării transferurilor din </w:t>
      </w:r>
      <w:r>
        <w:rPr>
          <w:rFonts w:asciiTheme="majorHAnsi" w:eastAsia="MS Mincho" w:hAnsiTheme="majorHAnsi" w:cstheme="majorHAnsi"/>
          <w:sz w:val="24"/>
          <w:szCs w:val="24"/>
          <w:lang w:eastAsia="ja-JP"/>
        </w:rPr>
        <w:t>fondul de compensare</w:t>
      </w:r>
      <w:r w:rsidRPr="00097B2B">
        <w:rPr>
          <w:rFonts w:asciiTheme="majorHAnsi" w:eastAsia="MS Mincho" w:hAnsiTheme="majorHAnsi" w:cstheme="majorHAnsi"/>
          <w:sz w:val="24"/>
          <w:szCs w:val="24"/>
          <w:lang w:eastAsia="ja-JP"/>
        </w:rPr>
        <w:t xml:space="preserve"> reiterează că, deși Guvernul a fost abilitat cu dreptul de a forma în componența </w:t>
      </w:r>
      <w:r w:rsidR="00D56A28">
        <w:rPr>
          <w:rFonts w:asciiTheme="majorHAnsi" w:eastAsia="MS Mincho" w:hAnsiTheme="majorHAnsi" w:cstheme="majorHAnsi"/>
          <w:sz w:val="24"/>
          <w:szCs w:val="24"/>
          <w:lang w:eastAsia="ja-JP"/>
        </w:rPr>
        <w:t>BS</w:t>
      </w:r>
      <w:r w:rsidRPr="00097B2B">
        <w:rPr>
          <w:rFonts w:asciiTheme="majorHAnsi" w:eastAsia="MS Mincho" w:hAnsiTheme="majorHAnsi" w:cstheme="majorHAnsi"/>
          <w:sz w:val="24"/>
          <w:szCs w:val="24"/>
          <w:lang w:eastAsia="ja-JP"/>
        </w:rPr>
        <w:t xml:space="preserve"> un fond de compensare</w:t>
      </w:r>
      <w:r w:rsidRPr="00097B2B">
        <w:rPr>
          <w:rStyle w:val="FootnoteReference"/>
          <w:rFonts w:asciiTheme="majorHAnsi" w:eastAsia="MS Mincho" w:hAnsiTheme="majorHAnsi" w:cstheme="majorHAnsi"/>
          <w:sz w:val="24"/>
          <w:szCs w:val="24"/>
          <w:lang w:eastAsia="ja-JP"/>
        </w:rPr>
        <w:footnoteReference w:id="34"/>
      </w:r>
      <w:r w:rsidRPr="00097B2B">
        <w:rPr>
          <w:rFonts w:asciiTheme="majorHAnsi" w:eastAsia="MS Mincho" w:hAnsiTheme="majorHAnsi" w:cstheme="majorHAnsi"/>
          <w:sz w:val="24"/>
          <w:szCs w:val="24"/>
          <w:lang w:eastAsia="ja-JP"/>
        </w:rPr>
        <w:t xml:space="preserve">, în proporție de până la 1% din veniturile </w:t>
      </w:r>
      <w:r w:rsidR="00D56A28">
        <w:rPr>
          <w:rFonts w:asciiTheme="majorHAnsi" w:eastAsia="MS Mincho" w:hAnsiTheme="majorHAnsi" w:cstheme="majorHAnsi"/>
          <w:sz w:val="24"/>
          <w:szCs w:val="24"/>
          <w:lang w:eastAsia="ja-JP"/>
        </w:rPr>
        <w:t>BS</w:t>
      </w:r>
      <w:r w:rsidRPr="00097B2B">
        <w:rPr>
          <w:rFonts w:asciiTheme="majorHAnsi" w:eastAsia="MS Mincho" w:hAnsiTheme="majorHAnsi" w:cstheme="majorHAnsi"/>
          <w:sz w:val="24"/>
          <w:szCs w:val="24"/>
          <w:lang w:eastAsia="ja-JP"/>
        </w:rPr>
        <w:t xml:space="preserve"> pe o perioadă de 2 ani (2015 și 2016)</w:t>
      </w:r>
      <w:r w:rsidR="00D56A28">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pentru acoperirea riscurilor apărute în urma descentralizării financiare a UAT, a</w:t>
      </w:r>
      <w:r>
        <w:rPr>
          <w:rFonts w:asciiTheme="majorHAnsi" w:eastAsia="MS Mincho" w:hAnsiTheme="majorHAnsi" w:cstheme="majorHAnsi"/>
          <w:sz w:val="24"/>
          <w:szCs w:val="24"/>
          <w:lang w:eastAsia="ja-JP"/>
        </w:rPr>
        <w:t>ceastă prevedere s-a menținut</w:t>
      </w:r>
      <w:r w:rsidRPr="00097B2B">
        <w:rPr>
          <w:rFonts w:asciiTheme="majorHAnsi" w:eastAsia="MS Mincho" w:hAnsiTheme="majorHAnsi" w:cstheme="majorHAnsi"/>
          <w:sz w:val="24"/>
          <w:szCs w:val="24"/>
          <w:lang w:eastAsia="ja-JP"/>
        </w:rPr>
        <w:t xml:space="preserve"> pentru anul 2017 cu un volum de până la 0,5%</w:t>
      </w:r>
      <w:r w:rsidR="00793C62">
        <w:rPr>
          <w:rFonts w:ascii="Times New Roman" w:eastAsia="MS Mincho" w:hAnsi="Times New Roman" w:cs="Times New Roman"/>
          <w:sz w:val="24"/>
          <w:szCs w:val="24"/>
          <w:lang w:eastAsia="ja-JP"/>
        </w:rPr>
        <w:t xml:space="preserve"> </w:t>
      </w:r>
      <w:r w:rsidRPr="00097B2B">
        <w:rPr>
          <w:rFonts w:asciiTheme="majorHAnsi" w:eastAsia="MS Mincho" w:hAnsiTheme="majorHAnsi" w:cstheme="majorHAnsi"/>
          <w:sz w:val="24"/>
          <w:szCs w:val="24"/>
          <w:lang w:eastAsia="ja-JP"/>
        </w:rPr>
        <w:t>din veniturile BS și pentru anul 2018 fără a fi stabilit cuantumul. Astfel</w:t>
      </w:r>
      <w:r>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în anul 2018 au fost executate transferuri</w:t>
      </w:r>
      <w:r w:rsidR="00793C62">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sz w:val="24"/>
          <w:szCs w:val="24"/>
          <w:lang w:eastAsia="ja-JP"/>
        </w:rPr>
        <w:t>din fondul de compensare în vol</w:t>
      </w:r>
      <w:r>
        <w:rPr>
          <w:rFonts w:asciiTheme="majorHAnsi" w:eastAsia="MS Mincho" w:hAnsiTheme="majorHAnsi" w:cstheme="majorHAnsi"/>
          <w:sz w:val="24"/>
          <w:szCs w:val="24"/>
          <w:lang w:eastAsia="ja-JP"/>
        </w:rPr>
        <w:t>um de 8,6 mil.</w:t>
      </w:r>
      <w:r w:rsidR="00D56A28">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Pr>
          <w:rFonts w:asciiTheme="majorHAnsi" w:eastAsia="MS Mincho" w:hAnsiTheme="majorHAnsi" w:cstheme="majorHAnsi"/>
          <w:sz w:val="24"/>
          <w:szCs w:val="24"/>
          <w:lang w:eastAsia="ja-JP"/>
        </w:rPr>
        <w:t>,</w:t>
      </w:r>
      <w:r w:rsidR="00793C62">
        <w:rPr>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 xml:space="preserve">cu 75,7 mil. </w:t>
      </w:r>
      <w:r w:rsidR="007160B9">
        <w:rPr>
          <w:rFonts w:asciiTheme="majorHAnsi" w:eastAsia="MS Mincho" w:hAnsiTheme="majorHAnsi" w:cstheme="majorHAnsi"/>
          <w:sz w:val="24"/>
          <w:szCs w:val="24"/>
          <w:lang w:eastAsia="ja-JP"/>
        </w:rPr>
        <w:t>MDL</w:t>
      </w:r>
      <w:r>
        <w:rPr>
          <w:rFonts w:asciiTheme="majorHAnsi" w:eastAsia="MS Mincho" w:hAnsiTheme="majorHAnsi" w:cstheme="majorHAnsi"/>
          <w:sz w:val="24"/>
          <w:szCs w:val="24"/>
          <w:lang w:eastAsia="ja-JP"/>
        </w:rPr>
        <w:t xml:space="preserve"> mai puțin față de anul 2017.</w:t>
      </w:r>
    </w:p>
    <w:p w:rsidR="00B95415" w:rsidRPr="00D76609" w:rsidRDefault="00B95415" w:rsidP="00B95415">
      <w:pPr>
        <w:shd w:val="clear" w:color="auto" w:fill="FFFFFF" w:themeFill="background1"/>
        <w:spacing w:after="0" w:line="276" w:lineRule="auto"/>
        <w:ind w:right="9" w:firstLine="720"/>
        <w:jc w:val="both"/>
        <w:rPr>
          <w:rFonts w:asciiTheme="majorHAnsi" w:hAnsiTheme="majorHAnsi" w:cstheme="majorHAnsi"/>
          <w:sz w:val="24"/>
          <w:szCs w:val="24"/>
        </w:rPr>
      </w:pPr>
      <w:r>
        <w:rPr>
          <w:rFonts w:asciiTheme="majorHAnsi" w:hAnsiTheme="majorHAnsi" w:cstheme="majorHAnsi"/>
          <w:sz w:val="24"/>
          <w:szCs w:val="24"/>
        </w:rPr>
        <w:lastRenderedPageBreak/>
        <w:t>Concomitent,</w:t>
      </w:r>
      <w:r w:rsidRPr="004A605A">
        <w:rPr>
          <w:rFonts w:asciiTheme="majorHAnsi" w:hAnsiTheme="majorHAnsi" w:cstheme="majorHAnsi"/>
          <w:sz w:val="24"/>
          <w:szCs w:val="24"/>
        </w:rPr>
        <w:t xml:space="preserve"> din </w:t>
      </w:r>
      <w:r w:rsidR="00D56A28">
        <w:rPr>
          <w:rFonts w:asciiTheme="majorHAnsi" w:hAnsiTheme="majorHAnsi" w:cstheme="majorHAnsi"/>
          <w:sz w:val="24"/>
          <w:szCs w:val="24"/>
        </w:rPr>
        <w:t>BS</w:t>
      </w:r>
      <w:r w:rsidRPr="004A605A">
        <w:rPr>
          <w:rFonts w:asciiTheme="majorHAnsi" w:hAnsiTheme="majorHAnsi" w:cstheme="majorHAnsi"/>
          <w:sz w:val="24"/>
          <w:szCs w:val="24"/>
        </w:rPr>
        <w:t xml:space="preserve"> au fost alocate transferuri cu destinaț</w:t>
      </w:r>
      <w:r>
        <w:rPr>
          <w:rFonts w:asciiTheme="majorHAnsi" w:hAnsiTheme="majorHAnsi" w:cstheme="majorHAnsi"/>
          <w:sz w:val="24"/>
          <w:szCs w:val="24"/>
        </w:rPr>
        <w:t>ie</w:t>
      </w:r>
      <w:r w:rsidRPr="00096B1F">
        <w:rPr>
          <w:rFonts w:asciiTheme="majorHAnsi" w:hAnsiTheme="majorHAnsi" w:cstheme="majorHAnsi"/>
          <w:sz w:val="24"/>
          <w:szCs w:val="24"/>
        </w:rPr>
        <w:t xml:space="preserve"> </w:t>
      </w:r>
      <w:r>
        <w:rPr>
          <w:rFonts w:asciiTheme="majorHAnsi" w:hAnsiTheme="majorHAnsi" w:cstheme="majorHAnsi"/>
          <w:sz w:val="24"/>
          <w:szCs w:val="24"/>
        </w:rPr>
        <w:t>specială</w:t>
      </w:r>
      <w:r w:rsidRPr="004A605A">
        <w:rPr>
          <w:rFonts w:asciiTheme="majorHAnsi" w:hAnsiTheme="majorHAnsi" w:cstheme="majorHAnsi"/>
          <w:sz w:val="24"/>
          <w:szCs w:val="24"/>
        </w:rPr>
        <w:t xml:space="preserve">, care nu sunt parte componentă a Anexei nr.5 </w:t>
      </w:r>
      <w:r w:rsidR="00A276DF">
        <w:rPr>
          <w:rFonts w:asciiTheme="majorHAnsi" w:hAnsiTheme="majorHAnsi" w:cstheme="majorHAnsi"/>
          <w:sz w:val="24"/>
          <w:szCs w:val="24"/>
        </w:rPr>
        <w:t>la</w:t>
      </w:r>
      <w:r w:rsidRPr="004A605A">
        <w:rPr>
          <w:rFonts w:asciiTheme="majorHAnsi" w:hAnsiTheme="majorHAnsi" w:cstheme="majorHAnsi"/>
          <w:sz w:val="24"/>
          <w:szCs w:val="24"/>
        </w:rPr>
        <w:t xml:space="preserve"> Legea bugetului de stat pentru anul 2018</w:t>
      </w:r>
      <w:r w:rsidR="002B3276" w:rsidRPr="004A605A">
        <w:rPr>
          <w:rStyle w:val="FootnoteReference"/>
          <w:rFonts w:asciiTheme="majorHAnsi" w:hAnsiTheme="majorHAnsi" w:cstheme="majorHAnsi"/>
          <w:sz w:val="24"/>
          <w:szCs w:val="24"/>
        </w:rPr>
        <w:footnoteReference w:id="35"/>
      </w:r>
      <w:r w:rsidR="00A276DF">
        <w:rPr>
          <w:rFonts w:asciiTheme="majorHAnsi" w:hAnsiTheme="majorHAnsi" w:cstheme="majorHAnsi"/>
          <w:sz w:val="24"/>
          <w:szCs w:val="24"/>
        </w:rPr>
        <w:t>,</w:t>
      </w:r>
      <w:r w:rsidRPr="00096B1F">
        <w:rPr>
          <w:rFonts w:asciiTheme="majorHAnsi" w:hAnsiTheme="majorHAnsi" w:cstheme="majorHAnsi"/>
          <w:sz w:val="24"/>
          <w:szCs w:val="24"/>
        </w:rPr>
        <w:t xml:space="preserve"> </w:t>
      </w:r>
      <w:r>
        <w:rPr>
          <w:rFonts w:asciiTheme="majorHAnsi" w:hAnsiTheme="majorHAnsi" w:cstheme="majorHAnsi"/>
          <w:sz w:val="24"/>
          <w:szCs w:val="24"/>
        </w:rPr>
        <w:t>în valoare de 421,6</w:t>
      </w:r>
      <w:r w:rsidRPr="004A605A">
        <w:rPr>
          <w:rFonts w:asciiTheme="majorHAnsi" w:hAnsiTheme="majorHAnsi" w:cstheme="majorHAnsi"/>
          <w:color w:val="FF0000"/>
          <w:sz w:val="24"/>
          <w:szCs w:val="24"/>
        </w:rPr>
        <w:t xml:space="preserve"> </w:t>
      </w:r>
      <w:r w:rsidRPr="004A605A">
        <w:rPr>
          <w:rFonts w:asciiTheme="majorHAnsi" w:hAnsiTheme="majorHAnsi" w:cstheme="majorHAnsi"/>
          <w:sz w:val="24"/>
          <w:szCs w:val="24"/>
        </w:rPr>
        <w:t>mil.</w:t>
      </w:r>
      <w:r w:rsidR="002B3276">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dintre care 302,3 mil.</w:t>
      </w:r>
      <w:r w:rsidR="002B3276">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xml:space="preserve"> </w:t>
      </w:r>
      <w:r w:rsidR="00A276DF">
        <w:rPr>
          <w:rFonts w:asciiTheme="majorHAnsi" w:hAnsiTheme="majorHAnsi" w:cstheme="majorHAnsi"/>
          <w:sz w:val="24"/>
          <w:szCs w:val="24"/>
        </w:rPr>
        <w:t xml:space="preserve">– </w:t>
      </w:r>
      <w:r>
        <w:rPr>
          <w:rFonts w:asciiTheme="majorHAnsi" w:hAnsiTheme="majorHAnsi" w:cstheme="majorHAnsi"/>
          <w:sz w:val="24"/>
          <w:szCs w:val="24"/>
        </w:rPr>
        <w:t>din fondurile naționale</w:t>
      </w:r>
      <w:r w:rsidR="00A276DF">
        <w:rPr>
          <w:rFonts w:asciiTheme="majorHAnsi" w:hAnsiTheme="majorHAnsi" w:cstheme="majorHAnsi"/>
          <w:sz w:val="24"/>
          <w:szCs w:val="24"/>
        </w:rPr>
        <w:t>,</w:t>
      </w:r>
      <w:r w:rsidRPr="0075243E">
        <w:rPr>
          <w:rFonts w:asciiTheme="majorHAnsi" w:hAnsiTheme="majorHAnsi" w:cstheme="majorHAnsi"/>
          <w:sz w:val="24"/>
          <w:szCs w:val="24"/>
        </w:rPr>
        <w:t xml:space="preserve"> </w:t>
      </w:r>
      <w:r>
        <w:rPr>
          <w:rFonts w:asciiTheme="majorHAnsi" w:hAnsiTheme="majorHAnsi" w:cstheme="majorHAnsi"/>
          <w:sz w:val="24"/>
          <w:szCs w:val="24"/>
        </w:rPr>
        <w:t>după cum urmează:</w:t>
      </w:r>
    </w:p>
    <w:p w:rsidR="00B95415" w:rsidRPr="00097B2B" w:rsidRDefault="00B95415" w:rsidP="00B95415">
      <w:pPr>
        <w:pStyle w:val="ListParagraph"/>
        <w:numPr>
          <w:ilvl w:val="0"/>
          <w:numId w:val="13"/>
        </w:numPr>
        <w:shd w:val="clear" w:color="auto" w:fill="FFFFFF" w:themeFill="background1"/>
        <w:spacing w:after="0" w:line="276" w:lineRule="auto"/>
        <w:ind w:right="9"/>
        <w:jc w:val="both"/>
        <w:rPr>
          <w:rFonts w:asciiTheme="majorHAnsi" w:hAnsiTheme="majorHAnsi" w:cstheme="majorHAnsi"/>
          <w:sz w:val="24"/>
          <w:szCs w:val="24"/>
        </w:rPr>
      </w:pPr>
      <w:r w:rsidRPr="00097B2B">
        <w:rPr>
          <w:rFonts w:asciiTheme="majorHAnsi" w:hAnsiTheme="majorHAnsi" w:cstheme="majorHAnsi"/>
          <w:sz w:val="24"/>
          <w:szCs w:val="24"/>
        </w:rPr>
        <w:t>Fondul Ecologic Național din Moldova –</w:t>
      </w:r>
      <w:r w:rsidR="00A276DF">
        <w:rPr>
          <w:rFonts w:asciiTheme="majorHAnsi" w:hAnsiTheme="majorHAnsi" w:cstheme="majorHAnsi"/>
          <w:sz w:val="24"/>
          <w:szCs w:val="24"/>
        </w:rPr>
        <w:t xml:space="preserve"> </w:t>
      </w:r>
      <w:r w:rsidRPr="00097B2B">
        <w:rPr>
          <w:rFonts w:asciiTheme="majorHAnsi" w:hAnsiTheme="majorHAnsi" w:cstheme="majorHAnsi"/>
          <w:sz w:val="24"/>
          <w:szCs w:val="24"/>
        </w:rPr>
        <w:t>215,5 mil.</w:t>
      </w:r>
      <w:r w:rsidR="00A276DF">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97B2B">
        <w:rPr>
          <w:rFonts w:asciiTheme="majorHAnsi" w:hAnsiTheme="majorHAnsi" w:cstheme="majorHAnsi"/>
          <w:sz w:val="24"/>
          <w:szCs w:val="24"/>
        </w:rPr>
        <w:t>;</w:t>
      </w:r>
    </w:p>
    <w:p w:rsidR="00B95415" w:rsidRPr="00097B2B" w:rsidRDefault="00B95415" w:rsidP="00B95415">
      <w:pPr>
        <w:pStyle w:val="ListParagraph"/>
        <w:numPr>
          <w:ilvl w:val="0"/>
          <w:numId w:val="13"/>
        </w:numPr>
        <w:shd w:val="clear" w:color="auto" w:fill="FFFFFF" w:themeFill="background1"/>
        <w:spacing w:after="0" w:line="276" w:lineRule="auto"/>
        <w:ind w:right="9"/>
        <w:jc w:val="both"/>
        <w:rPr>
          <w:rFonts w:asciiTheme="majorHAnsi" w:hAnsiTheme="majorHAnsi" w:cstheme="majorHAnsi"/>
          <w:sz w:val="24"/>
          <w:szCs w:val="24"/>
        </w:rPr>
      </w:pPr>
      <w:r w:rsidRPr="00097B2B">
        <w:rPr>
          <w:rFonts w:asciiTheme="majorHAnsi" w:hAnsiTheme="majorHAnsi" w:cstheme="majorHAnsi"/>
          <w:sz w:val="24"/>
          <w:szCs w:val="24"/>
        </w:rPr>
        <w:t>Fondul de Investiții Sociale din Moldova – 6,3 mil.</w:t>
      </w:r>
      <w:r w:rsidR="00A276DF">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97B2B">
        <w:rPr>
          <w:rFonts w:asciiTheme="majorHAnsi" w:hAnsiTheme="majorHAnsi" w:cstheme="majorHAnsi"/>
          <w:sz w:val="24"/>
          <w:szCs w:val="24"/>
        </w:rPr>
        <w:t xml:space="preserve">; </w:t>
      </w:r>
    </w:p>
    <w:p w:rsidR="00B95415" w:rsidRPr="00097B2B" w:rsidRDefault="00B95415" w:rsidP="00B95415">
      <w:pPr>
        <w:pStyle w:val="ListParagraph"/>
        <w:numPr>
          <w:ilvl w:val="0"/>
          <w:numId w:val="13"/>
        </w:numPr>
        <w:shd w:val="clear" w:color="auto" w:fill="FFFFFF" w:themeFill="background1"/>
        <w:spacing w:after="0" w:line="276" w:lineRule="auto"/>
        <w:ind w:right="9"/>
        <w:jc w:val="both"/>
        <w:rPr>
          <w:rFonts w:asciiTheme="majorHAnsi" w:hAnsiTheme="majorHAnsi" w:cstheme="majorHAnsi"/>
          <w:sz w:val="24"/>
          <w:szCs w:val="24"/>
        </w:rPr>
      </w:pPr>
      <w:r w:rsidRPr="00097B2B">
        <w:rPr>
          <w:rFonts w:asciiTheme="majorHAnsi" w:hAnsiTheme="majorHAnsi" w:cstheme="majorHAnsi"/>
          <w:sz w:val="24"/>
          <w:szCs w:val="24"/>
        </w:rPr>
        <w:t xml:space="preserve">Fondul de Susținere </w:t>
      </w:r>
      <w:r w:rsidR="00CB75A2">
        <w:rPr>
          <w:rFonts w:asciiTheme="majorHAnsi" w:hAnsiTheme="majorHAnsi" w:cstheme="majorHAnsi"/>
          <w:sz w:val="24"/>
          <w:szCs w:val="24"/>
        </w:rPr>
        <w:t>a Populației – 60,6</w:t>
      </w:r>
      <w:r w:rsidRPr="00097B2B">
        <w:rPr>
          <w:rFonts w:asciiTheme="majorHAnsi" w:hAnsiTheme="majorHAnsi" w:cstheme="majorHAnsi"/>
          <w:sz w:val="24"/>
          <w:szCs w:val="24"/>
        </w:rPr>
        <w:t xml:space="preserve"> mil.</w:t>
      </w:r>
      <w:r w:rsidR="00A276DF">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97B2B">
        <w:rPr>
          <w:rFonts w:asciiTheme="majorHAnsi" w:hAnsiTheme="majorHAnsi" w:cstheme="majorHAnsi"/>
          <w:sz w:val="24"/>
          <w:szCs w:val="24"/>
        </w:rPr>
        <w:t>;</w:t>
      </w:r>
    </w:p>
    <w:p w:rsidR="00B95415" w:rsidRPr="00097B2B" w:rsidRDefault="00B95415" w:rsidP="00B95415">
      <w:pPr>
        <w:pStyle w:val="ListParagraph"/>
        <w:numPr>
          <w:ilvl w:val="0"/>
          <w:numId w:val="13"/>
        </w:numPr>
        <w:shd w:val="clear" w:color="auto" w:fill="FFFFFF" w:themeFill="background1"/>
        <w:spacing w:after="0" w:line="276" w:lineRule="auto"/>
        <w:ind w:right="9"/>
        <w:jc w:val="both"/>
        <w:rPr>
          <w:rFonts w:asciiTheme="majorHAnsi" w:hAnsiTheme="majorHAnsi" w:cstheme="majorHAnsi"/>
          <w:sz w:val="24"/>
          <w:szCs w:val="24"/>
        </w:rPr>
      </w:pPr>
      <w:r w:rsidRPr="00097B2B">
        <w:rPr>
          <w:rFonts w:asciiTheme="majorHAnsi" w:hAnsiTheme="majorHAnsi" w:cstheme="majorHAnsi"/>
          <w:sz w:val="24"/>
          <w:szCs w:val="24"/>
        </w:rPr>
        <w:t>Fondu</w:t>
      </w:r>
      <w:r w:rsidR="006121F2">
        <w:rPr>
          <w:rFonts w:asciiTheme="majorHAnsi" w:hAnsiTheme="majorHAnsi" w:cstheme="majorHAnsi"/>
          <w:sz w:val="24"/>
          <w:szCs w:val="24"/>
        </w:rPr>
        <w:t>ri</w:t>
      </w:r>
      <w:r w:rsidRPr="00097B2B">
        <w:rPr>
          <w:rFonts w:asciiTheme="majorHAnsi" w:hAnsiTheme="majorHAnsi" w:cstheme="majorHAnsi"/>
          <w:sz w:val="24"/>
          <w:szCs w:val="24"/>
        </w:rPr>
        <w:t>l</w:t>
      </w:r>
      <w:r w:rsidR="006121F2">
        <w:rPr>
          <w:rFonts w:asciiTheme="majorHAnsi" w:hAnsiTheme="majorHAnsi" w:cstheme="majorHAnsi"/>
          <w:sz w:val="24"/>
          <w:szCs w:val="24"/>
        </w:rPr>
        <w:t>e</w:t>
      </w:r>
      <w:r w:rsidRPr="00097B2B">
        <w:rPr>
          <w:rFonts w:asciiTheme="majorHAnsi" w:hAnsiTheme="majorHAnsi" w:cstheme="majorHAnsi"/>
          <w:sz w:val="24"/>
          <w:szCs w:val="24"/>
        </w:rPr>
        <w:t xml:space="preserve"> de </w:t>
      </w:r>
      <w:r w:rsidR="00CB75A2">
        <w:rPr>
          <w:rFonts w:asciiTheme="majorHAnsi" w:hAnsiTheme="majorHAnsi" w:cstheme="majorHAnsi"/>
          <w:sz w:val="24"/>
          <w:szCs w:val="24"/>
        </w:rPr>
        <w:t>urgență</w:t>
      </w:r>
      <w:r w:rsidRPr="00097B2B">
        <w:rPr>
          <w:rFonts w:asciiTheme="majorHAnsi" w:hAnsiTheme="majorHAnsi" w:cstheme="majorHAnsi"/>
          <w:sz w:val="24"/>
          <w:szCs w:val="24"/>
        </w:rPr>
        <w:t xml:space="preserve"> al</w:t>
      </w:r>
      <w:r w:rsidR="006121F2">
        <w:rPr>
          <w:rFonts w:asciiTheme="majorHAnsi" w:hAnsiTheme="majorHAnsi" w:cstheme="majorHAnsi"/>
          <w:sz w:val="24"/>
          <w:szCs w:val="24"/>
        </w:rPr>
        <w:t>e</w:t>
      </w:r>
      <w:r w:rsidRPr="00097B2B">
        <w:rPr>
          <w:rFonts w:asciiTheme="majorHAnsi" w:hAnsiTheme="majorHAnsi" w:cstheme="majorHAnsi"/>
          <w:sz w:val="24"/>
          <w:szCs w:val="24"/>
        </w:rPr>
        <w:t xml:space="preserve"> Guvernului – 20,0 mil.</w:t>
      </w:r>
      <w:r w:rsidR="00A276DF">
        <w:rPr>
          <w:rFonts w:asciiTheme="majorHAnsi" w:hAnsiTheme="majorHAnsi" w:cstheme="majorHAnsi"/>
          <w:sz w:val="24"/>
          <w:szCs w:val="24"/>
        </w:rPr>
        <w:t xml:space="preserve"> </w:t>
      </w:r>
      <w:r w:rsidR="007160B9">
        <w:rPr>
          <w:rFonts w:asciiTheme="majorHAnsi" w:hAnsiTheme="majorHAnsi" w:cstheme="majorHAnsi"/>
          <w:sz w:val="24"/>
          <w:szCs w:val="24"/>
        </w:rPr>
        <w:t>MDL</w:t>
      </w:r>
      <w:r w:rsidRPr="00097B2B">
        <w:rPr>
          <w:rFonts w:asciiTheme="majorHAnsi" w:hAnsiTheme="majorHAnsi" w:cstheme="majorHAnsi"/>
          <w:sz w:val="24"/>
          <w:szCs w:val="24"/>
        </w:rPr>
        <w:t xml:space="preserve">. </w:t>
      </w:r>
    </w:p>
    <w:p w:rsidR="00B95415" w:rsidRDefault="00B95415" w:rsidP="005D620A">
      <w:pPr>
        <w:spacing w:after="0" w:line="276" w:lineRule="auto"/>
        <w:ind w:right="9" w:firstLine="709"/>
        <w:jc w:val="both"/>
        <w:rPr>
          <w:rFonts w:asciiTheme="majorHAnsi" w:hAnsiTheme="majorHAnsi" w:cstheme="majorHAnsi"/>
          <w:sz w:val="24"/>
          <w:szCs w:val="24"/>
        </w:rPr>
      </w:pPr>
      <w:r w:rsidRPr="00016C17">
        <w:rPr>
          <w:rFonts w:asciiTheme="majorHAnsi" w:hAnsiTheme="majorHAnsi" w:cstheme="majorHAnsi"/>
          <w:sz w:val="24"/>
          <w:szCs w:val="24"/>
        </w:rPr>
        <w:t xml:space="preserve">Pentru asigurarea principiului de transparență în efectuarea transferurilor de la </w:t>
      </w:r>
      <w:r w:rsidR="005D620A">
        <w:rPr>
          <w:rFonts w:asciiTheme="majorHAnsi" w:hAnsiTheme="majorHAnsi" w:cstheme="majorHAnsi"/>
          <w:sz w:val="24"/>
          <w:szCs w:val="24"/>
        </w:rPr>
        <w:t>BS</w:t>
      </w:r>
      <w:r w:rsidRPr="00016C17">
        <w:rPr>
          <w:rFonts w:asciiTheme="majorHAnsi" w:hAnsiTheme="majorHAnsi" w:cstheme="majorHAnsi"/>
          <w:sz w:val="24"/>
          <w:szCs w:val="24"/>
        </w:rPr>
        <w:t xml:space="preserve"> către bugetele locale, echipa de audit consideră </w:t>
      </w:r>
      <w:r w:rsidR="005D620A">
        <w:rPr>
          <w:rFonts w:asciiTheme="majorHAnsi" w:hAnsiTheme="majorHAnsi" w:cstheme="majorHAnsi"/>
          <w:sz w:val="24"/>
          <w:szCs w:val="24"/>
        </w:rPr>
        <w:t>necesar</w:t>
      </w:r>
      <w:r w:rsidR="00A276DF">
        <w:rPr>
          <w:rFonts w:asciiTheme="majorHAnsi" w:hAnsiTheme="majorHAnsi" w:cstheme="majorHAnsi"/>
          <w:sz w:val="24"/>
          <w:szCs w:val="24"/>
        </w:rPr>
        <w:t>ă</w:t>
      </w:r>
      <w:r w:rsidR="005D620A">
        <w:rPr>
          <w:rFonts w:asciiTheme="majorHAnsi" w:hAnsiTheme="majorHAnsi" w:cstheme="majorHAnsi"/>
          <w:sz w:val="24"/>
          <w:szCs w:val="24"/>
        </w:rPr>
        <w:t xml:space="preserve"> includerea transferurilor respective prin completarea anexei </w:t>
      </w:r>
      <w:r w:rsidRPr="00016C17">
        <w:rPr>
          <w:rFonts w:asciiTheme="majorHAnsi" w:hAnsiTheme="majorHAnsi" w:cstheme="majorHAnsi"/>
          <w:sz w:val="24"/>
          <w:szCs w:val="24"/>
        </w:rPr>
        <w:t xml:space="preserve">corespunzătoare </w:t>
      </w:r>
      <w:r w:rsidR="00A276DF">
        <w:rPr>
          <w:rFonts w:asciiTheme="majorHAnsi" w:hAnsiTheme="majorHAnsi" w:cstheme="majorHAnsi"/>
          <w:sz w:val="24"/>
          <w:szCs w:val="24"/>
        </w:rPr>
        <w:t>la</w:t>
      </w:r>
      <w:r w:rsidRPr="00016C17">
        <w:rPr>
          <w:rFonts w:asciiTheme="majorHAnsi" w:hAnsiTheme="majorHAnsi" w:cstheme="majorHAnsi"/>
          <w:sz w:val="24"/>
          <w:szCs w:val="24"/>
        </w:rPr>
        <w:t xml:space="preserve"> Legea bugetului de stat.</w:t>
      </w:r>
    </w:p>
    <w:p w:rsidR="00B95415" w:rsidRPr="000A1D06" w:rsidRDefault="00B95415" w:rsidP="000A1D06">
      <w:pPr>
        <w:shd w:val="clear" w:color="auto" w:fill="FFFFFF" w:themeFill="background1"/>
        <w:spacing w:after="0" w:line="276" w:lineRule="auto"/>
        <w:ind w:right="9" w:firstLine="709"/>
        <w:jc w:val="both"/>
        <w:rPr>
          <w:rFonts w:asciiTheme="majorHAnsi" w:hAnsiTheme="majorHAnsi" w:cstheme="majorHAnsi"/>
          <w:sz w:val="24"/>
          <w:szCs w:val="24"/>
        </w:rPr>
      </w:pPr>
      <w:r>
        <w:rPr>
          <w:rFonts w:asciiTheme="majorHAnsi" w:hAnsiTheme="majorHAnsi" w:cstheme="majorHAnsi"/>
          <w:sz w:val="24"/>
          <w:szCs w:val="24"/>
        </w:rPr>
        <w:t>Totodată</w:t>
      </w:r>
      <w:r w:rsidRPr="00097B2B">
        <w:rPr>
          <w:rFonts w:asciiTheme="majorHAnsi" w:hAnsiTheme="majorHAnsi" w:cstheme="majorHAnsi"/>
          <w:sz w:val="24"/>
          <w:szCs w:val="24"/>
        </w:rPr>
        <w:t xml:space="preserve">, au fost alocate BUAT transferuri </w:t>
      </w:r>
      <w:r w:rsidR="000A1D06">
        <w:rPr>
          <w:rFonts w:asciiTheme="majorHAnsi" w:hAnsiTheme="majorHAnsi" w:cstheme="majorHAnsi"/>
          <w:sz w:val="24"/>
          <w:szCs w:val="24"/>
        </w:rPr>
        <w:t>în sumă de 119,3 mil.</w:t>
      </w:r>
      <w:r w:rsidR="000C3A69">
        <w:rPr>
          <w:rFonts w:asciiTheme="majorHAnsi" w:hAnsiTheme="majorHAnsi" w:cstheme="majorHAnsi"/>
          <w:sz w:val="24"/>
          <w:szCs w:val="24"/>
        </w:rPr>
        <w:t xml:space="preserve"> </w:t>
      </w:r>
      <w:r w:rsidR="007160B9">
        <w:rPr>
          <w:rFonts w:asciiTheme="majorHAnsi" w:hAnsiTheme="majorHAnsi" w:cstheme="majorHAnsi"/>
          <w:sz w:val="24"/>
          <w:szCs w:val="24"/>
        </w:rPr>
        <w:t>MDL</w:t>
      </w:r>
      <w:r w:rsidR="00A276DF">
        <w:rPr>
          <w:rFonts w:asciiTheme="majorHAnsi" w:hAnsiTheme="majorHAnsi" w:cstheme="majorHAnsi"/>
          <w:sz w:val="24"/>
          <w:szCs w:val="24"/>
        </w:rPr>
        <w:t>,</w:t>
      </w:r>
      <w:r w:rsidR="000C3A69">
        <w:rPr>
          <w:rFonts w:asciiTheme="majorHAnsi" w:hAnsiTheme="majorHAnsi" w:cstheme="majorHAnsi"/>
          <w:sz w:val="24"/>
          <w:szCs w:val="24"/>
        </w:rPr>
        <w:t xml:space="preserve"> altele decât au fost aprobate prin Anexa nr.5 la Legea </w:t>
      </w:r>
      <w:r w:rsidR="00A276DF">
        <w:rPr>
          <w:rFonts w:asciiTheme="majorHAnsi" w:hAnsiTheme="majorHAnsi" w:cstheme="majorHAnsi"/>
          <w:sz w:val="24"/>
          <w:szCs w:val="24"/>
        </w:rPr>
        <w:t>b</w:t>
      </w:r>
      <w:r w:rsidR="000C3A69">
        <w:rPr>
          <w:rFonts w:asciiTheme="majorHAnsi" w:hAnsiTheme="majorHAnsi" w:cstheme="majorHAnsi"/>
          <w:sz w:val="24"/>
          <w:szCs w:val="24"/>
        </w:rPr>
        <w:t xml:space="preserve">ugetului de </w:t>
      </w:r>
      <w:r w:rsidR="00A276DF">
        <w:rPr>
          <w:rFonts w:asciiTheme="majorHAnsi" w:hAnsiTheme="majorHAnsi" w:cstheme="majorHAnsi"/>
          <w:sz w:val="24"/>
          <w:szCs w:val="24"/>
        </w:rPr>
        <w:t>s</w:t>
      </w:r>
      <w:r w:rsidR="000C3A69">
        <w:rPr>
          <w:rFonts w:asciiTheme="majorHAnsi" w:hAnsiTheme="majorHAnsi" w:cstheme="majorHAnsi"/>
          <w:sz w:val="24"/>
          <w:szCs w:val="24"/>
        </w:rPr>
        <w:t>tat</w:t>
      </w:r>
      <w:r w:rsidR="000A1D06">
        <w:rPr>
          <w:rFonts w:asciiTheme="majorHAnsi" w:hAnsiTheme="majorHAnsi" w:cstheme="majorHAnsi"/>
          <w:sz w:val="24"/>
          <w:szCs w:val="24"/>
        </w:rPr>
        <w:t xml:space="preserve">. </w:t>
      </w:r>
      <w:r w:rsidR="000A1D06" w:rsidRPr="000A1D06">
        <w:rPr>
          <w:rFonts w:asciiTheme="majorHAnsi" w:hAnsiTheme="majorHAnsi" w:cstheme="majorHAnsi"/>
          <w:i/>
          <w:sz w:val="24"/>
          <w:szCs w:val="24"/>
        </w:rPr>
        <w:t>Informația deta</w:t>
      </w:r>
      <w:r w:rsidR="00844680">
        <w:rPr>
          <w:rFonts w:asciiTheme="majorHAnsi" w:hAnsiTheme="majorHAnsi" w:cstheme="majorHAnsi"/>
          <w:i/>
          <w:sz w:val="24"/>
          <w:szCs w:val="24"/>
        </w:rPr>
        <w:t>liată se prezintă în Anexa nr.6</w:t>
      </w:r>
      <w:r w:rsidR="000A1D06" w:rsidRPr="000A1D06">
        <w:rPr>
          <w:rFonts w:asciiTheme="majorHAnsi" w:hAnsiTheme="majorHAnsi" w:cstheme="majorHAnsi"/>
          <w:i/>
          <w:sz w:val="24"/>
          <w:szCs w:val="24"/>
        </w:rPr>
        <w:t xml:space="preserve"> la prezentul Raport de audit.</w:t>
      </w:r>
    </w:p>
    <w:p w:rsidR="00B95415" w:rsidRPr="000C3A69" w:rsidRDefault="00B95415" w:rsidP="000C3A69">
      <w:pPr>
        <w:spacing w:after="0" w:line="276" w:lineRule="auto"/>
        <w:ind w:firstLine="720"/>
        <w:jc w:val="both"/>
        <w:rPr>
          <w:rFonts w:asciiTheme="majorHAnsi" w:eastAsia="MS Mincho" w:hAnsiTheme="majorHAnsi" w:cstheme="majorHAnsi"/>
          <w:sz w:val="24"/>
          <w:szCs w:val="24"/>
          <w:lang w:eastAsia="ja-JP"/>
        </w:rPr>
      </w:pPr>
      <w:r w:rsidRPr="000C3A69">
        <w:rPr>
          <w:rFonts w:asciiTheme="majorHAnsi" w:eastAsia="MS Mincho" w:hAnsiTheme="majorHAnsi" w:cstheme="majorHAnsi"/>
          <w:sz w:val="24"/>
          <w:szCs w:val="24"/>
          <w:lang w:eastAsia="ja-JP"/>
        </w:rPr>
        <w:t>Analiza componenței transferurilor cu destinație specială denotă că, cele mai semnificative alocații aferente TDS</w:t>
      </w:r>
      <w:r w:rsidR="00793C62">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revin cheltuielilor pentru învățământul preșcolar, primar, secundar general, special și complementar (extrașcolar), care au fost aprobate în volum de</w:t>
      </w:r>
      <w:r w:rsidR="00793C62">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7</w:t>
      </w:r>
      <w:r w:rsidR="003B0B93">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193,6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sau 85,3% din totalul TDS. În urma rectificărilor</w:t>
      </w:r>
      <w:r w:rsidR="00A276DF">
        <w:rPr>
          <w:rFonts w:asciiTheme="majorHAnsi" w:eastAsia="MS Mincho" w:hAnsiTheme="majorHAnsi" w:cstheme="majorHAnsi"/>
          <w:sz w:val="24"/>
          <w:szCs w:val="24"/>
          <w:lang w:eastAsia="ja-JP"/>
        </w:rPr>
        <w:t>,</w:t>
      </w:r>
      <w:r w:rsidRPr="000C3A69">
        <w:rPr>
          <w:rFonts w:asciiTheme="majorHAnsi" w:eastAsia="MS Mincho" w:hAnsiTheme="majorHAnsi" w:cstheme="majorHAnsi"/>
          <w:sz w:val="24"/>
          <w:szCs w:val="24"/>
          <w:lang w:eastAsia="ja-JP"/>
        </w:rPr>
        <w:t xml:space="preserve"> acestea au fost majorate până la 7</w:t>
      </w:r>
      <w:r w:rsidR="003B0B93">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251,9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(+58,3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înregistrând o executare de casă de 7</w:t>
      </w:r>
      <w:r w:rsidR="003B0B93">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251,9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A276DF">
        <w:rPr>
          <w:rFonts w:asciiTheme="majorHAnsi" w:eastAsia="MS Mincho" w:hAnsiTheme="majorHAnsi" w:cstheme="majorHAnsi"/>
          <w:sz w:val="24"/>
          <w:szCs w:val="24"/>
          <w:lang w:eastAsia="ja-JP"/>
        </w:rPr>
        <w:t>,</w:t>
      </w:r>
      <w:r w:rsidRPr="000C3A69">
        <w:rPr>
          <w:rFonts w:asciiTheme="majorHAnsi" w:eastAsia="MS Mincho" w:hAnsiTheme="majorHAnsi" w:cstheme="majorHAnsi"/>
          <w:sz w:val="24"/>
          <w:szCs w:val="24"/>
          <w:lang w:eastAsia="ja-JP"/>
        </w:rPr>
        <w:t xml:space="preserve"> sau 100,0% comparativ cu indicatorul precizat. </w:t>
      </w:r>
    </w:p>
    <w:p w:rsidR="00B95415" w:rsidRPr="000C3A69" w:rsidRDefault="00B95415" w:rsidP="000C3A69">
      <w:pPr>
        <w:spacing w:after="0" w:line="276" w:lineRule="auto"/>
        <w:ind w:firstLine="720"/>
        <w:jc w:val="both"/>
        <w:rPr>
          <w:rFonts w:asciiTheme="majorHAnsi" w:eastAsia="MS Mincho" w:hAnsiTheme="majorHAnsi" w:cstheme="majorHAnsi"/>
          <w:sz w:val="24"/>
          <w:szCs w:val="24"/>
          <w:lang w:eastAsia="ja-JP"/>
        </w:rPr>
      </w:pPr>
      <w:r w:rsidRPr="000C3A69">
        <w:rPr>
          <w:rFonts w:asciiTheme="majorHAnsi" w:eastAsia="MS Mincho" w:hAnsiTheme="majorHAnsi" w:cstheme="majorHAnsi"/>
          <w:sz w:val="24"/>
          <w:szCs w:val="24"/>
          <w:lang w:eastAsia="ja-JP"/>
        </w:rPr>
        <w:t xml:space="preserve">Cele mai însemnate din această categorie au fost transferurile pentru învățământul preșcolar – </w:t>
      </w:r>
      <w:r w:rsidR="00A276DF">
        <w:rPr>
          <w:rFonts w:asciiTheme="majorHAnsi" w:eastAsia="MS Mincho" w:hAnsiTheme="majorHAnsi" w:cstheme="majorHAnsi"/>
          <w:sz w:val="24"/>
          <w:szCs w:val="24"/>
          <w:lang w:eastAsia="ja-JP"/>
        </w:rPr>
        <w:t xml:space="preserve">de </w:t>
      </w:r>
      <w:r w:rsidRPr="000C3A69">
        <w:rPr>
          <w:rFonts w:asciiTheme="majorHAnsi" w:eastAsia="MS Mincho" w:hAnsiTheme="majorHAnsi" w:cstheme="majorHAnsi"/>
          <w:sz w:val="24"/>
          <w:szCs w:val="24"/>
          <w:lang w:eastAsia="ja-JP"/>
        </w:rPr>
        <w:t>2</w:t>
      </w:r>
      <w:r w:rsidR="003B0B93">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565,8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(+30,1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față de nivelul aprobat)</w:t>
      </w:r>
      <w:r w:rsidR="00A276DF">
        <w:rPr>
          <w:rFonts w:asciiTheme="majorHAnsi" w:eastAsia="MS Mincho" w:hAnsiTheme="majorHAnsi" w:cstheme="majorHAnsi"/>
          <w:sz w:val="24"/>
          <w:szCs w:val="24"/>
          <w:lang w:eastAsia="ja-JP"/>
        </w:rPr>
        <w:t>,</w:t>
      </w:r>
      <w:r w:rsidR="00793C62">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și transferurile categoriale</w:t>
      </w:r>
      <w:r w:rsidRPr="000C3A69">
        <w:rPr>
          <w:rStyle w:val="FootnoteReference"/>
          <w:rFonts w:asciiTheme="majorHAnsi" w:eastAsia="MS Mincho" w:hAnsiTheme="majorHAnsi" w:cstheme="majorHAnsi"/>
          <w:sz w:val="24"/>
          <w:szCs w:val="24"/>
          <w:lang w:eastAsia="ja-JP"/>
        </w:rPr>
        <w:footnoteReference w:id="36"/>
      </w:r>
      <w:r w:rsidRPr="000C3A69">
        <w:rPr>
          <w:rFonts w:asciiTheme="majorHAnsi" w:eastAsia="MS Mincho" w:hAnsiTheme="majorHAnsi" w:cstheme="majorHAnsi"/>
          <w:sz w:val="24"/>
          <w:szCs w:val="24"/>
          <w:lang w:eastAsia="ja-JP"/>
        </w:rPr>
        <w:t xml:space="preserve"> pentru învățământul primar și </w:t>
      </w:r>
      <w:r w:rsidR="00A276DF">
        <w:rPr>
          <w:rFonts w:asciiTheme="majorHAnsi" w:eastAsia="MS Mincho" w:hAnsiTheme="majorHAnsi" w:cstheme="majorHAnsi"/>
          <w:sz w:val="24"/>
          <w:szCs w:val="24"/>
          <w:lang w:eastAsia="ja-JP"/>
        </w:rPr>
        <w:t xml:space="preserve">cel </w:t>
      </w:r>
      <w:r w:rsidRPr="000C3A69">
        <w:rPr>
          <w:rFonts w:asciiTheme="majorHAnsi" w:eastAsia="MS Mincho" w:hAnsiTheme="majorHAnsi" w:cstheme="majorHAnsi"/>
          <w:sz w:val="24"/>
          <w:szCs w:val="24"/>
          <w:lang w:eastAsia="ja-JP"/>
        </w:rPr>
        <w:t xml:space="preserve">secundar general – </w:t>
      </w:r>
      <w:r w:rsidR="00A276DF">
        <w:rPr>
          <w:rFonts w:asciiTheme="majorHAnsi" w:eastAsia="MS Mincho" w:hAnsiTheme="majorHAnsi" w:cstheme="majorHAnsi"/>
          <w:sz w:val="24"/>
          <w:szCs w:val="24"/>
          <w:lang w:eastAsia="ja-JP"/>
        </w:rPr>
        <w:t xml:space="preserve">de </w:t>
      </w:r>
      <w:r w:rsidRPr="000C3A69">
        <w:rPr>
          <w:rFonts w:asciiTheme="majorHAnsi" w:eastAsia="MS Mincho" w:hAnsiTheme="majorHAnsi" w:cstheme="majorHAnsi"/>
          <w:sz w:val="24"/>
          <w:szCs w:val="24"/>
          <w:lang w:eastAsia="ja-JP"/>
        </w:rPr>
        <w:t>3</w:t>
      </w:r>
      <w:r w:rsidR="003B0B93">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911,2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(+5,1 mil.</w:t>
      </w:r>
      <w:r w:rsidR="003B0B93">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față de nivelul aprobat).</w:t>
      </w:r>
    </w:p>
    <w:p w:rsidR="00B95415" w:rsidRPr="000C3A69" w:rsidRDefault="00B95415" w:rsidP="000C3A69">
      <w:pPr>
        <w:spacing w:after="0" w:line="276" w:lineRule="auto"/>
        <w:ind w:firstLine="720"/>
        <w:jc w:val="both"/>
        <w:rPr>
          <w:rFonts w:asciiTheme="majorHAnsi" w:eastAsia="MS Mincho" w:hAnsiTheme="majorHAnsi" w:cstheme="majorHAnsi"/>
          <w:sz w:val="24"/>
          <w:szCs w:val="24"/>
          <w:lang w:eastAsia="ja-JP"/>
        </w:rPr>
      </w:pPr>
      <w:r w:rsidRPr="000C3A69">
        <w:rPr>
          <w:rFonts w:asciiTheme="majorHAnsi" w:eastAsia="MS Mincho" w:hAnsiTheme="majorHAnsi" w:cstheme="majorHAnsi"/>
          <w:sz w:val="24"/>
          <w:szCs w:val="24"/>
          <w:lang w:eastAsia="ja-JP"/>
        </w:rPr>
        <w:t>Potrivit circularelor MF,</w:t>
      </w:r>
      <w:r w:rsidRPr="000C3A69">
        <w:rPr>
          <w:rStyle w:val="FootnoteReference"/>
          <w:rFonts w:asciiTheme="majorHAnsi" w:eastAsia="MS Mincho" w:hAnsiTheme="majorHAnsi" w:cstheme="majorHAnsi"/>
          <w:sz w:val="24"/>
          <w:szCs w:val="24"/>
          <w:lang w:eastAsia="ja-JP"/>
        </w:rPr>
        <w:footnoteReference w:id="37"/>
      </w:r>
      <w:r w:rsidR="00793C62">
        <w:rPr>
          <w:rFonts w:asciiTheme="majorHAnsi" w:eastAsia="MS Mincho" w:hAnsiTheme="majorHAnsi" w:cstheme="majorHAnsi"/>
          <w:sz w:val="24"/>
          <w:szCs w:val="24"/>
          <w:lang w:eastAsia="ja-JP"/>
        </w:rPr>
        <w:t xml:space="preserve"> </w:t>
      </w:r>
      <w:r w:rsidRPr="000C3A69">
        <w:rPr>
          <w:rFonts w:asciiTheme="majorHAnsi" w:eastAsia="MS Mincho" w:hAnsiTheme="majorHAnsi" w:cstheme="majorHAnsi"/>
          <w:sz w:val="24"/>
          <w:szCs w:val="24"/>
          <w:lang w:eastAsia="ja-JP"/>
        </w:rPr>
        <w:t>transferurile pentru învățământul preșcolar se calculează în baza numărului mediu al copiilor de toate vârstele din unele tipuri de instituții</w:t>
      </w:r>
      <w:r w:rsidRPr="000C3A69">
        <w:rPr>
          <w:rStyle w:val="FootnoteReference"/>
          <w:rFonts w:asciiTheme="majorHAnsi" w:eastAsia="MS Mincho" w:hAnsiTheme="majorHAnsi" w:cstheme="majorHAnsi"/>
          <w:sz w:val="24"/>
          <w:szCs w:val="24"/>
          <w:lang w:eastAsia="ja-JP"/>
        </w:rPr>
        <w:footnoteReference w:id="38"/>
      </w:r>
      <w:r w:rsidRPr="000C3A69">
        <w:rPr>
          <w:rFonts w:asciiTheme="majorHAnsi" w:eastAsia="MS Mincho" w:hAnsiTheme="majorHAnsi" w:cstheme="majorHAnsi"/>
          <w:sz w:val="24"/>
          <w:szCs w:val="24"/>
          <w:lang w:eastAsia="ja-JP"/>
        </w:rPr>
        <w:t xml:space="preserve"> și a costului mediu per copil în cuantum</w:t>
      </w:r>
      <w:r w:rsidR="009908E9">
        <w:rPr>
          <w:rFonts w:asciiTheme="majorHAnsi" w:eastAsia="MS Mincho" w:hAnsiTheme="majorHAnsi" w:cstheme="majorHAnsi"/>
          <w:sz w:val="24"/>
          <w:szCs w:val="24"/>
          <w:lang w:eastAsia="ja-JP"/>
        </w:rPr>
        <w:t>ul</w:t>
      </w:r>
      <w:r w:rsidRPr="000C3A69">
        <w:rPr>
          <w:rFonts w:asciiTheme="majorHAnsi" w:eastAsia="MS Mincho" w:hAnsiTheme="majorHAnsi" w:cstheme="majorHAnsi"/>
          <w:sz w:val="24"/>
          <w:szCs w:val="24"/>
          <w:lang w:eastAsia="ja-JP"/>
        </w:rPr>
        <w:t xml:space="preserve"> inițial stabilit de 11,4 mii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în anul 2014, care anual este indexat (în anul 2018 s-a majorat norma alimentară cu 1,5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/zi (cu 2 </w:t>
      </w:r>
      <w:r w:rsidR="007160B9">
        <w:rPr>
          <w:rFonts w:asciiTheme="majorHAnsi" w:eastAsia="MS Mincho" w:hAnsiTheme="majorHAnsi" w:cstheme="majorHAnsi"/>
          <w:sz w:val="24"/>
          <w:szCs w:val="24"/>
          <w:lang w:eastAsia="ja-JP"/>
        </w:rPr>
        <w:t>MDL</w:t>
      </w:r>
      <w:r w:rsidRPr="000C3A69">
        <w:rPr>
          <w:rFonts w:asciiTheme="majorHAnsi" w:eastAsia="MS Mincho" w:hAnsiTheme="majorHAnsi" w:cstheme="majorHAnsi"/>
          <w:sz w:val="24"/>
          <w:szCs w:val="24"/>
          <w:lang w:eastAsia="ja-JP"/>
        </w:rPr>
        <w:t xml:space="preserve"> din 01.09.2018) și cu costul măsurilor de politici salariale). </w:t>
      </w:r>
    </w:p>
    <w:p w:rsidR="00B95415" w:rsidRPr="000C3A69" w:rsidRDefault="00B95415" w:rsidP="008D7B5A">
      <w:pPr>
        <w:spacing w:after="0" w:line="276" w:lineRule="auto"/>
        <w:ind w:firstLine="720"/>
        <w:jc w:val="both"/>
        <w:rPr>
          <w:rFonts w:asciiTheme="majorHAnsi" w:eastAsia="MS Mincho" w:hAnsiTheme="majorHAnsi" w:cstheme="majorHAnsi"/>
          <w:sz w:val="24"/>
          <w:szCs w:val="24"/>
          <w:shd w:val="clear" w:color="auto" w:fill="FFFFFF" w:themeFill="background1"/>
          <w:lang w:eastAsia="ja-JP"/>
        </w:rPr>
      </w:pPr>
      <w:r w:rsidRPr="000C3A69">
        <w:rPr>
          <w:rFonts w:asciiTheme="majorHAnsi" w:eastAsia="MS Mincho" w:hAnsiTheme="majorHAnsi" w:cstheme="majorHAnsi"/>
          <w:sz w:val="24"/>
          <w:szCs w:val="24"/>
          <w:lang w:eastAsia="ja-JP"/>
        </w:rPr>
        <w:t>Totodată, potrivit metodologiei aprobate</w:t>
      </w:r>
      <w:r w:rsidRPr="000C3A69">
        <w:rPr>
          <w:rStyle w:val="FootnoteReference"/>
          <w:rFonts w:asciiTheme="majorHAnsi" w:eastAsia="MS Mincho" w:hAnsiTheme="majorHAnsi" w:cstheme="majorHAnsi"/>
          <w:sz w:val="24"/>
          <w:szCs w:val="24"/>
          <w:lang w:eastAsia="ja-JP"/>
        </w:rPr>
        <w:footnoteReference w:id="39"/>
      </w:r>
      <w:r w:rsidR="009908E9">
        <w:rPr>
          <w:rFonts w:asciiTheme="majorHAnsi" w:eastAsia="MS Mincho" w:hAnsiTheme="majorHAnsi" w:cstheme="majorHAnsi"/>
          <w:sz w:val="24"/>
          <w:szCs w:val="24"/>
          <w:lang w:eastAsia="ja-JP"/>
        </w:rPr>
        <w:t>,</w:t>
      </w:r>
      <w:r w:rsidRPr="000C3A69">
        <w:rPr>
          <w:rFonts w:asciiTheme="majorHAnsi" w:eastAsia="MS Mincho" w:hAnsiTheme="majorHAnsi" w:cstheme="majorHAnsi"/>
          <w:sz w:val="24"/>
          <w:szCs w:val="24"/>
          <w:lang w:eastAsia="ja-JP"/>
        </w:rPr>
        <w:t xml:space="preserve"> calculele cheltuielilor pentru instituțiile de învățământ primar și </w:t>
      </w:r>
      <w:r w:rsidR="00BD3F64">
        <w:rPr>
          <w:rFonts w:asciiTheme="majorHAnsi" w:eastAsia="MS Mincho" w:hAnsiTheme="majorHAnsi" w:cstheme="majorHAnsi"/>
          <w:sz w:val="24"/>
          <w:szCs w:val="24"/>
          <w:lang w:eastAsia="ja-JP"/>
        </w:rPr>
        <w:t xml:space="preserve">învățământ </w:t>
      </w:r>
      <w:r w:rsidRPr="000C3A69">
        <w:rPr>
          <w:rFonts w:asciiTheme="majorHAnsi" w:eastAsia="MS Mincho" w:hAnsiTheme="majorHAnsi" w:cstheme="majorHAnsi"/>
          <w:sz w:val="24"/>
          <w:szCs w:val="24"/>
          <w:lang w:eastAsia="ja-JP"/>
        </w:rPr>
        <w:t xml:space="preserve">secundar general se efectuează conform formulei unice în baza </w:t>
      </w:r>
      <w:r w:rsidRPr="00212145">
        <w:rPr>
          <w:rFonts w:asciiTheme="majorHAnsi" w:eastAsia="MS Mincho" w:hAnsiTheme="majorHAnsi" w:cstheme="majorHAnsi"/>
          <w:sz w:val="24"/>
          <w:szCs w:val="24"/>
          <w:lang w:eastAsia="ja-JP"/>
        </w:rPr>
        <w:t xml:space="preserve">numărului mediu de elevi </w:t>
      </w:r>
      <w:r w:rsidR="00BD3F64" w:rsidRPr="00212145">
        <w:rPr>
          <w:rFonts w:asciiTheme="majorHAnsi" w:eastAsia="MS Mincho" w:hAnsiTheme="majorHAnsi" w:cstheme="majorHAnsi"/>
          <w:sz w:val="24"/>
          <w:szCs w:val="24"/>
          <w:lang w:eastAsia="ja-JP"/>
        </w:rPr>
        <w:t>în</w:t>
      </w:r>
      <w:r w:rsidRPr="00212145">
        <w:rPr>
          <w:rFonts w:asciiTheme="majorHAnsi" w:eastAsia="MS Mincho" w:hAnsiTheme="majorHAnsi" w:cstheme="majorHAnsi"/>
          <w:sz w:val="24"/>
          <w:szCs w:val="24"/>
          <w:lang w:eastAsia="ja-JP"/>
        </w:rPr>
        <w:t xml:space="preserve"> anul bugetar </w:t>
      </w:r>
      <w:r w:rsidRPr="00212145">
        <w:rPr>
          <w:rFonts w:asciiTheme="majorHAnsi" w:eastAsia="MS Mincho" w:hAnsiTheme="majorHAnsi" w:cstheme="majorHAnsi"/>
          <w:sz w:val="24"/>
          <w:szCs w:val="24"/>
          <w:shd w:val="clear" w:color="auto" w:fill="FFFFFF" w:themeFill="background1"/>
          <w:lang w:eastAsia="ja-JP"/>
        </w:rPr>
        <w:t>precedent</w:t>
      </w:r>
      <w:r w:rsidRPr="00212145">
        <w:rPr>
          <w:rFonts w:asciiTheme="majorHAnsi" w:eastAsia="MS Mincho" w:hAnsiTheme="majorHAnsi" w:cstheme="majorHAnsi"/>
          <w:color w:val="FF0000"/>
          <w:sz w:val="24"/>
          <w:szCs w:val="24"/>
          <w:shd w:val="clear" w:color="auto" w:fill="FFFFFF" w:themeFill="background1"/>
          <w:lang w:eastAsia="ja-JP"/>
        </w:rPr>
        <w:t xml:space="preserve"> </w:t>
      </w:r>
      <w:r w:rsidRPr="00212145">
        <w:rPr>
          <w:rFonts w:asciiTheme="majorHAnsi" w:eastAsia="MS Mincho" w:hAnsiTheme="majorHAnsi" w:cstheme="majorHAnsi"/>
          <w:sz w:val="24"/>
          <w:szCs w:val="24"/>
          <w:shd w:val="clear" w:color="auto" w:fill="FFFFFF" w:themeFill="background1"/>
          <w:lang w:eastAsia="ja-JP"/>
        </w:rPr>
        <w:t xml:space="preserve">și a numărului de instituții de învățământ </w:t>
      </w:r>
      <w:r w:rsidR="00BD3F64" w:rsidRPr="00212145">
        <w:rPr>
          <w:rFonts w:asciiTheme="majorHAnsi" w:hAnsiTheme="majorHAnsi" w:cstheme="majorHAnsi"/>
          <w:color w:val="000000"/>
          <w:sz w:val="24"/>
          <w:szCs w:val="24"/>
          <w:shd w:val="clear" w:color="auto" w:fill="FFFFFF" w:themeFill="background1"/>
        </w:rPr>
        <w:t xml:space="preserve">în </w:t>
      </w:r>
      <w:r w:rsidRPr="00212145">
        <w:rPr>
          <w:rFonts w:asciiTheme="majorHAnsi" w:hAnsiTheme="majorHAnsi" w:cstheme="majorHAnsi"/>
          <w:color w:val="000000"/>
          <w:sz w:val="24"/>
          <w:szCs w:val="24"/>
          <w:shd w:val="clear" w:color="auto" w:fill="FFFFFF" w:themeFill="background1"/>
        </w:rPr>
        <w:t xml:space="preserve">anul </w:t>
      </w:r>
      <w:r w:rsidRPr="00212145">
        <w:rPr>
          <w:rFonts w:asciiTheme="majorHAnsi" w:eastAsia="MS Mincho" w:hAnsiTheme="majorHAnsi" w:cstheme="majorHAnsi"/>
          <w:sz w:val="24"/>
          <w:szCs w:val="24"/>
          <w:shd w:val="clear" w:color="auto" w:fill="FFFFFF" w:themeFill="background1"/>
          <w:lang w:eastAsia="ja-JP"/>
        </w:rPr>
        <w:t>2007 (</w:t>
      </w:r>
      <w:r w:rsidR="00BD3F64" w:rsidRPr="00212145">
        <w:rPr>
          <w:rFonts w:asciiTheme="majorHAnsi" w:eastAsia="MS Mincho" w:hAnsiTheme="majorHAnsi" w:cstheme="majorHAnsi"/>
          <w:sz w:val="24"/>
          <w:szCs w:val="24"/>
          <w:shd w:val="clear" w:color="auto" w:fill="FFFFFF" w:themeFill="background1"/>
          <w:lang w:eastAsia="ja-JP"/>
        </w:rPr>
        <w:t>„</w:t>
      </w:r>
      <w:r w:rsidRPr="00212145">
        <w:rPr>
          <w:rFonts w:asciiTheme="majorHAnsi" w:eastAsia="MS Mincho" w:hAnsiTheme="majorHAnsi" w:cstheme="majorHAnsi"/>
          <w:sz w:val="24"/>
          <w:szCs w:val="24"/>
          <w:shd w:val="clear" w:color="auto" w:fill="FFFFFF" w:themeFill="background1"/>
          <w:lang w:eastAsia="ja-JP"/>
        </w:rPr>
        <w:t>p</w:t>
      </w:r>
      <w:r w:rsidRPr="00212145">
        <w:rPr>
          <w:rFonts w:asciiTheme="majorHAnsi" w:hAnsiTheme="majorHAnsi" w:cstheme="majorHAnsi"/>
          <w:color w:val="000000"/>
          <w:sz w:val="24"/>
          <w:szCs w:val="24"/>
          <w:shd w:val="clear" w:color="auto" w:fill="FFFFFF" w:themeFill="background1"/>
        </w:rPr>
        <w:t>entru stimularea</w:t>
      </w:r>
      <w:r w:rsidRPr="000C3A69">
        <w:rPr>
          <w:rFonts w:asciiTheme="majorHAnsi" w:hAnsiTheme="majorHAnsi" w:cstheme="majorHAnsi"/>
          <w:color w:val="000000"/>
          <w:sz w:val="24"/>
          <w:szCs w:val="24"/>
          <w:shd w:val="clear" w:color="auto" w:fill="FFFFFF" w:themeFill="background1"/>
        </w:rPr>
        <w:t xml:space="preserve"> raționalizării rețelei de instituții de învățământ”)</w:t>
      </w:r>
      <w:r w:rsidRPr="000C3A69">
        <w:rPr>
          <w:rFonts w:asciiTheme="majorHAnsi" w:eastAsia="MS Mincho" w:hAnsiTheme="majorHAnsi" w:cstheme="majorHAnsi"/>
          <w:sz w:val="24"/>
          <w:szCs w:val="24"/>
          <w:shd w:val="clear" w:color="auto" w:fill="FFFFFF" w:themeFill="background1"/>
          <w:lang w:eastAsia="ja-JP"/>
        </w:rPr>
        <w:t>.</w:t>
      </w:r>
    </w:p>
    <w:p w:rsidR="003E5E80" w:rsidRPr="00212145" w:rsidRDefault="003E5E80" w:rsidP="008D7B5A">
      <w:pPr>
        <w:spacing w:after="0" w:line="276" w:lineRule="auto"/>
        <w:ind w:firstLine="720"/>
        <w:jc w:val="both"/>
        <w:rPr>
          <w:rFonts w:asciiTheme="majorHAnsi" w:eastAsia="MS Mincho" w:hAnsiTheme="majorHAnsi" w:cstheme="majorHAnsi"/>
          <w:sz w:val="24"/>
          <w:szCs w:val="24"/>
          <w:lang w:eastAsia="ja-JP"/>
        </w:rPr>
      </w:pPr>
      <w:r>
        <w:rPr>
          <w:rFonts w:asciiTheme="majorHAnsi" w:eastAsia="MS Mincho" w:hAnsiTheme="majorHAnsi" w:cstheme="majorHAnsi"/>
          <w:sz w:val="24"/>
          <w:szCs w:val="24"/>
          <w:lang w:eastAsia="ja-JP"/>
        </w:rPr>
        <w:lastRenderedPageBreak/>
        <w:t>De</w:t>
      </w:r>
      <w:r w:rsidR="00BD3F64">
        <w:rPr>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 xml:space="preserve">asemenea, auditul relevă că nu există </w:t>
      </w:r>
      <w:r w:rsidR="00BD3F64">
        <w:rPr>
          <w:rFonts w:asciiTheme="majorHAnsi" w:eastAsia="MS Mincho" w:hAnsiTheme="majorHAnsi" w:cstheme="majorHAnsi"/>
          <w:sz w:val="24"/>
          <w:szCs w:val="24"/>
          <w:lang w:eastAsia="ja-JP"/>
        </w:rPr>
        <w:t xml:space="preserve">o </w:t>
      </w:r>
      <w:r>
        <w:rPr>
          <w:rFonts w:asciiTheme="majorHAnsi" w:eastAsia="MS Mincho" w:hAnsiTheme="majorHAnsi" w:cstheme="majorHAnsi"/>
          <w:sz w:val="24"/>
          <w:szCs w:val="24"/>
          <w:lang w:eastAsia="ja-JP"/>
        </w:rPr>
        <w:t xml:space="preserve">metodologie de calcul în baza numărului efectiv de beneficiari pentru transferurile ce țin de finanțarea </w:t>
      </w:r>
      <w:r w:rsidRPr="00212145">
        <w:rPr>
          <w:rFonts w:asciiTheme="majorHAnsi" w:eastAsia="MS Mincho" w:hAnsiTheme="majorHAnsi" w:cstheme="majorHAnsi"/>
          <w:sz w:val="24"/>
          <w:szCs w:val="24"/>
          <w:lang w:eastAsia="ja-JP"/>
        </w:rPr>
        <w:t>cheltuielilor pentru instituțiile preșcolare, studierea limbilor minorităților, liceel</w:t>
      </w:r>
      <w:r w:rsidR="005C5912">
        <w:rPr>
          <w:rFonts w:asciiTheme="majorHAnsi" w:eastAsia="MS Mincho" w:hAnsiTheme="majorHAnsi" w:cstheme="majorHAnsi"/>
          <w:sz w:val="24"/>
          <w:szCs w:val="24"/>
          <w:lang w:eastAsia="ja-JP"/>
        </w:rPr>
        <w:t>e</w:t>
      </w:r>
      <w:r w:rsidR="00BD3F64" w:rsidRPr="00212145">
        <w:rPr>
          <w:rFonts w:asciiTheme="majorHAnsi" w:eastAsia="MS Mincho" w:hAnsiTheme="majorHAnsi" w:cstheme="majorHAnsi"/>
          <w:sz w:val="24"/>
          <w:szCs w:val="24"/>
          <w:lang w:eastAsia="ja-JP"/>
        </w:rPr>
        <w:t>-</w:t>
      </w:r>
      <w:r w:rsidRPr="00212145">
        <w:rPr>
          <w:rFonts w:asciiTheme="majorHAnsi" w:eastAsia="MS Mincho" w:hAnsiTheme="majorHAnsi" w:cstheme="majorHAnsi"/>
          <w:sz w:val="24"/>
          <w:szCs w:val="24"/>
          <w:lang w:eastAsia="ja-JP"/>
        </w:rPr>
        <w:t>internat cu profil sportiv, școli</w:t>
      </w:r>
      <w:r w:rsidR="00DA4F49" w:rsidRPr="00212145">
        <w:rPr>
          <w:rFonts w:asciiTheme="majorHAnsi" w:eastAsia="MS Mincho" w:hAnsiTheme="majorHAnsi" w:cstheme="majorHAnsi"/>
          <w:sz w:val="24"/>
          <w:szCs w:val="24"/>
          <w:lang w:eastAsia="ja-JP"/>
        </w:rPr>
        <w:t>le</w:t>
      </w:r>
      <w:r w:rsidRPr="00212145">
        <w:rPr>
          <w:rFonts w:asciiTheme="majorHAnsi" w:eastAsia="MS Mincho" w:hAnsiTheme="majorHAnsi" w:cstheme="majorHAnsi"/>
          <w:sz w:val="24"/>
          <w:szCs w:val="24"/>
          <w:lang w:eastAsia="ja-JP"/>
        </w:rPr>
        <w:t xml:space="preserve"> de tip internat și </w:t>
      </w:r>
      <w:r w:rsidR="00DA4F49" w:rsidRPr="00212145">
        <w:rPr>
          <w:rFonts w:asciiTheme="majorHAnsi" w:eastAsia="MS Mincho" w:hAnsiTheme="majorHAnsi" w:cstheme="majorHAnsi"/>
          <w:sz w:val="24"/>
          <w:szCs w:val="24"/>
          <w:lang w:eastAsia="ja-JP"/>
        </w:rPr>
        <w:t xml:space="preserve">centrele de </w:t>
      </w:r>
      <w:r w:rsidRPr="00212145">
        <w:rPr>
          <w:rFonts w:asciiTheme="majorHAnsi" w:eastAsia="MS Mincho" w:hAnsiTheme="majorHAnsi" w:cstheme="majorHAnsi"/>
          <w:sz w:val="24"/>
          <w:szCs w:val="24"/>
          <w:lang w:eastAsia="ja-JP"/>
        </w:rPr>
        <w:t>educație extrașcolar</w:t>
      </w:r>
      <w:r w:rsidR="00DA4F49" w:rsidRPr="00212145">
        <w:rPr>
          <w:rFonts w:asciiTheme="majorHAnsi" w:eastAsia="MS Mincho" w:hAnsiTheme="majorHAnsi" w:cstheme="majorHAnsi"/>
          <w:sz w:val="24"/>
          <w:szCs w:val="24"/>
          <w:lang w:eastAsia="ja-JP"/>
        </w:rPr>
        <w:t>ă</w:t>
      </w:r>
      <w:r w:rsidRPr="00212145">
        <w:rPr>
          <w:rFonts w:asciiTheme="majorHAnsi" w:eastAsia="MS Mincho" w:hAnsiTheme="majorHAnsi" w:cstheme="majorHAnsi"/>
          <w:sz w:val="24"/>
          <w:szCs w:val="24"/>
          <w:lang w:eastAsia="ja-JP"/>
        </w:rPr>
        <w:t>. Aceste</w:t>
      </w:r>
      <w:r w:rsidR="00DA4F49" w:rsidRPr="00212145">
        <w:rPr>
          <w:rFonts w:asciiTheme="majorHAnsi" w:eastAsia="MS Mincho" w:hAnsiTheme="majorHAnsi" w:cstheme="majorHAnsi"/>
          <w:sz w:val="24"/>
          <w:szCs w:val="24"/>
          <w:lang w:eastAsia="ja-JP"/>
        </w:rPr>
        <w:t>a</w:t>
      </w:r>
      <w:r w:rsidRPr="00212145">
        <w:rPr>
          <w:rFonts w:asciiTheme="majorHAnsi" w:eastAsia="MS Mincho" w:hAnsiTheme="majorHAnsi" w:cstheme="majorHAnsi"/>
          <w:sz w:val="24"/>
          <w:szCs w:val="24"/>
          <w:lang w:eastAsia="ja-JP"/>
        </w:rPr>
        <w:t xml:space="preserve"> se efectuează în baza transferurilor stabilite în anul 2014 (calculate de APL), care anual se majorează suplimentar cu alte cheltuieli.</w:t>
      </w:r>
    </w:p>
    <w:p w:rsidR="00B95415" w:rsidRPr="00CD0CF1" w:rsidRDefault="00B95415" w:rsidP="008D7B5A">
      <w:pPr>
        <w:spacing w:after="0" w:line="276" w:lineRule="auto"/>
        <w:ind w:firstLine="720"/>
        <w:jc w:val="both"/>
        <w:rPr>
          <w:rFonts w:asciiTheme="majorHAnsi" w:eastAsia="MS Mincho" w:hAnsiTheme="majorHAnsi" w:cstheme="majorHAnsi"/>
          <w:sz w:val="24"/>
          <w:szCs w:val="24"/>
          <w:lang w:val="en-US" w:eastAsia="ja-JP"/>
        </w:rPr>
      </w:pPr>
      <w:r w:rsidRPr="00212145">
        <w:rPr>
          <w:rFonts w:asciiTheme="majorHAnsi" w:eastAsia="MS Mincho" w:hAnsiTheme="majorHAnsi" w:cstheme="majorHAnsi"/>
          <w:sz w:val="24"/>
          <w:szCs w:val="24"/>
          <w:lang w:eastAsia="ja-JP"/>
        </w:rPr>
        <w:t>Constatările auditului referitor la conformitatea calculării alocațiilor necesare</w:t>
      </w:r>
      <w:r>
        <w:rPr>
          <w:rFonts w:asciiTheme="majorHAnsi" w:eastAsia="MS Mincho" w:hAnsiTheme="majorHAnsi" w:cstheme="majorHAnsi"/>
          <w:sz w:val="24"/>
          <w:szCs w:val="24"/>
          <w:lang w:eastAsia="ja-JP"/>
        </w:rPr>
        <w:t xml:space="preserve"> pentru acest tip de cheltuieli denotă că, deși conform prevederilor legale</w:t>
      </w:r>
      <w:r>
        <w:rPr>
          <w:rStyle w:val="FootnoteReference"/>
          <w:rFonts w:asciiTheme="majorHAnsi" w:eastAsia="MS Mincho" w:hAnsiTheme="majorHAnsi" w:cstheme="majorHAnsi"/>
          <w:sz w:val="24"/>
          <w:szCs w:val="24"/>
          <w:lang w:eastAsia="ja-JP"/>
        </w:rPr>
        <w:footnoteReference w:id="40"/>
      </w:r>
      <w:r>
        <w:rPr>
          <w:rFonts w:asciiTheme="majorHAnsi" w:eastAsia="MS Mincho" w:hAnsiTheme="majorHAnsi" w:cstheme="majorHAnsi"/>
          <w:sz w:val="24"/>
          <w:szCs w:val="24"/>
          <w:lang w:eastAsia="ja-JP"/>
        </w:rPr>
        <w:t>, MECC este responsabil de</w:t>
      </w:r>
      <w:r w:rsidR="00793C62">
        <w:rPr>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 xml:space="preserve">calcularea transferurilor de la </w:t>
      </w:r>
      <w:r w:rsidR="00FD1ED0">
        <w:rPr>
          <w:rFonts w:asciiTheme="majorHAnsi" w:eastAsia="MS Mincho" w:hAnsiTheme="majorHAnsi" w:cstheme="majorHAnsi"/>
          <w:sz w:val="24"/>
          <w:szCs w:val="24"/>
          <w:lang w:eastAsia="ja-JP"/>
        </w:rPr>
        <w:t>BS</w:t>
      </w:r>
      <w:r>
        <w:rPr>
          <w:rFonts w:asciiTheme="majorHAnsi" w:eastAsia="MS Mincho" w:hAnsiTheme="majorHAnsi" w:cstheme="majorHAnsi"/>
          <w:sz w:val="24"/>
          <w:szCs w:val="24"/>
          <w:lang w:eastAsia="ja-JP"/>
        </w:rPr>
        <w:t xml:space="preserve"> la </w:t>
      </w:r>
      <w:r w:rsidR="00580A1D">
        <w:rPr>
          <w:rFonts w:asciiTheme="majorHAnsi" w:eastAsia="MS Mincho" w:hAnsiTheme="majorHAnsi" w:cstheme="majorHAnsi"/>
          <w:sz w:val="24"/>
          <w:szCs w:val="24"/>
          <w:lang w:eastAsia="ja-JP"/>
        </w:rPr>
        <w:t>BUAT</w:t>
      </w:r>
      <w:r>
        <w:rPr>
          <w:rFonts w:asciiTheme="majorHAnsi" w:eastAsia="MS Mincho" w:hAnsiTheme="majorHAnsi" w:cstheme="majorHAnsi"/>
          <w:sz w:val="24"/>
          <w:szCs w:val="24"/>
          <w:lang w:eastAsia="ja-JP"/>
        </w:rPr>
        <w:t xml:space="preserve"> de nivelul al doilea pentru finanțarea instituțiilor de învățământ, această sarcină este realizată de MF în baza informațiilor prezentate de MECC. Contrapunerea acestor informații cu datele</w:t>
      </w:r>
      <w:r w:rsidR="00793C62">
        <w:rPr>
          <w:rStyle w:val="FootnoteReference"/>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din rapoartele financiare</w:t>
      </w:r>
      <w:r w:rsidR="00793C62">
        <w:rPr>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anuale</w:t>
      </w:r>
      <w:r>
        <w:rPr>
          <w:rStyle w:val="FootnoteReference"/>
          <w:rFonts w:asciiTheme="majorHAnsi" w:eastAsia="MS Mincho" w:hAnsiTheme="majorHAnsi" w:cstheme="majorHAnsi"/>
          <w:sz w:val="24"/>
          <w:szCs w:val="24"/>
          <w:lang w:eastAsia="ja-JP"/>
        </w:rPr>
        <w:footnoteReference w:id="41"/>
      </w:r>
      <w:r>
        <w:rPr>
          <w:rFonts w:asciiTheme="majorHAnsi" w:eastAsia="MS Mincho" w:hAnsiTheme="majorHAnsi" w:cstheme="majorHAnsi"/>
          <w:sz w:val="24"/>
          <w:szCs w:val="24"/>
          <w:lang w:eastAsia="ja-JP"/>
        </w:rPr>
        <w:t xml:space="preserve"> pentru anul 2016 ale unora dintre raioane indică valori diferite referitor la numărul mediu de elevi, </w:t>
      </w:r>
      <w:r w:rsidR="00DA4F49">
        <w:rPr>
          <w:rFonts w:asciiTheme="majorHAnsi" w:eastAsia="MS Mincho" w:hAnsiTheme="majorHAnsi" w:cstheme="majorHAnsi"/>
          <w:sz w:val="24"/>
          <w:szCs w:val="24"/>
          <w:lang w:eastAsia="ja-JP"/>
        </w:rPr>
        <w:t xml:space="preserve">ceea </w:t>
      </w:r>
      <w:r>
        <w:rPr>
          <w:rFonts w:asciiTheme="majorHAnsi" w:eastAsia="MS Mincho" w:hAnsiTheme="majorHAnsi" w:cstheme="majorHAnsi"/>
          <w:sz w:val="24"/>
          <w:szCs w:val="24"/>
          <w:lang w:eastAsia="ja-JP"/>
        </w:rPr>
        <w:t xml:space="preserve">ce ar putea cauza incorectitudinea efectuării calculelor, precum și </w:t>
      </w:r>
      <w:r w:rsidR="00DA4F49">
        <w:rPr>
          <w:rFonts w:asciiTheme="majorHAnsi" w:eastAsia="MS Mincho" w:hAnsiTheme="majorHAnsi" w:cstheme="majorHAnsi"/>
          <w:sz w:val="24"/>
          <w:szCs w:val="24"/>
          <w:lang w:eastAsia="ja-JP"/>
        </w:rPr>
        <w:t xml:space="preserve">ar putea </w:t>
      </w:r>
      <w:r>
        <w:rPr>
          <w:rFonts w:asciiTheme="majorHAnsi" w:eastAsia="MS Mincho" w:hAnsiTheme="majorHAnsi" w:cstheme="majorHAnsi"/>
          <w:sz w:val="24"/>
          <w:szCs w:val="24"/>
          <w:lang w:eastAsia="ja-JP"/>
        </w:rPr>
        <w:t>afecta volumul transferurilor aprobate și executate.</w:t>
      </w:r>
    </w:p>
    <w:p w:rsidR="00B95415" w:rsidRDefault="00B95415" w:rsidP="008D7B5A">
      <w:pPr>
        <w:spacing w:after="0" w:line="276" w:lineRule="auto"/>
        <w:ind w:firstLine="720"/>
        <w:jc w:val="both"/>
        <w:rPr>
          <w:rFonts w:asciiTheme="majorHAnsi" w:eastAsia="MS Mincho" w:hAnsiTheme="majorHAnsi" w:cstheme="majorHAnsi"/>
          <w:i/>
          <w:sz w:val="24"/>
          <w:szCs w:val="24"/>
          <w:lang w:eastAsia="ja-JP"/>
        </w:rPr>
      </w:pPr>
      <w:r>
        <w:rPr>
          <w:rFonts w:asciiTheme="majorHAnsi" w:eastAsia="MS Mincho" w:hAnsiTheme="majorHAnsi" w:cstheme="majorHAnsi"/>
          <w:sz w:val="24"/>
          <w:szCs w:val="24"/>
          <w:shd w:val="clear" w:color="auto" w:fill="FFFFFF" w:themeFill="background1"/>
          <w:lang w:eastAsia="ja-JP"/>
        </w:rPr>
        <w:t>Totodată</w:t>
      </w:r>
      <w:r w:rsidR="00FD1ED0">
        <w:rPr>
          <w:rFonts w:asciiTheme="majorHAnsi" w:eastAsia="MS Mincho" w:hAnsiTheme="majorHAnsi" w:cstheme="majorHAnsi"/>
          <w:sz w:val="24"/>
          <w:szCs w:val="24"/>
          <w:shd w:val="clear" w:color="auto" w:fill="FFFFFF" w:themeFill="background1"/>
          <w:lang w:eastAsia="ja-JP"/>
        </w:rPr>
        <w:t>,</w:t>
      </w:r>
      <w:r>
        <w:rPr>
          <w:rFonts w:asciiTheme="majorHAnsi" w:eastAsia="MS Mincho" w:hAnsiTheme="majorHAnsi" w:cstheme="majorHAnsi"/>
          <w:sz w:val="24"/>
          <w:szCs w:val="24"/>
          <w:shd w:val="clear" w:color="auto" w:fill="FFFFFF" w:themeFill="background1"/>
          <w:lang w:eastAsia="ja-JP"/>
        </w:rPr>
        <w:t xml:space="preserve"> analiza în evoluție a numărului instituțiilor de învățământ primar și secundar general denotă o descreștere continuă, î</w:t>
      </w:r>
      <w:r w:rsidR="00CB75A2">
        <w:rPr>
          <w:rFonts w:asciiTheme="majorHAnsi" w:eastAsia="MS Mincho" w:hAnsiTheme="majorHAnsi" w:cstheme="majorHAnsi"/>
          <w:sz w:val="24"/>
          <w:szCs w:val="24"/>
          <w:shd w:val="clear" w:color="auto" w:fill="FFFFFF" w:themeFill="background1"/>
          <w:lang w:eastAsia="ja-JP"/>
        </w:rPr>
        <w:t>nregistrând o scădere de la 1424</w:t>
      </w:r>
      <w:r>
        <w:rPr>
          <w:rFonts w:asciiTheme="majorHAnsi" w:eastAsia="MS Mincho" w:hAnsiTheme="majorHAnsi" w:cstheme="majorHAnsi"/>
          <w:sz w:val="24"/>
          <w:szCs w:val="24"/>
          <w:shd w:val="clear" w:color="auto" w:fill="FFFFFF" w:themeFill="background1"/>
          <w:lang w:eastAsia="ja-JP"/>
        </w:rPr>
        <w:t xml:space="preserve"> </w:t>
      </w:r>
      <w:r w:rsidR="00DA4F49">
        <w:rPr>
          <w:rFonts w:asciiTheme="majorHAnsi" w:eastAsia="MS Mincho" w:hAnsiTheme="majorHAnsi" w:cstheme="majorHAnsi"/>
          <w:sz w:val="24"/>
          <w:szCs w:val="24"/>
          <w:shd w:val="clear" w:color="auto" w:fill="FFFFFF" w:themeFill="background1"/>
          <w:lang w:eastAsia="ja-JP"/>
        </w:rPr>
        <w:t xml:space="preserve">de </w:t>
      </w:r>
      <w:r>
        <w:rPr>
          <w:rFonts w:asciiTheme="majorHAnsi" w:eastAsia="MS Mincho" w:hAnsiTheme="majorHAnsi" w:cstheme="majorHAnsi"/>
          <w:sz w:val="24"/>
          <w:szCs w:val="24"/>
          <w:shd w:val="clear" w:color="auto" w:fill="FFFFFF" w:themeFill="background1"/>
          <w:lang w:eastAsia="ja-JP"/>
        </w:rPr>
        <w:t>instituții în anul 2007 (date utilizate la calcula</w:t>
      </w:r>
      <w:r w:rsidR="00CB75A2">
        <w:rPr>
          <w:rFonts w:asciiTheme="majorHAnsi" w:eastAsia="MS Mincho" w:hAnsiTheme="majorHAnsi" w:cstheme="majorHAnsi"/>
          <w:sz w:val="24"/>
          <w:szCs w:val="24"/>
          <w:shd w:val="clear" w:color="auto" w:fill="FFFFFF" w:themeFill="background1"/>
          <w:lang w:eastAsia="ja-JP"/>
        </w:rPr>
        <w:t>rea transferurilor) până la 1273 în anul 2016, sau cu 151</w:t>
      </w:r>
      <w:r>
        <w:rPr>
          <w:rFonts w:asciiTheme="majorHAnsi" w:eastAsia="MS Mincho" w:hAnsiTheme="majorHAnsi" w:cstheme="majorHAnsi"/>
          <w:sz w:val="24"/>
          <w:szCs w:val="24"/>
          <w:shd w:val="clear" w:color="auto" w:fill="FFFFFF" w:themeFill="background1"/>
          <w:lang w:eastAsia="ja-JP"/>
        </w:rPr>
        <w:t xml:space="preserve"> </w:t>
      </w:r>
      <w:r w:rsidR="00DA4F49">
        <w:rPr>
          <w:rFonts w:asciiTheme="majorHAnsi" w:eastAsia="MS Mincho" w:hAnsiTheme="majorHAnsi" w:cstheme="majorHAnsi"/>
          <w:sz w:val="24"/>
          <w:szCs w:val="24"/>
          <w:shd w:val="clear" w:color="auto" w:fill="FFFFFF" w:themeFill="background1"/>
          <w:lang w:eastAsia="ja-JP"/>
        </w:rPr>
        <w:t xml:space="preserve">de </w:t>
      </w:r>
      <w:r>
        <w:rPr>
          <w:rFonts w:asciiTheme="majorHAnsi" w:eastAsia="MS Mincho" w:hAnsiTheme="majorHAnsi" w:cstheme="majorHAnsi"/>
          <w:sz w:val="24"/>
          <w:szCs w:val="24"/>
          <w:shd w:val="clear" w:color="auto" w:fill="FFFFFF" w:themeFill="background1"/>
          <w:lang w:eastAsia="ja-JP"/>
        </w:rPr>
        <w:t xml:space="preserve">unități mai puțin. </w:t>
      </w:r>
      <w:r w:rsidRPr="00097B2B">
        <w:rPr>
          <w:rFonts w:asciiTheme="majorHAnsi" w:eastAsia="MS Mincho" w:hAnsiTheme="majorHAnsi" w:cstheme="majorHAnsi"/>
          <w:i/>
          <w:sz w:val="24"/>
          <w:szCs w:val="24"/>
          <w:lang w:eastAsia="ja-JP"/>
        </w:rPr>
        <w:t xml:space="preserve">Evoluția numărului de instituții de învățământ în anii 2007 </w:t>
      </w:r>
      <w:r w:rsidR="00DA4F49">
        <w:rPr>
          <w:rFonts w:asciiTheme="majorHAnsi" w:eastAsia="MS Mincho" w:hAnsiTheme="majorHAnsi" w:cstheme="majorHAnsi"/>
          <w:i/>
          <w:sz w:val="24"/>
          <w:szCs w:val="24"/>
          <w:lang w:eastAsia="ja-JP"/>
        </w:rPr>
        <w:t>-</w:t>
      </w:r>
      <w:r w:rsidRPr="00097B2B">
        <w:rPr>
          <w:rFonts w:asciiTheme="majorHAnsi" w:eastAsia="MS Mincho" w:hAnsiTheme="majorHAnsi" w:cstheme="majorHAnsi"/>
          <w:i/>
          <w:sz w:val="24"/>
          <w:szCs w:val="24"/>
          <w:lang w:eastAsia="ja-JP"/>
        </w:rPr>
        <w:t xml:space="preserve"> 20</w:t>
      </w:r>
      <w:r w:rsidR="00854337">
        <w:rPr>
          <w:rFonts w:asciiTheme="majorHAnsi" w:eastAsia="MS Mincho" w:hAnsiTheme="majorHAnsi" w:cstheme="majorHAnsi"/>
          <w:i/>
          <w:sz w:val="24"/>
          <w:szCs w:val="24"/>
          <w:lang w:eastAsia="ja-JP"/>
        </w:rPr>
        <w:t>18 se prezintă în Diagrama nr.5.</w:t>
      </w:r>
    </w:p>
    <w:p w:rsidR="00B95415" w:rsidRPr="00854337" w:rsidRDefault="00B95415" w:rsidP="00854337">
      <w:pPr>
        <w:spacing w:after="0" w:line="240" w:lineRule="auto"/>
        <w:ind w:firstLine="720"/>
        <w:jc w:val="right"/>
        <w:rPr>
          <w:rFonts w:asciiTheme="majorHAnsi" w:eastAsia="MS Mincho" w:hAnsiTheme="majorHAnsi" w:cstheme="majorHAnsi"/>
          <w:i/>
          <w:sz w:val="24"/>
          <w:szCs w:val="24"/>
          <w:lang w:eastAsia="ja-JP"/>
        </w:rPr>
      </w:pPr>
      <w:r w:rsidRPr="00097B2B">
        <w:rPr>
          <w:rFonts w:asciiTheme="majorHAnsi" w:eastAsia="MS Mincho" w:hAnsiTheme="majorHAnsi" w:cstheme="majorHAnsi"/>
          <w:i/>
          <w:sz w:val="24"/>
          <w:szCs w:val="24"/>
          <w:lang w:eastAsia="ja-JP"/>
        </w:rPr>
        <w:t>Diagrama nr.</w:t>
      </w:r>
      <w:r w:rsidR="00854337">
        <w:rPr>
          <w:rFonts w:asciiTheme="majorHAnsi" w:eastAsia="MS Mincho" w:hAnsiTheme="majorHAnsi" w:cstheme="majorHAnsi"/>
          <w:i/>
          <w:sz w:val="24"/>
          <w:szCs w:val="24"/>
          <w:lang w:eastAsia="ja-JP"/>
        </w:rPr>
        <w:t>5</w:t>
      </w:r>
    </w:p>
    <w:p w:rsidR="00B95415" w:rsidRDefault="00B95415" w:rsidP="00854337">
      <w:pPr>
        <w:spacing w:after="0" w:line="240" w:lineRule="auto"/>
        <w:jc w:val="center"/>
        <w:rPr>
          <w:rFonts w:asciiTheme="majorHAnsi" w:eastAsia="MS Mincho" w:hAnsiTheme="majorHAnsi" w:cstheme="majorHAnsi"/>
          <w:b/>
          <w:sz w:val="24"/>
          <w:szCs w:val="24"/>
          <w:lang w:eastAsia="ja-JP"/>
        </w:rPr>
      </w:pPr>
      <w:r w:rsidRPr="00097B2B">
        <w:rPr>
          <w:rFonts w:asciiTheme="majorHAnsi" w:eastAsia="MS Mincho" w:hAnsiTheme="majorHAnsi" w:cstheme="majorHAnsi"/>
          <w:b/>
          <w:sz w:val="24"/>
          <w:szCs w:val="24"/>
          <w:lang w:eastAsia="ja-JP"/>
        </w:rPr>
        <w:t>Numărul instituțiilor de învățământ pe republică</w:t>
      </w:r>
    </w:p>
    <w:p w:rsidR="00854337" w:rsidRPr="00097B2B" w:rsidRDefault="00854337" w:rsidP="00854337">
      <w:pPr>
        <w:spacing w:after="0" w:line="240" w:lineRule="auto"/>
        <w:jc w:val="center"/>
        <w:rPr>
          <w:rFonts w:asciiTheme="majorHAnsi" w:eastAsia="MS Mincho" w:hAnsiTheme="majorHAnsi" w:cstheme="majorHAnsi"/>
          <w:b/>
          <w:sz w:val="24"/>
          <w:szCs w:val="24"/>
          <w:lang w:eastAsia="ja-JP"/>
        </w:rPr>
      </w:pPr>
    </w:p>
    <w:p w:rsidR="00B95415" w:rsidRPr="00097B2B" w:rsidRDefault="00B95415" w:rsidP="00C96305">
      <w:pPr>
        <w:spacing w:after="0" w:line="240" w:lineRule="auto"/>
        <w:jc w:val="center"/>
        <w:rPr>
          <w:rFonts w:asciiTheme="majorHAnsi" w:eastAsia="MS Mincho" w:hAnsiTheme="majorHAnsi" w:cstheme="majorHAnsi"/>
          <w:sz w:val="24"/>
          <w:szCs w:val="24"/>
          <w:lang w:eastAsia="ja-JP"/>
        </w:rPr>
      </w:pPr>
      <w:r w:rsidRPr="00097B2B">
        <w:rPr>
          <w:rFonts w:asciiTheme="majorHAnsi" w:hAnsiTheme="majorHAnsi" w:cstheme="majorHAnsi"/>
          <w:noProof/>
          <w:sz w:val="24"/>
          <w:szCs w:val="24"/>
          <w:lang w:val="en-US"/>
        </w:rPr>
        <w:drawing>
          <wp:inline distT="0" distB="0" distL="0" distR="0" wp14:anchorId="2C782C72" wp14:editId="194DDA52">
            <wp:extent cx="5410200" cy="185928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5415" w:rsidRPr="008D7B5A" w:rsidRDefault="00B95415" w:rsidP="00C96305">
      <w:pPr>
        <w:spacing w:after="0" w:line="240" w:lineRule="auto"/>
        <w:ind w:left="567" w:right="474"/>
        <w:jc w:val="both"/>
        <w:rPr>
          <w:rFonts w:asciiTheme="majorHAnsi" w:eastAsia="MS Mincho" w:hAnsiTheme="majorHAnsi" w:cstheme="majorHAnsi"/>
          <w:i/>
          <w:sz w:val="20"/>
          <w:szCs w:val="20"/>
          <w:lang w:val="en-US" w:eastAsia="ja-JP"/>
        </w:rPr>
      </w:pPr>
      <w:r w:rsidRPr="008D7B5A">
        <w:rPr>
          <w:rFonts w:asciiTheme="majorHAnsi" w:eastAsia="MS Mincho" w:hAnsiTheme="majorHAnsi" w:cstheme="majorHAnsi"/>
          <w:b/>
          <w:i/>
          <w:sz w:val="20"/>
          <w:szCs w:val="20"/>
          <w:lang w:eastAsia="ja-JP"/>
        </w:rPr>
        <w:t xml:space="preserve">Sursă: </w:t>
      </w:r>
      <w:r w:rsidRPr="008D7B5A">
        <w:rPr>
          <w:rFonts w:asciiTheme="majorHAnsi" w:eastAsia="MS Mincho" w:hAnsiTheme="majorHAnsi" w:cstheme="majorHAnsi"/>
          <w:i/>
          <w:sz w:val="20"/>
          <w:szCs w:val="20"/>
          <w:lang w:eastAsia="ja-JP"/>
        </w:rPr>
        <w:t>Pentru anii: 2007 – Anexa nr.2 la circulara MF nr.06/7-07 din 24.11.2017, 2014-2015 – Raportul narativ la Raportul financiar anual al Ministerului Educației pentru anul 2016, 2016-2018 –</w:t>
      </w:r>
      <w:r w:rsidR="00793C62">
        <w:rPr>
          <w:rFonts w:asciiTheme="majorHAnsi" w:eastAsia="MS Mincho" w:hAnsiTheme="majorHAnsi" w:cstheme="majorHAnsi"/>
          <w:i/>
          <w:sz w:val="20"/>
          <w:szCs w:val="20"/>
          <w:lang w:eastAsia="ja-JP"/>
        </w:rPr>
        <w:t xml:space="preserve"> </w:t>
      </w:r>
      <w:r w:rsidRPr="008D7B5A">
        <w:rPr>
          <w:rFonts w:asciiTheme="majorHAnsi" w:eastAsia="MS Mincho" w:hAnsiTheme="majorHAnsi" w:cstheme="majorHAnsi"/>
          <w:i/>
          <w:sz w:val="20"/>
          <w:szCs w:val="20"/>
          <w:lang w:eastAsia="ja-JP"/>
        </w:rPr>
        <w:t xml:space="preserve">Darea de seamă „Rețea state </w:t>
      </w:r>
      <w:r w:rsidR="007B4620">
        <w:rPr>
          <w:rFonts w:asciiTheme="majorHAnsi" w:eastAsia="MS Mincho" w:hAnsiTheme="majorHAnsi" w:cstheme="majorHAnsi"/>
          <w:i/>
          <w:sz w:val="20"/>
          <w:szCs w:val="20"/>
          <w:lang w:eastAsia="ja-JP"/>
        </w:rPr>
        <w:t>ș</w:t>
      </w:r>
      <w:r w:rsidRPr="008D7B5A">
        <w:rPr>
          <w:rFonts w:asciiTheme="majorHAnsi" w:eastAsia="MS Mincho" w:hAnsiTheme="majorHAnsi" w:cstheme="majorHAnsi"/>
          <w:i/>
          <w:sz w:val="20"/>
          <w:szCs w:val="20"/>
          <w:lang w:eastAsia="ja-JP"/>
        </w:rPr>
        <w:t>i contingente ale instituțiilor bugetare finanțate din bugetul pe anul 2016, 2017, 2018” din SI al MF</w:t>
      </w:r>
      <w:r w:rsidR="003951FB">
        <w:rPr>
          <w:rFonts w:asciiTheme="majorHAnsi" w:eastAsia="MS Mincho" w:hAnsiTheme="majorHAnsi" w:cstheme="majorHAnsi"/>
          <w:i/>
          <w:sz w:val="20"/>
          <w:szCs w:val="20"/>
          <w:lang w:eastAsia="ja-JP"/>
        </w:rPr>
        <w:t>.</w:t>
      </w:r>
    </w:p>
    <w:p w:rsidR="00B95415" w:rsidRPr="009B771E" w:rsidRDefault="00B95415" w:rsidP="00B95415">
      <w:pPr>
        <w:spacing w:after="0" w:line="240" w:lineRule="auto"/>
        <w:ind w:firstLine="1170"/>
        <w:jc w:val="both"/>
        <w:rPr>
          <w:rFonts w:asciiTheme="majorHAnsi" w:eastAsia="MS Mincho" w:hAnsiTheme="majorHAnsi" w:cstheme="majorHAnsi"/>
          <w:i/>
          <w:sz w:val="24"/>
          <w:szCs w:val="24"/>
          <w:lang w:val="en-US" w:eastAsia="ja-JP"/>
        </w:rPr>
      </w:pPr>
    </w:p>
    <w:p w:rsidR="00B95415" w:rsidRPr="00097B2B" w:rsidRDefault="00885DD3" w:rsidP="008D7B5A">
      <w:pPr>
        <w:spacing w:after="0" w:line="276" w:lineRule="auto"/>
        <w:ind w:firstLine="720"/>
        <w:jc w:val="both"/>
        <w:rPr>
          <w:rFonts w:asciiTheme="majorHAnsi" w:eastAsia="MS Mincho" w:hAnsiTheme="majorHAnsi" w:cstheme="majorHAnsi"/>
          <w:sz w:val="24"/>
          <w:szCs w:val="24"/>
          <w:shd w:val="clear" w:color="auto" w:fill="FFFFFF" w:themeFill="background1"/>
          <w:lang w:eastAsia="ja-JP"/>
        </w:rPr>
      </w:pPr>
      <w:r>
        <w:rPr>
          <w:rFonts w:asciiTheme="majorHAnsi" w:eastAsia="MS Mincho" w:hAnsiTheme="majorHAnsi" w:cstheme="majorHAnsi"/>
          <w:sz w:val="24"/>
          <w:szCs w:val="24"/>
          <w:shd w:val="clear" w:color="auto" w:fill="FFFFFF" w:themeFill="background1"/>
          <w:lang w:eastAsia="ja-JP"/>
        </w:rPr>
        <w:t xml:space="preserve">Aceste circumstanțe </w:t>
      </w:r>
      <w:r w:rsidR="007B4620">
        <w:rPr>
          <w:rFonts w:asciiTheme="majorHAnsi" w:eastAsia="MS Mincho" w:hAnsiTheme="majorHAnsi" w:cstheme="majorHAnsi"/>
          <w:sz w:val="24"/>
          <w:szCs w:val="24"/>
          <w:shd w:val="clear" w:color="auto" w:fill="FFFFFF" w:themeFill="background1"/>
          <w:lang w:eastAsia="ja-JP"/>
        </w:rPr>
        <w:t xml:space="preserve">determină </w:t>
      </w:r>
      <w:r>
        <w:rPr>
          <w:rFonts w:asciiTheme="majorHAnsi" w:eastAsia="MS Mincho" w:hAnsiTheme="majorHAnsi" w:cstheme="majorHAnsi"/>
          <w:sz w:val="24"/>
          <w:szCs w:val="24"/>
          <w:shd w:val="clear" w:color="auto" w:fill="FFFFFF" w:themeFill="background1"/>
          <w:lang w:eastAsia="ja-JP"/>
        </w:rPr>
        <w:t>calcularea majorată a transferurilor cu destinație specială pentru APL.</w:t>
      </w:r>
      <w:r w:rsidR="00B95415">
        <w:rPr>
          <w:rFonts w:asciiTheme="majorHAnsi" w:eastAsia="MS Mincho" w:hAnsiTheme="majorHAnsi" w:cstheme="majorHAnsi"/>
          <w:sz w:val="24"/>
          <w:szCs w:val="24"/>
          <w:shd w:val="clear" w:color="auto" w:fill="FFFFFF" w:themeFill="background1"/>
          <w:lang w:eastAsia="ja-JP"/>
        </w:rPr>
        <w:t xml:space="preserve"> Astfel, </w:t>
      </w:r>
      <w:r>
        <w:rPr>
          <w:rFonts w:asciiTheme="majorHAnsi" w:eastAsia="MS Mincho" w:hAnsiTheme="majorHAnsi" w:cstheme="majorHAnsi"/>
          <w:sz w:val="24"/>
          <w:szCs w:val="24"/>
          <w:shd w:val="clear" w:color="auto" w:fill="FFFFFF" w:themeFill="background1"/>
          <w:lang w:eastAsia="ja-JP"/>
        </w:rPr>
        <w:t>reieșind din</w:t>
      </w:r>
      <w:r w:rsidR="00B95415">
        <w:rPr>
          <w:rFonts w:asciiTheme="majorHAnsi" w:eastAsia="MS Mincho" w:hAnsiTheme="majorHAnsi" w:cstheme="majorHAnsi"/>
          <w:sz w:val="24"/>
          <w:szCs w:val="24"/>
          <w:shd w:val="clear" w:color="auto" w:fill="FFFFFF" w:themeFill="background1"/>
          <w:lang w:eastAsia="ja-JP"/>
        </w:rPr>
        <w:t xml:space="preserve"> numărul efectiv existent de instituții, transferurile categoriale pentru anul 2018 ar constitui 3</w:t>
      </w:r>
      <w:r w:rsidR="008D7B5A">
        <w:rPr>
          <w:rFonts w:asciiTheme="majorHAnsi" w:eastAsia="MS Mincho" w:hAnsiTheme="majorHAnsi" w:cstheme="majorHAnsi"/>
          <w:sz w:val="24"/>
          <w:szCs w:val="24"/>
          <w:shd w:val="clear" w:color="auto" w:fill="FFFFFF" w:themeFill="background1"/>
          <w:lang w:eastAsia="ja-JP"/>
        </w:rPr>
        <w:t xml:space="preserve"> </w:t>
      </w:r>
      <w:r w:rsidR="00961B63">
        <w:rPr>
          <w:rFonts w:asciiTheme="majorHAnsi" w:eastAsia="MS Mincho" w:hAnsiTheme="majorHAnsi" w:cstheme="majorHAnsi"/>
          <w:sz w:val="24"/>
          <w:szCs w:val="24"/>
          <w:shd w:val="clear" w:color="auto" w:fill="FFFFFF" w:themeFill="background1"/>
          <w:lang w:eastAsia="ja-JP"/>
        </w:rPr>
        <w:t>836,5</w:t>
      </w:r>
      <w:r w:rsidR="00B95415">
        <w:rPr>
          <w:rFonts w:asciiTheme="majorHAnsi" w:eastAsia="MS Mincho" w:hAnsiTheme="majorHAnsi" w:cstheme="majorHAnsi"/>
          <w:sz w:val="24"/>
          <w:szCs w:val="24"/>
          <w:shd w:val="clear" w:color="auto" w:fill="FFFFFF" w:themeFill="background1"/>
          <w:lang w:eastAsia="ja-JP"/>
        </w:rPr>
        <w:t xml:space="preserve"> mil.</w:t>
      </w:r>
      <w:r w:rsidR="008D7B5A">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007B4620">
        <w:rPr>
          <w:rFonts w:asciiTheme="majorHAnsi" w:eastAsia="MS Mincho" w:hAnsiTheme="majorHAnsi" w:cstheme="majorHAnsi"/>
          <w:sz w:val="24"/>
          <w:szCs w:val="24"/>
          <w:shd w:val="clear" w:color="auto" w:fill="FFFFFF" w:themeFill="background1"/>
          <w:lang w:eastAsia="ja-JP"/>
        </w:rPr>
        <w:t>,</w:t>
      </w:r>
      <w:r w:rsidR="00B95415">
        <w:rPr>
          <w:rFonts w:asciiTheme="majorHAnsi" w:eastAsia="MS Mincho" w:hAnsiTheme="majorHAnsi" w:cstheme="majorHAnsi"/>
          <w:sz w:val="24"/>
          <w:szCs w:val="24"/>
          <w:shd w:val="clear" w:color="auto" w:fill="FFFFFF" w:themeFill="background1"/>
          <w:lang w:eastAsia="ja-JP"/>
        </w:rPr>
        <w:t xml:space="preserve"> sau cu </w:t>
      </w:r>
      <w:r>
        <w:rPr>
          <w:rFonts w:asciiTheme="majorHAnsi" w:eastAsia="MS Mincho" w:hAnsiTheme="majorHAnsi" w:cstheme="majorHAnsi"/>
          <w:sz w:val="24"/>
          <w:szCs w:val="24"/>
          <w:shd w:val="clear" w:color="auto" w:fill="FFFFFF" w:themeFill="background1"/>
          <w:lang w:eastAsia="ja-JP"/>
        </w:rPr>
        <w:t xml:space="preserve">circa </w:t>
      </w:r>
      <w:r w:rsidR="00961B63">
        <w:rPr>
          <w:rFonts w:asciiTheme="majorHAnsi" w:eastAsia="MS Mincho" w:hAnsiTheme="majorHAnsi" w:cstheme="majorHAnsi"/>
          <w:sz w:val="24"/>
          <w:szCs w:val="24"/>
          <w:shd w:val="clear" w:color="auto" w:fill="FFFFFF" w:themeFill="background1"/>
          <w:lang w:eastAsia="ja-JP"/>
        </w:rPr>
        <w:t xml:space="preserve">74,7 </w:t>
      </w:r>
      <w:r w:rsidR="00B95415">
        <w:rPr>
          <w:rFonts w:asciiTheme="majorHAnsi" w:eastAsia="MS Mincho" w:hAnsiTheme="majorHAnsi" w:cstheme="majorHAnsi"/>
          <w:sz w:val="24"/>
          <w:szCs w:val="24"/>
          <w:shd w:val="clear" w:color="auto" w:fill="FFFFFF" w:themeFill="background1"/>
          <w:lang w:eastAsia="ja-JP"/>
        </w:rPr>
        <w:t>mil.</w:t>
      </w:r>
      <w:r w:rsidR="008D7B5A">
        <w:rPr>
          <w:rFonts w:asciiTheme="majorHAnsi" w:eastAsia="MS Mincho" w:hAnsiTheme="majorHAnsi" w:cstheme="majorHAnsi"/>
          <w:sz w:val="24"/>
          <w:szCs w:val="24"/>
          <w:shd w:val="clear" w:color="auto" w:fill="FFFFFF" w:themeFill="background1"/>
          <w:lang w:eastAsia="ja-JP"/>
        </w:rPr>
        <w:t xml:space="preserve"> </w:t>
      </w:r>
      <w:r w:rsidR="007160B9">
        <w:rPr>
          <w:rFonts w:asciiTheme="majorHAnsi" w:eastAsia="MS Mincho" w:hAnsiTheme="majorHAnsi" w:cstheme="majorHAnsi"/>
          <w:sz w:val="24"/>
          <w:szCs w:val="24"/>
          <w:shd w:val="clear" w:color="auto" w:fill="FFFFFF" w:themeFill="background1"/>
          <w:lang w:eastAsia="ja-JP"/>
        </w:rPr>
        <w:t>MDL</w:t>
      </w:r>
      <w:r w:rsidR="00B95415">
        <w:rPr>
          <w:rFonts w:asciiTheme="majorHAnsi" w:eastAsia="MS Mincho" w:hAnsiTheme="majorHAnsi" w:cstheme="majorHAnsi"/>
          <w:sz w:val="24"/>
          <w:szCs w:val="24"/>
          <w:shd w:val="clear" w:color="auto" w:fill="FFFFFF" w:themeFill="background1"/>
          <w:lang w:eastAsia="ja-JP"/>
        </w:rPr>
        <w:t xml:space="preserve"> mai puțin față de volumul </w:t>
      </w:r>
      <w:r w:rsidR="00961B63">
        <w:rPr>
          <w:rFonts w:asciiTheme="majorHAnsi" w:eastAsia="MS Mincho" w:hAnsiTheme="majorHAnsi" w:cstheme="majorHAnsi"/>
          <w:sz w:val="24"/>
          <w:szCs w:val="24"/>
          <w:shd w:val="clear" w:color="auto" w:fill="FFFFFF" w:themeFill="background1"/>
          <w:lang w:eastAsia="ja-JP"/>
        </w:rPr>
        <w:t xml:space="preserve">precizat </w:t>
      </w:r>
      <w:r w:rsidR="00B95415">
        <w:rPr>
          <w:rFonts w:asciiTheme="majorHAnsi" w:eastAsia="MS Mincho" w:hAnsiTheme="majorHAnsi" w:cstheme="majorHAnsi"/>
          <w:sz w:val="24"/>
          <w:szCs w:val="24"/>
          <w:shd w:val="clear" w:color="auto" w:fill="FFFFFF" w:themeFill="background1"/>
          <w:lang w:eastAsia="ja-JP"/>
        </w:rPr>
        <w:t xml:space="preserve">și executat de </w:t>
      </w:r>
      <w:r w:rsidR="00B95415">
        <w:rPr>
          <w:rFonts w:asciiTheme="majorHAnsi" w:eastAsia="MS Mincho" w:hAnsiTheme="majorHAnsi" w:cstheme="majorHAnsi"/>
          <w:sz w:val="24"/>
          <w:szCs w:val="24"/>
          <w:lang w:eastAsia="ja-JP"/>
        </w:rPr>
        <w:t>3</w:t>
      </w:r>
      <w:r w:rsidR="008D7B5A">
        <w:rPr>
          <w:rFonts w:asciiTheme="majorHAnsi" w:eastAsia="MS Mincho" w:hAnsiTheme="majorHAnsi" w:cstheme="majorHAnsi"/>
          <w:sz w:val="24"/>
          <w:szCs w:val="24"/>
          <w:lang w:eastAsia="ja-JP"/>
        </w:rPr>
        <w:t xml:space="preserve"> </w:t>
      </w:r>
      <w:r w:rsidR="00B95415">
        <w:rPr>
          <w:rFonts w:asciiTheme="majorHAnsi" w:eastAsia="MS Mincho" w:hAnsiTheme="majorHAnsi" w:cstheme="majorHAnsi"/>
          <w:sz w:val="24"/>
          <w:szCs w:val="24"/>
          <w:lang w:eastAsia="ja-JP"/>
        </w:rPr>
        <w:t>911,2 mil.</w:t>
      </w:r>
      <w:r w:rsidR="008D7B5A">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B95415">
        <w:rPr>
          <w:rFonts w:asciiTheme="majorHAnsi" w:eastAsia="MS Mincho" w:hAnsiTheme="majorHAnsi" w:cstheme="majorHAnsi"/>
          <w:sz w:val="24"/>
          <w:szCs w:val="24"/>
          <w:lang w:eastAsia="ja-JP"/>
        </w:rPr>
        <w:t>.</w:t>
      </w:r>
    </w:p>
    <w:p w:rsidR="00B95415" w:rsidRDefault="00B95415" w:rsidP="008D7B5A">
      <w:pPr>
        <w:shd w:val="clear" w:color="auto" w:fill="FFFFFF" w:themeFill="background1"/>
        <w:spacing w:after="0" w:line="276" w:lineRule="auto"/>
        <w:ind w:firstLine="720"/>
        <w:jc w:val="both"/>
        <w:rPr>
          <w:rFonts w:asciiTheme="majorHAnsi" w:eastAsia="MS Mincho" w:hAnsiTheme="majorHAnsi" w:cstheme="majorHAnsi"/>
          <w:i/>
          <w:sz w:val="24"/>
          <w:szCs w:val="24"/>
          <w:lang w:eastAsia="ja-JP"/>
        </w:rPr>
      </w:pPr>
      <w:r w:rsidRPr="00097B2B">
        <w:rPr>
          <w:rFonts w:asciiTheme="majorHAnsi" w:eastAsia="MS Mincho" w:hAnsiTheme="majorHAnsi" w:cstheme="majorHAnsi"/>
          <w:sz w:val="24"/>
          <w:szCs w:val="24"/>
          <w:lang w:eastAsia="ja-JP"/>
        </w:rPr>
        <w:t>Analiza e</w:t>
      </w:r>
      <w:r>
        <w:rPr>
          <w:rFonts w:asciiTheme="majorHAnsi" w:eastAsia="MS Mincho" w:hAnsiTheme="majorHAnsi" w:cstheme="majorHAnsi"/>
          <w:sz w:val="24"/>
          <w:szCs w:val="24"/>
          <w:lang w:eastAsia="ja-JP"/>
        </w:rPr>
        <w:t>xecutării lunare</w:t>
      </w:r>
      <w:r w:rsidRPr="00097B2B">
        <w:rPr>
          <w:rFonts w:asciiTheme="majorHAnsi" w:eastAsia="MS Mincho" w:hAnsiTheme="majorHAnsi" w:cstheme="majorHAnsi"/>
          <w:sz w:val="24"/>
          <w:szCs w:val="24"/>
          <w:lang w:eastAsia="ja-JP"/>
        </w:rPr>
        <w:t xml:space="preserve"> </w:t>
      </w:r>
      <w:r w:rsidR="00885DD3">
        <w:rPr>
          <w:rFonts w:asciiTheme="majorHAnsi" w:eastAsia="MS Mincho" w:hAnsiTheme="majorHAnsi" w:cstheme="majorHAnsi"/>
          <w:sz w:val="24"/>
          <w:szCs w:val="24"/>
          <w:lang w:eastAsia="ja-JP"/>
        </w:rPr>
        <w:t xml:space="preserve">a </w:t>
      </w:r>
      <w:r w:rsidRPr="00097B2B">
        <w:rPr>
          <w:rFonts w:asciiTheme="majorHAnsi" w:eastAsia="MS Mincho" w:hAnsiTheme="majorHAnsi" w:cstheme="majorHAnsi"/>
          <w:sz w:val="24"/>
          <w:szCs w:val="24"/>
          <w:lang w:eastAsia="ja-JP"/>
        </w:rPr>
        <w:t>transferuri</w:t>
      </w:r>
      <w:r>
        <w:rPr>
          <w:rFonts w:asciiTheme="majorHAnsi" w:eastAsia="MS Mincho" w:hAnsiTheme="majorHAnsi" w:cstheme="majorHAnsi"/>
          <w:sz w:val="24"/>
          <w:szCs w:val="24"/>
          <w:lang w:eastAsia="ja-JP"/>
        </w:rPr>
        <w:t xml:space="preserve">lor cu destinație specială pentru </w:t>
      </w:r>
      <w:r w:rsidRPr="00097B2B">
        <w:rPr>
          <w:rFonts w:asciiTheme="majorHAnsi" w:eastAsia="MS Mincho" w:hAnsiTheme="majorHAnsi" w:cstheme="majorHAnsi"/>
          <w:sz w:val="24"/>
          <w:szCs w:val="24"/>
          <w:lang w:eastAsia="ja-JP"/>
        </w:rPr>
        <w:t xml:space="preserve">învățământul preșcolar, primar, secundar general, special și complementar (extrașcolar) denotă </w:t>
      </w:r>
      <w:r w:rsidR="0095348D">
        <w:rPr>
          <w:rFonts w:asciiTheme="majorHAnsi" w:eastAsia="MS Mincho" w:hAnsiTheme="majorHAnsi" w:cstheme="majorHAnsi"/>
          <w:sz w:val="24"/>
          <w:szCs w:val="24"/>
          <w:lang w:eastAsia="ja-JP"/>
        </w:rPr>
        <w:t>faptul că, deși transferurile su</w:t>
      </w:r>
      <w:r w:rsidRPr="00097B2B">
        <w:rPr>
          <w:rFonts w:asciiTheme="majorHAnsi" w:eastAsia="MS Mincho" w:hAnsiTheme="majorHAnsi" w:cstheme="majorHAnsi"/>
          <w:sz w:val="24"/>
          <w:szCs w:val="24"/>
          <w:lang w:eastAsia="ja-JP"/>
        </w:rPr>
        <w:t xml:space="preserve">nt destinate pentru acoperirea cheltuielilor curente și cheltuielilor capitale, și se execută în bază de necesități, în lunile iunie și decembrie se evidențiază volume sporite de transferuri, ce depășesc </w:t>
      </w:r>
      <w:r w:rsidRPr="00097B2B">
        <w:rPr>
          <w:rFonts w:asciiTheme="majorHAnsi" w:eastAsia="MS Mincho" w:hAnsiTheme="majorHAnsi" w:cstheme="majorHAnsi"/>
          <w:sz w:val="24"/>
          <w:szCs w:val="24"/>
          <w:lang w:eastAsia="ja-JP"/>
        </w:rPr>
        <w:lastRenderedPageBreak/>
        <w:t>aproximativ de 2 ori media lunară obișnuită</w:t>
      </w:r>
      <w:r>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respectiv</w:t>
      </w:r>
      <w:r w:rsidR="007B4620">
        <w:rPr>
          <w:rFonts w:asciiTheme="majorHAnsi" w:eastAsia="MS Mincho" w:hAnsiTheme="majorHAnsi" w:cstheme="majorHAnsi"/>
          <w:sz w:val="24"/>
          <w:szCs w:val="24"/>
          <w:lang w:eastAsia="ja-JP"/>
        </w:rPr>
        <w:t>,</w:t>
      </w:r>
      <w:r w:rsidRPr="00097B2B">
        <w:rPr>
          <w:rFonts w:asciiTheme="majorHAnsi" w:eastAsia="MS Mincho" w:hAnsiTheme="majorHAnsi" w:cstheme="majorHAnsi"/>
          <w:sz w:val="24"/>
          <w:szCs w:val="24"/>
          <w:lang w:eastAsia="ja-JP"/>
        </w:rPr>
        <w:t xml:space="preserve"> de 790,5 mil.</w:t>
      </w:r>
      <w:r w:rsidR="007B4620">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Pr="00097B2B">
        <w:rPr>
          <w:rFonts w:asciiTheme="majorHAnsi" w:eastAsia="MS Mincho" w:hAnsiTheme="majorHAnsi" w:cstheme="majorHAnsi"/>
          <w:sz w:val="24"/>
          <w:szCs w:val="24"/>
          <w:lang w:eastAsia="ja-JP"/>
        </w:rPr>
        <w:t xml:space="preserve"> </w:t>
      </w:r>
      <w:r>
        <w:rPr>
          <w:rFonts w:asciiTheme="majorHAnsi" w:eastAsia="MS Mincho" w:hAnsiTheme="majorHAnsi" w:cstheme="majorHAnsi"/>
          <w:sz w:val="24"/>
          <w:szCs w:val="24"/>
          <w:lang w:eastAsia="ja-JP"/>
        </w:rPr>
        <w:t>(</w:t>
      </w:r>
      <w:r w:rsidR="007B4620">
        <w:rPr>
          <w:rFonts w:asciiTheme="majorHAnsi" w:eastAsia="MS Mincho" w:hAnsiTheme="majorHAnsi" w:cstheme="majorHAnsi"/>
          <w:sz w:val="24"/>
          <w:szCs w:val="24"/>
          <w:lang w:eastAsia="ja-JP"/>
        </w:rPr>
        <w:t xml:space="preserve">în </w:t>
      </w:r>
      <w:r>
        <w:rPr>
          <w:rFonts w:asciiTheme="majorHAnsi" w:eastAsia="MS Mincho" w:hAnsiTheme="majorHAnsi" w:cstheme="majorHAnsi"/>
          <w:sz w:val="24"/>
          <w:szCs w:val="24"/>
          <w:lang w:eastAsia="ja-JP"/>
        </w:rPr>
        <w:t>perioad</w:t>
      </w:r>
      <w:r w:rsidR="007B4620">
        <w:rPr>
          <w:rFonts w:asciiTheme="majorHAnsi" w:eastAsia="MS Mincho" w:hAnsiTheme="majorHAnsi" w:cstheme="majorHAnsi"/>
          <w:sz w:val="24"/>
          <w:szCs w:val="24"/>
          <w:lang w:eastAsia="ja-JP"/>
        </w:rPr>
        <w:t>a</w:t>
      </w:r>
      <w:r>
        <w:rPr>
          <w:rFonts w:asciiTheme="majorHAnsi" w:eastAsia="MS Mincho" w:hAnsiTheme="majorHAnsi" w:cstheme="majorHAnsi"/>
          <w:sz w:val="24"/>
          <w:szCs w:val="24"/>
          <w:lang w:eastAsia="ja-JP"/>
        </w:rPr>
        <w:t xml:space="preserve"> concediilor anuale) </w:t>
      </w:r>
      <w:r w:rsidRPr="00097B2B">
        <w:rPr>
          <w:rFonts w:asciiTheme="majorHAnsi" w:eastAsia="MS Mincho" w:hAnsiTheme="majorHAnsi" w:cstheme="majorHAnsi"/>
          <w:sz w:val="24"/>
          <w:szCs w:val="24"/>
          <w:lang w:eastAsia="ja-JP"/>
        </w:rPr>
        <w:t>ș</w:t>
      </w:r>
      <w:r>
        <w:rPr>
          <w:rFonts w:asciiTheme="majorHAnsi" w:eastAsia="MS Mincho" w:hAnsiTheme="majorHAnsi" w:cstheme="majorHAnsi"/>
          <w:sz w:val="24"/>
          <w:szCs w:val="24"/>
          <w:lang w:eastAsia="ja-JP"/>
        </w:rPr>
        <w:t xml:space="preserve">i </w:t>
      </w:r>
      <w:r w:rsidR="007B4620">
        <w:rPr>
          <w:rFonts w:asciiTheme="majorHAnsi" w:eastAsia="MS Mincho" w:hAnsiTheme="majorHAnsi" w:cstheme="majorHAnsi"/>
          <w:sz w:val="24"/>
          <w:szCs w:val="24"/>
          <w:lang w:eastAsia="ja-JP"/>
        </w:rPr>
        <w:t xml:space="preserve">de </w:t>
      </w:r>
      <w:r>
        <w:rPr>
          <w:rFonts w:asciiTheme="majorHAnsi" w:eastAsia="MS Mincho" w:hAnsiTheme="majorHAnsi" w:cstheme="majorHAnsi"/>
          <w:sz w:val="24"/>
          <w:szCs w:val="24"/>
          <w:lang w:eastAsia="ja-JP"/>
        </w:rPr>
        <w:t>808,6 mil.</w:t>
      </w:r>
      <w:r w:rsidR="007B4620">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Pr>
          <w:rFonts w:asciiTheme="majorHAnsi" w:eastAsia="MS Mincho" w:hAnsiTheme="majorHAnsi" w:cstheme="majorHAnsi"/>
          <w:sz w:val="24"/>
          <w:szCs w:val="24"/>
          <w:lang w:eastAsia="ja-JP"/>
        </w:rPr>
        <w:t xml:space="preserve"> (</w:t>
      </w:r>
      <w:r w:rsidR="007B4620">
        <w:rPr>
          <w:rFonts w:asciiTheme="majorHAnsi" w:eastAsia="MS Mincho" w:hAnsiTheme="majorHAnsi" w:cstheme="majorHAnsi"/>
          <w:sz w:val="24"/>
          <w:szCs w:val="24"/>
          <w:lang w:eastAsia="ja-JP"/>
        </w:rPr>
        <w:t xml:space="preserve">la </w:t>
      </w:r>
      <w:r>
        <w:rPr>
          <w:rFonts w:asciiTheme="majorHAnsi" w:eastAsia="MS Mincho" w:hAnsiTheme="majorHAnsi" w:cstheme="majorHAnsi"/>
          <w:sz w:val="24"/>
          <w:szCs w:val="24"/>
          <w:lang w:eastAsia="ja-JP"/>
        </w:rPr>
        <w:t>sfârșitul perioadei de gestiune)</w:t>
      </w:r>
      <w:r w:rsidRPr="00097B2B">
        <w:rPr>
          <w:rFonts w:asciiTheme="majorHAnsi" w:eastAsia="MS Mincho" w:hAnsiTheme="majorHAnsi" w:cstheme="majorHAnsi"/>
          <w:sz w:val="24"/>
          <w:szCs w:val="24"/>
          <w:lang w:eastAsia="ja-JP"/>
        </w:rPr>
        <w:t xml:space="preserve">. </w:t>
      </w:r>
      <w:r w:rsidRPr="00097B2B">
        <w:rPr>
          <w:rFonts w:asciiTheme="majorHAnsi" w:eastAsia="MS Mincho" w:hAnsiTheme="majorHAnsi" w:cstheme="majorHAnsi"/>
          <w:i/>
          <w:sz w:val="24"/>
          <w:szCs w:val="24"/>
          <w:lang w:eastAsia="ja-JP"/>
        </w:rPr>
        <w:t>Analiza e</w:t>
      </w:r>
      <w:r w:rsidRPr="00097B2B">
        <w:rPr>
          <w:rFonts w:asciiTheme="majorHAnsi" w:eastAsia="MS Mincho" w:hAnsiTheme="majorHAnsi" w:cstheme="majorHAnsi"/>
          <w:bCs/>
          <w:i/>
          <w:sz w:val="24"/>
          <w:szCs w:val="24"/>
          <w:lang w:eastAsia="ja-JP"/>
        </w:rPr>
        <w:t xml:space="preserve">xecutării lunare a transferurilor cu destinație specială pentru învățământ </w:t>
      </w:r>
      <w:r w:rsidR="007B4620">
        <w:rPr>
          <w:rFonts w:asciiTheme="majorHAnsi" w:eastAsia="MS Mincho" w:hAnsiTheme="majorHAnsi" w:cstheme="majorHAnsi"/>
          <w:bCs/>
          <w:i/>
          <w:sz w:val="24"/>
          <w:szCs w:val="24"/>
          <w:lang w:eastAsia="ja-JP"/>
        </w:rPr>
        <w:t>în</w:t>
      </w:r>
      <w:r w:rsidRPr="00097B2B">
        <w:rPr>
          <w:rFonts w:asciiTheme="majorHAnsi" w:eastAsia="MS Mincho" w:hAnsiTheme="majorHAnsi" w:cstheme="majorHAnsi"/>
          <w:bCs/>
          <w:i/>
          <w:sz w:val="24"/>
          <w:szCs w:val="24"/>
          <w:lang w:eastAsia="ja-JP"/>
        </w:rPr>
        <w:t xml:space="preserve"> anul 2018 se prezintă în </w:t>
      </w:r>
      <w:r w:rsidR="002D6A74">
        <w:rPr>
          <w:rFonts w:asciiTheme="majorHAnsi" w:eastAsia="MS Mincho" w:hAnsiTheme="majorHAnsi" w:cstheme="majorHAnsi"/>
          <w:i/>
          <w:sz w:val="24"/>
          <w:szCs w:val="24"/>
          <w:lang w:eastAsia="ja-JP"/>
        </w:rPr>
        <w:t>Diagrama nr.6.</w:t>
      </w:r>
    </w:p>
    <w:p w:rsidR="00B95415" w:rsidRPr="003F3674" w:rsidRDefault="003F3674" w:rsidP="003F3674">
      <w:pPr>
        <w:shd w:val="clear" w:color="auto" w:fill="FFFFFF" w:themeFill="background1"/>
        <w:spacing w:after="0" w:line="276" w:lineRule="auto"/>
        <w:ind w:firstLine="720"/>
        <w:jc w:val="right"/>
        <w:rPr>
          <w:rFonts w:asciiTheme="majorHAnsi" w:eastAsia="MS Mincho" w:hAnsiTheme="majorHAnsi" w:cstheme="majorHAnsi"/>
          <w:i/>
          <w:sz w:val="24"/>
          <w:szCs w:val="24"/>
          <w:lang w:eastAsia="ja-JP"/>
        </w:rPr>
      </w:pPr>
      <w:r w:rsidRPr="003F3674">
        <w:rPr>
          <w:rFonts w:asciiTheme="majorHAnsi" w:eastAsia="MS Mincho" w:hAnsiTheme="majorHAnsi" w:cstheme="majorHAnsi"/>
          <w:i/>
          <w:sz w:val="24"/>
          <w:szCs w:val="24"/>
          <w:lang w:eastAsia="ja-JP"/>
        </w:rPr>
        <w:t>Diagrama nr.</w:t>
      </w:r>
      <w:r w:rsidR="002D6A74">
        <w:rPr>
          <w:rFonts w:asciiTheme="majorHAnsi" w:eastAsia="MS Mincho" w:hAnsiTheme="majorHAnsi" w:cstheme="majorHAnsi"/>
          <w:i/>
          <w:sz w:val="24"/>
          <w:szCs w:val="24"/>
          <w:lang w:eastAsia="ja-JP"/>
        </w:rPr>
        <w:t>6</w:t>
      </w:r>
    </w:p>
    <w:p w:rsidR="00B95415" w:rsidRDefault="00B95415" w:rsidP="00B95415">
      <w:pPr>
        <w:shd w:val="clear" w:color="auto" w:fill="FFFFFF" w:themeFill="background1"/>
        <w:spacing w:after="0" w:line="240" w:lineRule="auto"/>
        <w:ind w:firstLine="720"/>
        <w:jc w:val="center"/>
        <w:rPr>
          <w:rFonts w:asciiTheme="majorHAnsi" w:eastAsia="MS Mincho" w:hAnsiTheme="majorHAnsi" w:cstheme="majorHAnsi"/>
          <w:b/>
          <w:bCs/>
          <w:sz w:val="24"/>
          <w:szCs w:val="24"/>
          <w:lang w:eastAsia="ja-JP"/>
        </w:rPr>
      </w:pPr>
      <w:r w:rsidRPr="00097B2B">
        <w:rPr>
          <w:rFonts w:asciiTheme="majorHAnsi" w:eastAsia="MS Mincho" w:hAnsiTheme="majorHAnsi" w:cstheme="majorHAnsi"/>
          <w:b/>
          <w:bCs/>
          <w:sz w:val="24"/>
          <w:szCs w:val="24"/>
          <w:lang w:eastAsia="ja-JP"/>
        </w:rPr>
        <w:t xml:space="preserve">Executarea lunară a transferurilor cu destinație specială pentru </w:t>
      </w:r>
    </w:p>
    <w:p w:rsidR="00B95415" w:rsidRDefault="00B95415" w:rsidP="00B95415">
      <w:pPr>
        <w:shd w:val="clear" w:color="auto" w:fill="FFFFFF" w:themeFill="background1"/>
        <w:spacing w:after="0" w:line="240" w:lineRule="auto"/>
        <w:ind w:firstLine="720"/>
        <w:jc w:val="center"/>
        <w:rPr>
          <w:rFonts w:asciiTheme="majorHAnsi" w:eastAsia="MS Mincho" w:hAnsiTheme="majorHAnsi" w:cstheme="majorHAnsi"/>
          <w:b/>
          <w:bCs/>
          <w:sz w:val="24"/>
          <w:szCs w:val="24"/>
          <w:lang w:eastAsia="ja-JP"/>
        </w:rPr>
      </w:pPr>
      <w:r w:rsidRPr="00097B2B">
        <w:rPr>
          <w:rFonts w:asciiTheme="majorHAnsi" w:eastAsia="MS Mincho" w:hAnsiTheme="majorHAnsi" w:cstheme="majorHAnsi"/>
          <w:b/>
          <w:bCs/>
          <w:sz w:val="24"/>
          <w:szCs w:val="24"/>
          <w:lang w:eastAsia="ja-JP"/>
        </w:rPr>
        <w:t xml:space="preserve">învățământ </w:t>
      </w:r>
      <w:r w:rsidR="007B4620">
        <w:rPr>
          <w:rFonts w:asciiTheme="majorHAnsi" w:eastAsia="MS Mincho" w:hAnsiTheme="majorHAnsi" w:cstheme="majorHAnsi"/>
          <w:b/>
          <w:bCs/>
          <w:sz w:val="24"/>
          <w:szCs w:val="24"/>
          <w:lang w:eastAsia="ja-JP"/>
        </w:rPr>
        <w:t>în</w:t>
      </w:r>
      <w:r w:rsidRPr="00097B2B">
        <w:rPr>
          <w:rFonts w:asciiTheme="majorHAnsi" w:eastAsia="MS Mincho" w:hAnsiTheme="majorHAnsi" w:cstheme="majorHAnsi"/>
          <w:b/>
          <w:bCs/>
          <w:sz w:val="24"/>
          <w:szCs w:val="24"/>
          <w:lang w:eastAsia="ja-JP"/>
        </w:rPr>
        <w:t xml:space="preserve"> anul 2018</w:t>
      </w:r>
    </w:p>
    <w:p w:rsidR="000C2CA8" w:rsidRDefault="000C2CA8" w:rsidP="003F3674">
      <w:pPr>
        <w:shd w:val="clear" w:color="auto" w:fill="FFFFFF" w:themeFill="background1"/>
        <w:spacing w:after="0" w:line="240" w:lineRule="auto"/>
        <w:ind w:right="757" w:firstLine="720"/>
        <w:jc w:val="right"/>
        <w:rPr>
          <w:rFonts w:asciiTheme="majorHAnsi" w:eastAsia="MS Mincho" w:hAnsiTheme="majorHAnsi" w:cstheme="majorHAnsi"/>
          <w:b/>
          <w:bCs/>
          <w:sz w:val="24"/>
          <w:szCs w:val="24"/>
          <w:lang w:eastAsia="ja-JP"/>
        </w:rPr>
      </w:pPr>
      <w:r>
        <w:rPr>
          <w:rFonts w:asciiTheme="majorHAnsi" w:eastAsia="MS Mincho" w:hAnsiTheme="majorHAnsi" w:cstheme="majorHAnsi"/>
          <w:b/>
          <w:bCs/>
          <w:sz w:val="24"/>
          <w:szCs w:val="24"/>
          <w:lang w:eastAsia="ja-JP"/>
        </w:rPr>
        <w:t xml:space="preserve">(mil. </w:t>
      </w:r>
      <w:r w:rsidR="007160B9">
        <w:rPr>
          <w:rFonts w:asciiTheme="majorHAnsi" w:eastAsia="MS Mincho" w:hAnsiTheme="majorHAnsi" w:cstheme="majorHAnsi"/>
          <w:b/>
          <w:bCs/>
          <w:sz w:val="24"/>
          <w:szCs w:val="24"/>
          <w:lang w:eastAsia="ja-JP"/>
        </w:rPr>
        <w:t>MDL</w:t>
      </w:r>
      <w:r>
        <w:rPr>
          <w:rFonts w:asciiTheme="majorHAnsi" w:eastAsia="MS Mincho" w:hAnsiTheme="majorHAnsi" w:cstheme="majorHAnsi"/>
          <w:b/>
          <w:bCs/>
          <w:sz w:val="24"/>
          <w:szCs w:val="24"/>
          <w:lang w:eastAsia="ja-JP"/>
        </w:rPr>
        <w:t>)</w:t>
      </w:r>
    </w:p>
    <w:p w:rsidR="00B95415" w:rsidRPr="00D1173B" w:rsidRDefault="00D1173B" w:rsidP="003F3674">
      <w:pPr>
        <w:shd w:val="clear" w:color="auto" w:fill="FFFFFF" w:themeFill="background1"/>
        <w:spacing w:after="0" w:line="240" w:lineRule="auto"/>
        <w:jc w:val="center"/>
        <w:rPr>
          <w:rFonts w:asciiTheme="majorHAnsi" w:eastAsia="MS Mincho" w:hAnsiTheme="majorHAnsi" w:cstheme="majorHAnsi"/>
          <w:b/>
          <w:bCs/>
          <w:sz w:val="24"/>
          <w:szCs w:val="24"/>
          <w:lang w:eastAsia="ja-JP"/>
        </w:rPr>
      </w:pPr>
      <w:r w:rsidRPr="005A4D3E">
        <w:rPr>
          <w:rFonts w:asciiTheme="majorHAnsi" w:hAnsiTheme="majorHAnsi" w:cstheme="majorHAnsi"/>
          <w:noProof/>
          <w:lang w:val="en-US"/>
        </w:rPr>
        <w:drawing>
          <wp:inline distT="0" distB="0" distL="0" distR="0" wp14:anchorId="3012DDE3" wp14:editId="5ED722BB">
            <wp:extent cx="5142839" cy="1854835"/>
            <wp:effectExtent l="0" t="0" r="127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95415" w:rsidRPr="008D7B5A" w:rsidRDefault="000C2CA8" w:rsidP="003F3674">
      <w:pPr>
        <w:shd w:val="clear" w:color="auto" w:fill="FFFFFF" w:themeFill="background1"/>
        <w:spacing w:after="0" w:line="240" w:lineRule="auto"/>
        <w:ind w:left="709" w:right="474"/>
        <w:jc w:val="both"/>
        <w:rPr>
          <w:rFonts w:asciiTheme="majorHAnsi" w:eastAsia="MS Mincho" w:hAnsiTheme="majorHAnsi" w:cstheme="majorHAnsi"/>
          <w:i/>
          <w:sz w:val="20"/>
          <w:szCs w:val="20"/>
          <w:lang w:eastAsia="ja-JP"/>
        </w:rPr>
      </w:pPr>
      <w:r>
        <w:rPr>
          <w:rFonts w:asciiTheme="majorHAnsi" w:eastAsia="MS Mincho" w:hAnsiTheme="majorHAnsi" w:cstheme="majorHAnsi"/>
          <w:b/>
          <w:i/>
          <w:sz w:val="20"/>
          <w:szCs w:val="20"/>
          <w:lang w:eastAsia="ja-JP"/>
        </w:rPr>
        <w:t>Sursă</w:t>
      </w:r>
      <w:r w:rsidR="00B95415" w:rsidRPr="008D7B5A">
        <w:rPr>
          <w:rFonts w:asciiTheme="majorHAnsi" w:eastAsia="MS Mincho" w:hAnsiTheme="majorHAnsi" w:cstheme="majorHAnsi"/>
          <w:b/>
          <w:i/>
          <w:sz w:val="20"/>
          <w:szCs w:val="20"/>
          <w:lang w:eastAsia="ja-JP"/>
        </w:rPr>
        <w:t>:</w:t>
      </w:r>
      <w:r w:rsidR="00B95415" w:rsidRPr="008D7B5A">
        <w:rPr>
          <w:rFonts w:asciiTheme="majorHAnsi" w:eastAsia="MS Mincho" w:hAnsiTheme="majorHAnsi" w:cstheme="majorHAnsi"/>
          <w:i/>
          <w:sz w:val="20"/>
          <w:szCs w:val="20"/>
          <w:lang w:eastAsia="ja-JP"/>
        </w:rPr>
        <w:t xml:space="preserve"> Informații generalizate de echipa de audit în baza datelor din Forma FA-005 „Raport analitic privind executarea BPN conform ECO”</w:t>
      </w:r>
      <w:r w:rsidR="002D6A74">
        <w:rPr>
          <w:rFonts w:asciiTheme="majorHAnsi" w:eastAsia="MS Mincho" w:hAnsiTheme="majorHAnsi" w:cstheme="majorHAnsi"/>
          <w:i/>
          <w:sz w:val="20"/>
          <w:szCs w:val="20"/>
          <w:lang w:eastAsia="ja-JP"/>
        </w:rPr>
        <w:t>.</w:t>
      </w:r>
    </w:p>
    <w:p w:rsidR="00B95415" w:rsidRDefault="00B95415" w:rsidP="00B95415">
      <w:pPr>
        <w:shd w:val="clear" w:color="auto" w:fill="FFFFFF" w:themeFill="background1"/>
        <w:spacing w:after="0" w:line="240" w:lineRule="auto"/>
        <w:ind w:firstLine="720"/>
        <w:jc w:val="both"/>
        <w:rPr>
          <w:rFonts w:asciiTheme="majorHAnsi" w:eastAsia="MS Mincho" w:hAnsiTheme="majorHAnsi" w:cstheme="majorHAnsi"/>
          <w:sz w:val="24"/>
          <w:szCs w:val="24"/>
          <w:lang w:eastAsia="ja-JP"/>
        </w:rPr>
      </w:pPr>
    </w:p>
    <w:p w:rsidR="00B95415" w:rsidRDefault="00235386" w:rsidP="008D7B5A">
      <w:pPr>
        <w:shd w:val="clear" w:color="auto" w:fill="FFFFFF" w:themeFill="background1"/>
        <w:spacing w:after="0" w:line="276" w:lineRule="auto"/>
        <w:ind w:firstLine="720"/>
        <w:jc w:val="both"/>
        <w:rPr>
          <w:rFonts w:asciiTheme="majorHAnsi" w:eastAsia="MS Mincho" w:hAnsiTheme="majorHAnsi" w:cstheme="majorHAnsi"/>
          <w:i/>
          <w:sz w:val="24"/>
          <w:szCs w:val="24"/>
          <w:lang w:eastAsia="ja-JP"/>
        </w:rPr>
      </w:pPr>
      <w:r>
        <w:rPr>
          <w:rFonts w:asciiTheme="majorHAnsi" w:eastAsia="MS Mincho" w:hAnsiTheme="majorHAnsi" w:cstheme="majorHAnsi"/>
          <w:sz w:val="24"/>
          <w:szCs w:val="24"/>
          <w:lang w:eastAsia="ja-JP"/>
        </w:rPr>
        <w:t>Î</w:t>
      </w:r>
      <w:r w:rsidR="00B95415">
        <w:rPr>
          <w:rFonts w:asciiTheme="majorHAnsi" w:eastAsia="MS Mincho" w:hAnsiTheme="majorHAnsi" w:cstheme="majorHAnsi"/>
          <w:sz w:val="24"/>
          <w:szCs w:val="24"/>
          <w:lang w:eastAsia="ja-JP"/>
        </w:rPr>
        <w:t xml:space="preserve">n opinia echipei de audit, utilizarea metodologiei existente de calculare a transferurilor pentru învățământ, executarea volumului sporit de alocații la sfârșitul anului și/sau incapacitatea autorităților locale de a utiliza eficient resursele alocate </w:t>
      </w:r>
      <w:r w:rsidR="006F0572">
        <w:rPr>
          <w:rFonts w:asciiTheme="majorHAnsi" w:eastAsia="MS Mincho" w:hAnsiTheme="majorHAnsi" w:cstheme="majorHAnsi"/>
          <w:sz w:val="24"/>
          <w:szCs w:val="24"/>
          <w:lang w:eastAsia="ja-JP"/>
        </w:rPr>
        <w:t>cauzează</w:t>
      </w:r>
      <w:r w:rsidR="00B95415">
        <w:rPr>
          <w:rFonts w:asciiTheme="majorHAnsi" w:eastAsia="MS Mincho" w:hAnsiTheme="majorHAnsi" w:cstheme="majorHAnsi"/>
          <w:sz w:val="24"/>
          <w:szCs w:val="24"/>
          <w:lang w:eastAsia="ja-JP"/>
        </w:rPr>
        <w:t xml:space="preserve"> crearea soldurilor</w:t>
      </w:r>
      <w:r w:rsidR="006F0572">
        <w:rPr>
          <w:rFonts w:asciiTheme="majorHAnsi" w:eastAsia="MS Mincho" w:hAnsiTheme="majorHAnsi" w:cstheme="majorHAnsi"/>
          <w:sz w:val="24"/>
          <w:szCs w:val="24"/>
          <w:lang w:eastAsia="ja-JP"/>
        </w:rPr>
        <w:t xml:space="preserve"> în conturile APL, inclusiv din contul mijloacelor provenite din BS</w:t>
      </w:r>
      <w:r w:rsidR="00B95415">
        <w:rPr>
          <w:rFonts w:asciiTheme="majorHAnsi" w:eastAsia="MS Mincho" w:hAnsiTheme="majorHAnsi" w:cstheme="majorHAnsi"/>
          <w:sz w:val="24"/>
          <w:szCs w:val="24"/>
          <w:lang w:eastAsia="ja-JP"/>
        </w:rPr>
        <w:t>, care în anul 2018 au înregistrat o valoare de 244,1 mil.</w:t>
      </w:r>
      <w:r w:rsidR="008D7B5A">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 xml:space="preserve">MDL </w:t>
      </w:r>
      <w:r w:rsidR="00B95415">
        <w:rPr>
          <w:rFonts w:asciiTheme="majorHAnsi" w:eastAsia="MS Mincho" w:hAnsiTheme="majorHAnsi" w:cstheme="majorHAnsi"/>
          <w:sz w:val="24"/>
          <w:szCs w:val="24"/>
          <w:lang w:eastAsia="ja-JP"/>
        </w:rPr>
        <w:t xml:space="preserve"> </w:t>
      </w:r>
      <w:r w:rsidR="00A9120E">
        <w:rPr>
          <w:rFonts w:asciiTheme="majorHAnsi" w:eastAsia="MS Mincho" w:hAnsiTheme="majorHAnsi" w:cstheme="majorHAnsi"/>
          <w:sz w:val="24"/>
          <w:szCs w:val="24"/>
          <w:lang w:eastAsia="ja-JP"/>
        </w:rPr>
        <w:t xml:space="preserve">(96,8% din volumul total) </w:t>
      </w:r>
      <w:r w:rsidR="00B95415">
        <w:rPr>
          <w:rFonts w:asciiTheme="majorHAnsi" w:eastAsia="MS Mincho" w:hAnsiTheme="majorHAnsi" w:cstheme="majorHAnsi"/>
          <w:sz w:val="24"/>
          <w:szCs w:val="24"/>
          <w:lang w:eastAsia="ja-JP"/>
        </w:rPr>
        <w:t>față de 125,3 mil.</w:t>
      </w:r>
      <w:r w:rsidR="008D7B5A">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B95415">
        <w:rPr>
          <w:rFonts w:asciiTheme="majorHAnsi" w:eastAsia="MS Mincho" w:hAnsiTheme="majorHAnsi" w:cstheme="majorHAnsi"/>
          <w:sz w:val="24"/>
          <w:szCs w:val="24"/>
          <w:lang w:eastAsia="ja-JP"/>
        </w:rPr>
        <w:t xml:space="preserve"> în anul 2017</w:t>
      </w:r>
      <w:r w:rsidR="007B4620">
        <w:rPr>
          <w:rFonts w:asciiTheme="majorHAnsi" w:eastAsia="MS Mincho" w:hAnsiTheme="majorHAnsi" w:cstheme="majorHAnsi"/>
          <w:sz w:val="24"/>
          <w:szCs w:val="24"/>
          <w:lang w:eastAsia="ja-JP"/>
        </w:rPr>
        <w:t>,</w:t>
      </w:r>
      <w:r w:rsidR="00B95415">
        <w:rPr>
          <w:rFonts w:asciiTheme="majorHAnsi" w:eastAsia="MS Mincho" w:hAnsiTheme="majorHAnsi" w:cstheme="majorHAnsi"/>
          <w:sz w:val="24"/>
          <w:szCs w:val="24"/>
          <w:lang w:eastAsia="ja-JP"/>
        </w:rPr>
        <w:t xml:space="preserve"> sau cu 118,8 mil.</w:t>
      </w:r>
      <w:r w:rsidR="008D7B5A">
        <w:rPr>
          <w:rFonts w:asciiTheme="majorHAnsi" w:eastAsia="MS Mincho" w:hAnsiTheme="majorHAnsi" w:cstheme="majorHAnsi"/>
          <w:sz w:val="24"/>
          <w:szCs w:val="24"/>
          <w:lang w:eastAsia="ja-JP"/>
        </w:rPr>
        <w:t xml:space="preserve"> </w:t>
      </w:r>
      <w:r w:rsidR="007160B9">
        <w:rPr>
          <w:rFonts w:asciiTheme="majorHAnsi" w:eastAsia="MS Mincho" w:hAnsiTheme="majorHAnsi" w:cstheme="majorHAnsi"/>
          <w:sz w:val="24"/>
          <w:szCs w:val="24"/>
          <w:lang w:eastAsia="ja-JP"/>
        </w:rPr>
        <w:t>MDL</w:t>
      </w:r>
      <w:r w:rsidR="00B95415">
        <w:rPr>
          <w:rFonts w:asciiTheme="majorHAnsi" w:eastAsia="MS Mincho" w:hAnsiTheme="majorHAnsi" w:cstheme="majorHAnsi"/>
          <w:sz w:val="24"/>
          <w:szCs w:val="24"/>
          <w:lang w:eastAsia="ja-JP"/>
        </w:rPr>
        <w:t xml:space="preserve"> mai mult. </w:t>
      </w:r>
      <w:r w:rsidR="00B95415">
        <w:rPr>
          <w:rFonts w:asciiTheme="majorHAnsi" w:eastAsia="MS Mincho" w:hAnsiTheme="majorHAnsi" w:cstheme="majorHAnsi"/>
          <w:i/>
          <w:sz w:val="24"/>
          <w:szCs w:val="24"/>
          <w:lang w:eastAsia="ja-JP"/>
        </w:rPr>
        <w:t>Sinteza soldurilor în structur</w:t>
      </w:r>
      <w:r w:rsidR="007B4620">
        <w:rPr>
          <w:rFonts w:asciiTheme="majorHAnsi" w:eastAsia="MS Mincho" w:hAnsiTheme="majorHAnsi" w:cstheme="majorHAnsi"/>
          <w:i/>
          <w:sz w:val="24"/>
          <w:szCs w:val="24"/>
          <w:lang w:eastAsia="ja-JP"/>
        </w:rPr>
        <w:t>a</w:t>
      </w:r>
      <w:r w:rsidR="00B95415">
        <w:rPr>
          <w:rFonts w:asciiTheme="majorHAnsi" w:eastAsia="MS Mincho" w:hAnsiTheme="majorHAnsi" w:cstheme="majorHAnsi"/>
          <w:i/>
          <w:sz w:val="24"/>
          <w:szCs w:val="24"/>
          <w:lang w:eastAsia="ja-JP"/>
        </w:rPr>
        <w:t xml:space="preserve"> transferuril</w:t>
      </w:r>
      <w:r w:rsidR="007B4620">
        <w:rPr>
          <w:rFonts w:asciiTheme="majorHAnsi" w:eastAsia="MS Mincho" w:hAnsiTheme="majorHAnsi" w:cstheme="majorHAnsi"/>
          <w:i/>
          <w:sz w:val="24"/>
          <w:szCs w:val="24"/>
          <w:lang w:eastAsia="ja-JP"/>
        </w:rPr>
        <w:t>or</w:t>
      </w:r>
      <w:r w:rsidR="00B95415">
        <w:rPr>
          <w:rFonts w:asciiTheme="majorHAnsi" w:eastAsia="MS Mincho" w:hAnsiTheme="majorHAnsi" w:cstheme="majorHAnsi"/>
          <w:i/>
          <w:sz w:val="24"/>
          <w:szCs w:val="24"/>
          <w:lang w:eastAsia="ja-JP"/>
        </w:rPr>
        <w:t xml:space="preserve"> cu destinație specială este prezentată în Tabelul nr.</w:t>
      </w:r>
      <w:r w:rsidR="00523058">
        <w:rPr>
          <w:rFonts w:asciiTheme="majorHAnsi" w:eastAsia="MS Mincho" w:hAnsiTheme="majorHAnsi" w:cstheme="majorHAnsi"/>
          <w:i/>
          <w:sz w:val="24"/>
          <w:szCs w:val="24"/>
          <w:lang w:eastAsia="ja-JP"/>
        </w:rPr>
        <w:t>9.</w:t>
      </w:r>
    </w:p>
    <w:p w:rsidR="00B95415" w:rsidRPr="00E5744C" w:rsidRDefault="00FD58C8" w:rsidP="00FD58C8">
      <w:pPr>
        <w:shd w:val="clear" w:color="auto" w:fill="FFFFFF" w:themeFill="background1"/>
        <w:spacing w:after="0" w:line="240" w:lineRule="auto"/>
        <w:ind w:firstLine="720"/>
        <w:jc w:val="right"/>
        <w:rPr>
          <w:rFonts w:asciiTheme="majorHAnsi" w:eastAsia="MS Mincho" w:hAnsiTheme="majorHAnsi" w:cstheme="majorHAnsi"/>
          <w:i/>
          <w:sz w:val="24"/>
          <w:szCs w:val="24"/>
          <w:lang w:eastAsia="ja-JP"/>
        </w:rPr>
      </w:pPr>
      <w:r w:rsidRPr="00E5744C">
        <w:rPr>
          <w:rFonts w:asciiTheme="majorHAnsi" w:eastAsia="MS Mincho" w:hAnsiTheme="majorHAnsi" w:cstheme="majorHAnsi"/>
          <w:i/>
          <w:sz w:val="24"/>
          <w:szCs w:val="24"/>
          <w:lang w:eastAsia="ja-JP"/>
        </w:rPr>
        <w:t>Tabelul nr.</w:t>
      </w:r>
      <w:r w:rsidR="00523058">
        <w:rPr>
          <w:rFonts w:asciiTheme="majorHAnsi" w:eastAsia="MS Mincho" w:hAnsiTheme="majorHAnsi" w:cstheme="majorHAnsi"/>
          <w:i/>
          <w:sz w:val="24"/>
          <w:szCs w:val="24"/>
          <w:lang w:eastAsia="ja-JP"/>
        </w:rPr>
        <w:t>9</w:t>
      </w:r>
    </w:p>
    <w:tbl>
      <w:tblPr>
        <w:tblW w:w="8282" w:type="dxa"/>
        <w:jc w:val="center"/>
        <w:tblLook w:val="04A0" w:firstRow="1" w:lastRow="0" w:firstColumn="1" w:lastColumn="0" w:noHBand="0" w:noVBand="1"/>
      </w:tblPr>
      <w:tblGrid>
        <w:gridCol w:w="5490"/>
        <w:gridCol w:w="1530"/>
        <w:gridCol w:w="1262"/>
      </w:tblGrid>
      <w:tr w:rsidR="00B95415" w:rsidRPr="00E5744C" w:rsidTr="008D7B5A">
        <w:trPr>
          <w:trHeight w:val="430"/>
          <w:jc w:val="center"/>
        </w:trPr>
        <w:tc>
          <w:tcPr>
            <w:tcW w:w="8282" w:type="dxa"/>
            <w:gridSpan w:val="3"/>
            <w:tcBorders>
              <w:top w:val="nil"/>
              <w:bottom w:val="single" w:sz="4" w:space="0" w:color="auto"/>
            </w:tcBorders>
            <w:shd w:val="clear" w:color="auto" w:fill="auto"/>
            <w:noWrap/>
            <w:vAlign w:val="center"/>
            <w:hideMark/>
          </w:tcPr>
          <w:p w:rsidR="00B95415" w:rsidRPr="00E5744C" w:rsidRDefault="00B95415" w:rsidP="00A11A45">
            <w:pPr>
              <w:spacing w:after="0" w:line="240" w:lineRule="auto"/>
              <w:jc w:val="center"/>
              <w:rPr>
                <w:rFonts w:asciiTheme="majorHAnsi" w:eastAsia="Times New Roman" w:hAnsiTheme="majorHAnsi" w:cstheme="majorHAnsi"/>
                <w:b/>
                <w:color w:val="000000"/>
                <w:sz w:val="24"/>
                <w:szCs w:val="24"/>
              </w:rPr>
            </w:pPr>
            <w:r w:rsidRPr="00E5744C">
              <w:rPr>
                <w:rFonts w:asciiTheme="majorHAnsi" w:eastAsia="Times New Roman" w:hAnsiTheme="majorHAnsi" w:cstheme="majorHAnsi"/>
                <w:b/>
                <w:color w:val="000000"/>
                <w:sz w:val="24"/>
                <w:szCs w:val="24"/>
              </w:rPr>
              <w:t>Sinteza soldurilor în structura transferuril</w:t>
            </w:r>
            <w:r w:rsidR="007B4620">
              <w:rPr>
                <w:rFonts w:asciiTheme="majorHAnsi" w:eastAsia="Times New Roman" w:hAnsiTheme="majorHAnsi" w:cstheme="majorHAnsi"/>
                <w:b/>
                <w:color w:val="000000"/>
                <w:sz w:val="24"/>
                <w:szCs w:val="24"/>
              </w:rPr>
              <w:t>or</w:t>
            </w:r>
            <w:r w:rsidRPr="00E5744C">
              <w:rPr>
                <w:rFonts w:asciiTheme="majorHAnsi" w:eastAsia="Times New Roman" w:hAnsiTheme="majorHAnsi" w:cstheme="majorHAnsi"/>
                <w:b/>
                <w:color w:val="000000"/>
                <w:sz w:val="24"/>
                <w:szCs w:val="24"/>
              </w:rPr>
              <w:t xml:space="preserve"> cu destinație specială </w:t>
            </w:r>
          </w:p>
          <w:p w:rsidR="00E5744C" w:rsidRPr="00E5744C" w:rsidRDefault="00E5744C" w:rsidP="00A11A45">
            <w:pPr>
              <w:spacing w:after="0" w:line="240" w:lineRule="auto"/>
              <w:jc w:val="center"/>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în perioada 2017-2018</w:t>
            </w:r>
          </w:p>
          <w:p w:rsidR="00B95415" w:rsidRPr="00E5744C" w:rsidRDefault="00E5744C" w:rsidP="007B4620">
            <w:pPr>
              <w:spacing w:after="0" w:line="240" w:lineRule="auto"/>
              <w:jc w:val="right"/>
              <w:rPr>
                <w:rFonts w:asciiTheme="majorHAnsi" w:eastAsia="Times New Roman" w:hAnsiTheme="majorHAnsi" w:cstheme="majorHAnsi"/>
                <w:color w:val="000000"/>
                <w:sz w:val="24"/>
                <w:szCs w:val="24"/>
              </w:rPr>
            </w:pPr>
            <w:r w:rsidRPr="00E5744C">
              <w:rPr>
                <w:rFonts w:asciiTheme="majorHAnsi" w:eastAsia="Times New Roman" w:hAnsiTheme="majorHAnsi" w:cstheme="majorHAnsi"/>
                <w:b/>
                <w:color w:val="000000"/>
                <w:sz w:val="24"/>
                <w:szCs w:val="24"/>
              </w:rPr>
              <w:t>(</w:t>
            </w:r>
            <w:r w:rsidR="00B95415" w:rsidRPr="00E5744C">
              <w:rPr>
                <w:rFonts w:asciiTheme="majorHAnsi" w:eastAsia="Times New Roman" w:hAnsiTheme="majorHAnsi" w:cstheme="majorHAnsi"/>
                <w:b/>
                <w:color w:val="000000"/>
                <w:sz w:val="24"/>
                <w:szCs w:val="24"/>
              </w:rPr>
              <w:t xml:space="preserve">mil. </w:t>
            </w:r>
            <w:r w:rsidR="007160B9">
              <w:rPr>
                <w:rFonts w:asciiTheme="majorHAnsi" w:eastAsia="Times New Roman" w:hAnsiTheme="majorHAnsi" w:cstheme="majorHAnsi"/>
                <w:b/>
                <w:color w:val="000000"/>
                <w:sz w:val="24"/>
                <w:szCs w:val="24"/>
              </w:rPr>
              <w:t>MDL</w:t>
            </w:r>
            <w:r w:rsidRPr="00E5744C">
              <w:rPr>
                <w:rFonts w:asciiTheme="majorHAnsi" w:eastAsia="Times New Roman" w:hAnsiTheme="majorHAnsi" w:cstheme="majorHAnsi"/>
                <w:b/>
                <w:color w:val="000000"/>
                <w:sz w:val="24"/>
                <w:szCs w:val="24"/>
              </w:rPr>
              <w:t>)</w:t>
            </w:r>
          </w:p>
        </w:tc>
      </w:tr>
      <w:tr w:rsidR="00B95415" w:rsidRPr="008D7B5A" w:rsidTr="008D7B5A">
        <w:trPr>
          <w:trHeight w:val="385"/>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415" w:rsidRPr="008D7B5A" w:rsidRDefault="00B95415" w:rsidP="00A11A45">
            <w:pPr>
              <w:spacing w:after="0" w:line="240" w:lineRule="auto"/>
              <w:jc w:val="center"/>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Tipul cheltuielilor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415" w:rsidRPr="008D7B5A" w:rsidRDefault="00B95415" w:rsidP="00A11A45">
            <w:pPr>
              <w:spacing w:after="0" w:line="240" w:lineRule="auto"/>
              <w:jc w:val="center"/>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2017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415" w:rsidRPr="008D7B5A" w:rsidRDefault="00B95415" w:rsidP="00A11A45">
            <w:pPr>
              <w:spacing w:after="0" w:line="240" w:lineRule="auto"/>
              <w:jc w:val="center"/>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2018</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ind w:firstLineChars="100" w:firstLine="240"/>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Învățământ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125,3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244,1</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ind w:firstLineChars="100" w:firstLine="240"/>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Sport și cultură</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0,4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0,6</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ind w:firstLineChars="100" w:firstLine="240"/>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Asistența socială</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0,5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0,07</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ind w:firstLineChars="100" w:firstLine="240"/>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Infrastructura drumurilor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5,3</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ind w:firstLineChars="100" w:firstLine="240"/>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Investiții capitale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 Nu sunt date</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415" w:rsidRPr="008D7B5A" w:rsidRDefault="00B95415" w:rsidP="00A11A45">
            <w:pPr>
              <w:spacing w:after="0" w:line="240" w:lineRule="auto"/>
              <w:jc w:val="right"/>
              <w:rPr>
                <w:rFonts w:asciiTheme="majorHAnsi" w:eastAsia="Times New Roman" w:hAnsiTheme="majorHAnsi" w:cstheme="majorHAnsi"/>
                <w:color w:val="000000"/>
                <w:sz w:val="24"/>
                <w:szCs w:val="24"/>
              </w:rPr>
            </w:pPr>
            <w:r w:rsidRPr="008D7B5A">
              <w:rPr>
                <w:rFonts w:asciiTheme="majorHAnsi" w:eastAsia="Times New Roman" w:hAnsiTheme="majorHAnsi" w:cstheme="majorHAnsi"/>
                <w:color w:val="000000"/>
                <w:sz w:val="24"/>
                <w:szCs w:val="24"/>
              </w:rPr>
              <w:t>2,0</w:t>
            </w:r>
          </w:p>
        </w:tc>
      </w:tr>
      <w:tr w:rsidR="00B95415" w:rsidRPr="008D7B5A" w:rsidTr="008D7B5A">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415" w:rsidRPr="008D7B5A" w:rsidRDefault="00B95415" w:rsidP="00A11A45">
            <w:pPr>
              <w:spacing w:after="0" w:line="240" w:lineRule="auto"/>
              <w:ind w:left="720"/>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415" w:rsidRPr="008D7B5A" w:rsidRDefault="00B95415" w:rsidP="00A11A45">
            <w:pPr>
              <w:spacing w:after="0" w:line="240" w:lineRule="auto"/>
              <w:jc w:val="right"/>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128,1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5415" w:rsidRPr="008D7B5A" w:rsidRDefault="00B95415" w:rsidP="00A11A45">
            <w:pPr>
              <w:spacing w:after="0" w:line="240" w:lineRule="auto"/>
              <w:jc w:val="right"/>
              <w:rPr>
                <w:rFonts w:asciiTheme="majorHAnsi" w:eastAsia="Times New Roman" w:hAnsiTheme="majorHAnsi" w:cstheme="majorHAnsi"/>
                <w:b/>
                <w:color w:val="000000"/>
                <w:sz w:val="24"/>
                <w:szCs w:val="24"/>
              </w:rPr>
            </w:pPr>
            <w:r w:rsidRPr="008D7B5A">
              <w:rPr>
                <w:rFonts w:asciiTheme="majorHAnsi" w:eastAsia="Times New Roman" w:hAnsiTheme="majorHAnsi" w:cstheme="majorHAnsi"/>
                <w:b/>
                <w:color w:val="000000"/>
                <w:sz w:val="24"/>
                <w:szCs w:val="24"/>
              </w:rPr>
              <w:t>252,0</w:t>
            </w:r>
          </w:p>
        </w:tc>
      </w:tr>
    </w:tbl>
    <w:p w:rsidR="00DA0637" w:rsidRPr="008D7B5A" w:rsidRDefault="00E05914" w:rsidP="008D7B5A">
      <w:pPr>
        <w:ind w:firstLine="709"/>
        <w:rPr>
          <w:rFonts w:asciiTheme="majorHAnsi" w:hAnsiTheme="majorHAnsi" w:cstheme="majorHAnsi"/>
          <w:i/>
          <w:sz w:val="20"/>
          <w:szCs w:val="20"/>
        </w:rPr>
      </w:pPr>
      <w:r>
        <w:rPr>
          <w:rFonts w:asciiTheme="majorHAnsi" w:hAnsiTheme="majorHAnsi" w:cstheme="majorHAnsi"/>
          <w:b/>
          <w:i/>
          <w:sz w:val="20"/>
          <w:szCs w:val="20"/>
        </w:rPr>
        <w:t>Sursă</w:t>
      </w:r>
      <w:r w:rsidR="00B95415" w:rsidRPr="008D7B5A">
        <w:rPr>
          <w:rFonts w:asciiTheme="majorHAnsi" w:hAnsiTheme="majorHAnsi" w:cstheme="majorHAnsi"/>
          <w:b/>
          <w:i/>
          <w:sz w:val="20"/>
          <w:szCs w:val="20"/>
        </w:rPr>
        <w:t xml:space="preserve">: </w:t>
      </w:r>
      <w:r w:rsidR="00B95415" w:rsidRPr="008D7B5A">
        <w:rPr>
          <w:rFonts w:asciiTheme="majorHAnsi" w:hAnsiTheme="majorHAnsi" w:cstheme="majorHAnsi"/>
          <w:i/>
          <w:sz w:val="20"/>
          <w:szCs w:val="20"/>
        </w:rPr>
        <w:t>Informații din SI al MF</w:t>
      </w:r>
      <w:r w:rsidR="008D7B5A">
        <w:rPr>
          <w:rFonts w:asciiTheme="majorHAnsi" w:hAnsiTheme="majorHAnsi" w:cstheme="majorHAnsi"/>
          <w:i/>
          <w:sz w:val="20"/>
          <w:szCs w:val="20"/>
        </w:rPr>
        <w:t>.</w:t>
      </w:r>
    </w:p>
    <w:p w:rsidR="00E5744C" w:rsidRDefault="00E5744C" w:rsidP="000070C0">
      <w:pPr>
        <w:spacing w:before="240" w:after="0" w:line="276" w:lineRule="auto"/>
        <w:ind w:firstLine="709"/>
        <w:contextualSpacing/>
        <w:jc w:val="both"/>
        <w:rPr>
          <w:rFonts w:asciiTheme="majorHAnsi" w:hAnsiTheme="majorHAnsi" w:cstheme="majorHAnsi"/>
          <w:sz w:val="24"/>
          <w:szCs w:val="24"/>
        </w:rPr>
      </w:pPr>
    </w:p>
    <w:p w:rsidR="002D775E" w:rsidRPr="00D42BF7" w:rsidRDefault="00A251BC" w:rsidP="00D42BF7">
      <w:pPr>
        <w:pStyle w:val="Heading3"/>
        <w:rPr>
          <w:rFonts w:cstheme="majorHAnsi"/>
          <w:b/>
          <w:color w:val="000000" w:themeColor="text1"/>
        </w:rPr>
      </w:pPr>
      <w:bookmarkStart w:id="19" w:name="_Toc10126090"/>
      <w:r w:rsidRPr="00D42BF7">
        <w:rPr>
          <w:rFonts w:cstheme="majorHAnsi"/>
          <w:b/>
          <w:color w:val="000000" w:themeColor="text1"/>
        </w:rPr>
        <w:t>3.2</w:t>
      </w:r>
      <w:r w:rsidR="006459C9" w:rsidRPr="00D42BF7">
        <w:rPr>
          <w:rFonts w:cstheme="majorHAnsi"/>
          <w:b/>
          <w:color w:val="000000" w:themeColor="text1"/>
        </w:rPr>
        <w:t>.10</w:t>
      </w:r>
      <w:r w:rsidR="00DA0637" w:rsidRPr="00D42BF7">
        <w:rPr>
          <w:rFonts w:cstheme="majorHAnsi"/>
          <w:b/>
          <w:color w:val="000000" w:themeColor="text1"/>
        </w:rPr>
        <w:t xml:space="preserve"> </w:t>
      </w:r>
      <w:r w:rsidR="00547A0A" w:rsidRPr="00D42BF7">
        <w:rPr>
          <w:rFonts w:cstheme="majorHAnsi"/>
          <w:b/>
          <w:color w:val="000000" w:themeColor="text1"/>
        </w:rPr>
        <w:t>Soldul creanțelor înregistrează o descreștere</w:t>
      </w:r>
      <w:r w:rsidR="007B4620" w:rsidRPr="00D42BF7">
        <w:rPr>
          <w:rFonts w:cstheme="majorHAnsi"/>
          <w:b/>
          <w:color w:val="000000" w:themeColor="text1"/>
        </w:rPr>
        <w:t>,</w:t>
      </w:r>
      <w:r w:rsidR="00547A0A" w:rsidRPr="00D42BF7">
        <w:rPr>
          <w:rFonts w:cstheme="majorHAnsi"/>
          <w:b/>
          <w:color w:val="000000" w:themeColor="text1"/>
        </w:rPr>
        <w:t xml:space="preserve"> iar al datoriilor </w:t>
      </w:r>
      <w:r w:rsidR="007B4620" w:rsidRPr="00D42BF7">
        <w:rPr>
          <w:rFonts w:cstheme="majorHAnsi"/>
          <w:b/>
          <w:color w:val="000000" w:themeColor="text1"/>
        </w:rPr>
        <w:t>este în</w:t>
      </w:r>
      <w:r w:rsidR="00547A0A" w:rsidRPr="00D42BF7">
        <w:rPr>
          <w:rFonts w:cstheme="majorHAnsi"/>
          <w:b/>
          <w:color w:val="000000" w:themeColor="text1"/>
        </w:rPr>
        <w:t xml:space="preserve"> creștere.</w:t>
      </w:r>
      <w:bookmarkEnd w:id="19"/>
    </w:p>
    <w:p w:rsidR="00DA0637" w:rsidRPr="00DA0637" w:rsidRDefault="00DA0637" w:rsidP="00FB186A">
      <w:pPr>
        <w:spacing w:after="0" w:line="276" w:lineRule="auto"/>
        <w:ind w:firstLine="709"/>
        <w:jc w:val="both"/>
        <w:rPr>
          <w:rFonts w:asciiTheme="majorHAnsi" w:hAnsiTheme="majorHAnsi" w:cstheme="majorHAnsi"/>
          <w:b/>
          <w:sz w:val="24"/>
          <w:szCs w:val="24"/>
        </w:rPr>
      </w:pPr>
      <w:r w:rsidRPr="00DA0637">
        <w:rPr>
          <w:rFonts w:asciiTheme="majorHAnsi" w:hAnsiTheme="majorHAnsi" w:cstheme="majorHAnsi"/>
          <w:sz w:val="24"/>
          <w:szCs w:val="24"/>
        </w:rPr>
        <w:t xml:space="preserve">La situația din 31.12.2018, potrivit datelor Raportului privind creanțele și datoriile la cheltuieli și active nefinanciare formate în autoritățile/instituțiile bugetare finanțate de la bugetul de stat pe </w:t>
      </w:r>
      <w:r w:rsidRPr="00DA0637">
        <w:rPr>
          <w:rFonts w:asciiTheme="majorHAnsi" w:hAnsiTheme="majorHAnsi" w:cstheme="majorHAnsi"/>
          <w:sz w:val="24"/>
          <w:szCs w:val="24"/>
        </w:rPr>
        <w:lastRenderedPageBreak/>
        <w:t>anul 2018 conform clasificației economice</w:t>
      </w:r>
      <w:r w:rsidRPr="00DA0637">
        <w:rPr>
          <w:rFonts w:asciiTheme="majorHAnsi" w:hAnsiTheme="majorHAnsi" w:cstheme="majorHAnsi"/>
          <w:sz w:val="24"/>
          <w:szCs w:val="24"/>
          <w:vertAlign w:val="superscript"/>
        </w:rPr>
        <w:footnoteReference w:id="42"/>
      </w:r>
      <w:r w:rsidRPr="00DA0637">
        <w:rPr>
          <w:rFonts w:asciiTheme="majorHAnsi" w:hAnsiTheme="majorHAnsi" w:cstheme="majorHAnsi"/>
          <w:sz w:val="24"/>
          <w:szCs w:val="24"/>
        </w:rPr>
        <w:t>, creanțele au constituit 817,7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inclusiv cu termenul expirat – 12,9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iar datoriile au atins o valoare de 791,8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inclusiv cu termenul de achitare expirat – 2,7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xml:space="preserve">. </w:t>
      </w:r>
      <w:r w:rsidRPr="00DA0637">
        <w:rPr>
          <w:rFonts w:asciiTheme="majorHAnsi" w:hAnsiTheme="majorHAnsi" w:cstheme="majorHAnsi"/>
          <w:i/>
          <w:sz w:val="24"/>
          <w:szCs w:val="24"/>
        </w:rPr>
        <w:t>Analiza creanțelor și datoriilor la cheltuieli formate de autoritățile/instituțiile bugetare finanțate de la BS pe anul 2018</w:t>
      </w:r>
      <w:r w:rsidR="00802E94">
        <w:rPr>
          <w:rFonts w:asciiTheme="majorHAnsi" w:hAnsiTheme="majorHAnsi" w:cstheme="majorHAnsi"/>
          <w:i/>
          <w:sz w:val="24"/>
          <w:szCs w:val="24"/>
        </w:rPr>
        <w:t>,</w:t>
      </w:r>
      <w:r w:rsidRPr="00DA0637">
        <w:rPr>
          <w:rFonts w:asciiTheme="majorHAnsi" w:hAnsiTheme="majorHAnsi" w:cstheme="majorHAnsi"/>
          <w:i/>
          <w:sz w:val="24"/>
          <w:szCs w:val="24"/>
        </w:rPr>
        <w:t xml:space="preserve"> în comparație cu anul 2017</w:t>
      </w:r>
      <w:r w:rsidR="00802E94">
        <w:rPr>
          <w:rFonts w:asciiTheme="majorHAnsi" w:hAnsiTheme="majorHAnsi" w:cstheme="majorHAnsi"/>
          <w:i/>
          <w:sz w:val="24"/>
          <w:szCs w:val="24"/>
        </w:rPr>
        <w:t>,</w:t>
      </w:r>
      <w:r w:rsidR="00793C62">
        <w:rPr>
          <w:rFonts w:asciiTheme="majorHAnsi" w:hAnsiTheme="majorHAnsi" w:cstheme="majorHAnsi"/>
          <w:i/>
          <w:sz w:val="24"/>
          <w:szCs w:val="24"/>
        </w:rPr>
        <w:t xml:space="preserve"> </w:t>
      </w:r>
      <w:r w:rsidRPr="00DA0637">
        <w:rPr>
          <w:rFonts w:asciiTheme="majorHAnsi" w:hAnsiTheme="majorHAnsi" w:cstheme="majorHAnsi"/>
          <w:i/>
          <w:sz w:val="24"/>
          <w:szCs w:val="24"/>
        </w:rPr>
        <w:t xml:space="preserve">se prezintă în </w:t>
      </w:r>
      <w:r w:rsidRPr="00DA0637">
        <w:rPr>
          <w:rFonts w:asciiTheme="majorHAnsi" w:hAnsiTheme="majorHAnsi" w:cstheme="majorHAnsi"/>
          <w:b/>
          <w:i/>
          <w:sz w:val="24"/>
          <w:szCs w:val="24"/>
        </w:rPr>
        <w:t>Tabelul nr.</w:t>
      </w:r>
      <w:r w:rsidR="00523058">
        <w:rPr>
          <w:rFonts w:asciiTheme="majorHAnsi" w:hAnsiTheme="majorHAnsi" w:cstheme="majorHAnsi"/>
          <w:b/>
          <w:i/>
          <w:sz w:val="24"/>
          <w:szCs w:val="24"/>
        </w:rPr>
        <w:t>10.</w:t>
      </w:r>
    </w:p>
    <w:p w:rsidR="00DA0637" w:rsidRPr="00DA0637" w:rsidRDefault="00DA0637" w:rsidP="00DA0637">
      <w:pPr>
        <w:spacing w:after="0" w:line="276" w:lineRule="auto"/>
        <w:ind w:firstLine="709"/>
        <w:jc w:val="right"/>
        <w:rPr>
          <w:rFonts w:asciiTheme="majorHAnsi" w:hAnsiTheme="majorHAnsi" w:cstheme="majorHAnsi"/>
          <w:i/>
          <w:sz w:val="24"/>
          <w:szCs w:val="24"/>
        </w:rPr>
      </w:pPr>
      <w:r w:rsidRPr="00DA0637">
        <w:rPr>
          <w:rFonts w:asciiTheme="majorHAnsi" w:hAnsiTheme="majorHAnsi" w:cstheme="majorHAnsi"/>
          <w:i/>
          <w:sz w:val="24"/>
          <w:szCs w:val="24"/>
        </w:rPr>
        <w:t>Tabelul nr.</w:t>
      </w:r>
      <w:r w:rsidR="00523058">
        <w:rPr>
          <w:rFonts w:asciiTheme="majorHAnsi" w:hAnsiTheme="majorHAnsi" w:cstheme="majorHAnsi"/>
          <w:i/>
          <w:sz w:val="24"/>
          <w:szCs w:val="24"/>
        </w:rPr>
        <w:t>10</w:t>
      </w:r>
    </w:p>
    <w:p w:rsidR="00DA0637" w:rsidRDefault="00DA0637" w:rsidP="00DA0637">
      <w:pPr>
        <w:spacing w:after="0" w:line="276" w:lineRule="auto"/>
        <w:jc w:val="center"/>
        <w:rPr>
          <w:rFonts w:asciiTheme="majorHAnsi" w:hAnsiTheme="majorHAnsi" w:cstheme="majorHAnsi"/>
          <w:b/>
          <w:sz w:val="24"/>
          <w:szCs w:val="24"/>
        </w:rPr>
      </w:pPr>
      <w:r w:rsidRPr="00DA0637">
        <w:rPr>
          <w:rFonts w:asciiTheme="majorHAnsi" w:hAnsiTheme="majorHAnsi" w:cstheme="majorHAnsi"/>
          <w:b/>
          <w:sz w:val="24"/>
          <w:szCs w:val="24"/>
        </w:rPr>
        <w:t>Analiza creanțelor și datoriilor la cheltuieli formate în anul 2018 de autoritățile/instituțiile bugetare</w:t>
      </w:r>
      <w:r w:rsidR="00A53CC8">
        <w:rPr>
          <w:rFonts w:asciiTheme="majorHAnsi" w:hAnsiTheme="majorHAnsi" w:cstheme="majorHAnsi"/>
          <w:b/>
          <w:sz w:val="24"/>
          <w:szCs w:val="24"/>
        </w:rPr>
        <w:t>,</w:t>
      </w:r>
      <w:r w:rsidRPr="00DA0637">
        <w:rPr>
          <w:rFonts w:asciiTheme="majorHAnsi" w:hAnsiTheme="majorHAnsi" w:cstheme="majorHAnsi"/>
          <w:b/>
          <w:sz w:val="24"/>
          <w:szCs w:val="24"/>
        </w:rPr>
        <w:t xml:space="preserve"> în comparație cu anul 2017</w:t>
      </w:r>
      <w:r w:rsidR="00793C62">
        <w:rPr>
          <w:rFonts w:asciiTheme="majorHAnsi" w:hAnsiTheme="majorHAnsi" w:cstheme="majorHAnsi"/>
          <w:b/>
          <w:sz w:val="24"/>
          <w:szCs w:val="24"/>
        </w:rPr>
        <w:t xml:space="preserve"> </w:t>
      </w:r>
    </w:p>
    <w:p w:rsidR="00DA0637" w:rsidRPr="00DA0637" w:rsidRDefault="00DA0637" w:rsidP="00DA0637">
      <w:pPr>
        <w:spacing w:after="0" w:line="276" w:lineRule="auto"/>
        <w:jc w:val="center"/>
        <w:rPr>
          <w:rFonts w:asciiTheme="majorHAnsi" w:hAnsiTheme="majorHAnsi" w:cstheme="majorHAnsi"/>
          <w:b/>
          <w:sz w:val="24"/>
          <w:szCs w:val="24"/>
        </w:rPr>
      </w:pPr>
    </w:p>
    <w:tbl>
      <w:tblPr>
        <w:tblStyle w:val="GridTable1Light"/>
        <w:tblW w:w="0" w:type="auto"/>
        <w:tblLook w:val="04A0" w:firstRow="1" w:lastRow="0" w:firstColumn="1" w:lastColumn="0" w:noHBand="0" w:noVBand="1"/>
      </w:tblPr>
      <w:tblGrid>
        <w:gridCol w:w="1508"/>
        <w:gridCol w:w="1374"/>
        <w:gridCol w:w="1363"/>
        <w:gridCol w:w="1374"/>
        <w:gridCol w:w="1363"/>
        <w:gridCol w:w="1348"/>
        <w:gridCol w:w="1348"/>
      </w:tblGrid>
      <w:tr w:rsidR="00DA0637" w:rsidRPr="00DA0637" w:rsidTr="00A11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vMerge w:val="restart"/>
            <w:vAlign w:val="center"/>
          </w:tcPr>
          <w:p w:rsidR="00DA0637" w:rsidRPr="00DA0637" w:rsidRDefault="00DA0637" w:rsidP="00A11A45">
            <w:pPr>
              <w:jc w:val="center"/>
              <w:rPr>
                <w:rFonts w:asciiTheme="majorHAnsi" w:hAnsiTheme="majorHAnsi" w:cstheme="majorHAnsi"/>
                <w:sz w:val="24"/>
                <w:szCs w:val="24"/>
              </w:rPr>
            </w:pPr>
            <w:r w:rsidRPr="00DA0637">
              <w:rPr>
                <w:rFonts w:asciiTheme="majorHAnsi" w:hAnsiTheme="majorHAnsi" w:cstheme="majorHAnsi"/>
                <w:sz w:val="24"/>
                <w:szCs w:val="24"/>
              </w:rPr>
              <w:t>Indicatori</w:t>
            </w:r>
          </w:p>
        </w:tc>
        <w:tc>
          <w:tcPr>
            <w:tcW w:w="2737" w:type="dxa"/>
            <w:gridSpan w:val="2"/>
            <w:vAlign w:val="center"/>
          </w:tcPr>
          <w:p w:rsidR="00DA0637" w:rsidRPr="00DA0637" w:rsidRDefault="00DA0637" w:rsidP="00A11A4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Anul 2017</w:t>
            </w:r>
          </w:p>
        </w:tc>
        <w:tc>
          <w:tcPr>
            <w:tcW w:w="2737" w:type="dxa"/>
            <w:gridSpan w:val="2"/>
            <w:vAlign w:val="center"/>
          </w:tcPr>
          <w:p w:rsidR="00DA0637" w:rsidRPr="00DA0637" w:rsidRDefault="00DA0637" w:rsidP="00A11A4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Anul 2018</w:t>
            </w:r>
          </w:p>
        </w:tc>
        <w:tc>
          <w:tcPr>
            <w:tcW w:w="2696" w:type="dxa"/>
            <w:gridSpan w:val="2"/>
            <w:vAlign w:val="center"/>
          </w:tcPr>
          <w:p w:rsidR="00DA0637" w:rsidRPr="00DA0637" w:rsidRDefault="00DA0637" w:rsidP="00A11A4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Devieri 2018/2017 (+/-)</w:t>
            </w:r>
          </w:p>
        </w:tc>
      </w:tr>
      <w:tr w:rsidR="00DA0637" w:rsidRPr="00DA0637" w:rsidTr="00A11A45">
        <w:tc>
          <w:tcPr>
            <w:cnfStyle w:val="001000000000" w:firstRow="0" w:lastRow="0" w:firstColumn="1" w:lastColumn="0" w:oddVBand="0" w:evenVBand="0" w:oddHBand="0" w:evenHBand="0" w:firstRowFirstColumn="0" w:firstRowLastColumn="0" w:lastRowFirstColumn="0" w:lastRowLastColumn="0"/>
            <w:tcW w:w="1509" w:type="dxa"/>
            <w:vMerge/>
            <w:vAlign w:val="center"/>
          </w:tcPr>
          <w:p w:rsidR="00DA0637" w:rsidRPr="00DA0637" w:rsidRDefault="00DA0637" w:rsidP="00A11A45">
            <w:pPr>
              <w:jc w:val="center"/>
              <w:rPr>
                <w:rFonts w:asciiTheme="majorHAnsi" w:hAnsiTheme="majorHAnsi" w:cstheme="majorHAnsi"/>
                <w:b w:val="0"/>
                <w:sz w:val="24"/>
                <w:szCs w:val="24"/>
              </w:rPr>
            </w:pPr>
          </w:p>
        </w:tc>
        <w:tc>
          <w:tcPr>
            <w:tcW w:w="1374" w:type="dxa"/>
            <w:vAlign w:val="center"/>
          </w:tcPr>
          <w:p w:rsidR="00DA0637" w:rsidRPr="00DA0637" w:rsidRDefault="00DA0637" w:rsidP="00A11A4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Suma </w:t>
            </w:r>
          </w:p>
          <w:p w:rsidR="00DA0637" w:rsidRPr="00DA0637" w:rsidRDefault="00DA0637" w:rsidP="00A53CC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sidRPr="00DA0637">
              <w:rPr>
                <w:rFonts w:asciiTheme="majorHAnsi" w:hAnsiTheme="majorHAnsi" w:cstheme="majorHAnsi"/>
                <w:b/>
                <w:sz w:val="24"/>
                <w:szCs w:val="24"/>
              </w:rPr>
              <w:t>)</w:t>
            </w:r>
          </w:p>
        </w:tc>
        <w:tc>
          <w:tcPr>
            <w:tcW w:w="1363" w:type="dxa"/>
            <w:vAlign w:val="center"/>
          </w:tcPr>
          <w:p w:rsidR="00DA0637" w:rsidRPr="00DA0637" w:rsidRDefault="00DA0637" w:rsidP="006521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DA0637">
              <w:rPr>
                <w:rFonts w:asciiTheme="majorHAnsi" w:hAnsiTheme="majorHAnsi" w:cstheme="majorHAnsi"/>
                <w:i/>
                <w:sz w:val="24"/>
                <w:szCs w:val="24"/>
              </w:rPr>
              <w:t>inclusiv cu termen expirat</w:t>
            </w:r>
          </w:p>
        </w:tc>
        <w:tc>
          <w:tcPr>
            <w:tcW w:w="1374" w:type="dxa"/>
            <w:vAlign w:val="center"/>
          </w:tcPr>
          <w:p w:rsidR="00DA0637" w:rsidRPr="00DA0637" w:rsidRDefault="00DA0637" w:rsidP="00A11A4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Suma </w:t>
            </w:r>
          </w:p>
          <w:p w:rsidR="00DA0637" w:rsidRPr="00DA0637" w:rsidRDefault="00DA0637" w:rsidP="00A53CC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sidRPr="00DA0637">
              <w:rPr>
                <w:rFonts w:asciiTheme="majorHAnsi" w:hAnsiTheme="majorHAnsi" w:cstheme="majorHAnsi"/>
                <w:b/>
                <w:sz w:val="24"/>
                <w:szCs w:val="24"/>
              </w:rPr>
              <w:t>)</w:t>
            </w:r>
          </w:p>
        </w:tc>
        <w:tc>
          <w:tcPr>
            <w:tcW w:w="1363" w:type="dxa"/>
            <w:vAlign w:val="center"/>
          </w:tcPr>
          <w:p w:rsidR="00DA0637" w:rsidRPr="00DA0637" w:rsidRDefault="00DA0637" w:rsidP="006521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DA0637">
              <w:rPr>
                <w:rFonts w:asciiTheme="majorHAnsi" w:hAnsiTheme="majorHAnsi" w:cstheme="majorHAnsi"/>
                <w:i/>
                <w:sz w:val="24"/>
                <w:szCs w:val="24"/>
              </w:rPr>
              <w:t>inclusiv cu termen expirat</w:t>
            </w:r>
          </w:p>
        </w:tc>
        <w:tc>
          <w:tcPr>
            <w:tcW w:w="1348" w:type="dxa"/>
            <w:vAlign w:val="center"/>
          </w:tcPr>
          <w:p w:rsidR="00DA0637" w:rsidRPr="00DA0637" w:rsidRDefault="00DA0637" w:rsidP="00A11A4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Suma </w:t>
            </w:r>
          </w:p>
          <w:p w:rsidR="00DA0637" w:rsidRPr="00DA0637" w:rsidRDefault="00DA0637" w:rsidP="00A53CC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b/>
                <w:sz w:val="24"/>
                <w:szCs w:val="24"/>
              </w:rPr>
              <w:t xml:space="preserve">(mil. </w:t>
            </w:r>
            <w:r w:rsidR="007160B9">
              <w:rPr>
                <w:rFonts w:asciiTheme="majorHAnsi" w:hAnsiTheme="majorHAnsi" w:cstheme="majorHAnsi"/>
                <w:b/>
                <w:sz w:val="24"/>
                <w:szCs w:val="24"/>
              </w:rPr>
              <w:t>MDL</w:t>
            </w:r>
            <w:r w:rsidRPr="00DA0637">
              <w:rPr>
                <w:rFonts w:asciiTheme="majorHAnsi" w:hAnsiTheme="majorHAnsi" w:cstheme="majorHAnsi"/>
                <w:b/>
                <w:sz w:val="24"/>
                <w:szCs w:val="24"/>
              </w:rPr>
              <w:t>)</w:t>
            </w:r>
          </w:p>
        </w:tc>
        <w:tc>
          <w:tcPr>
            <w:tcW w:w="1348" w:type="dxa"/>
            <w:vAlign w:val="center"/>
          </w:tcPr>
          <w:p w:rsidR="00DA0637" w:rsidRPr="00DA0637" w:rsidRDefault="00DA0637" w:rsidP="0065213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DA0637">
              <w:rPr>
                <w:rFonts w:asciiTheme="majorHAnsi" w:hAnsiTheme="majorHAnsi" w:cstheme="majorHAnsi"/>
                <w:i/>
                <w:sz w:val="24"/>
                <w:szCs w:val="24"/>
              </w:rPr>
              <w:t>inclusiv cu termen expirat</w:t>
            </w:r>
          </w:p>
        </w:tc>
      </w:tr>
      <w:tr w:rsidR="00DA0637" w:rsidRPr="00DA0637" w:rsidTr="00A11A45">
        <w:tc>
          <w:tcPr>
            <w:cnfStyle w:val="001000000000" w:firstRow="0" w:lastRow="0" w:firstColumn="1" w:lastColumn="0" w:oddVBand="0" w:evenVBand="0" w:oddHBand="0" w:evenHBand="0" w:firstRowFirstColumn="0" w:firstRowLastColumn="0" w:lastRowFirstColumn="0" w:lastRowLastColumn="0"/>
            <w:tcW w:w="1509" w:type="dxa"/>
          </w:tcPr>
          <w:p w:rsidR="00DA0637" w:rsidRPr="00DA0637" w:rsidRDefault="00DA0637" w:rsidP="00A11A45">
            <w:pPr>
              <w:rPr>
                <w:rFonts w:asciiTheme="majorHAnsi" w:hAnsiTheme="majorHAnsi" w:cstheme="majorHAnsi"/>
                <w:sz w:val="24"/>
                <w:szCs w:val="24"/>
              </w:rPr>
            </w:pPr>
            <w:r w:rsidRPr="00DA0637">
              <w:rPr>
                <w:rFonts w:asciiTheme="majorHAnsi" w:hAnsiTheme="majorHAnsi" w:cstheme="majorHAnsi"/>
                <w:sz w:val="24"/>
                <w:szCs w:val="24"/>
              </w:rPr>
              <w:t>Creanțe</w:t>
            </w:r>
          </w:p>
        </w:tc>
        <w:tc>
          <w:tcPr>
            <w:tcW w:w="1374"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981,5</w:t>
            </w:r>
          </w:p>
        </w:tc>
        <w:tc>
          <w:tcPr>
            <w:tcW w:w="1363"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54,5</w:t>
            </w:r>
          </w:p>
        </w:tc>
        <w:tc>
          <w:tcPr>
            <w:tcW w:w="1374"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817,7</w:t>
            </w:r>
          </w:p>
        </w:tc>
        <w:tc>
          <w:tcPr>
            <w:tcW w:w="1363"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12,9</w:t>
            </w:r>
          </w:p>
        </w:tc>
        <w:tc>
          <w:tcPr>
            <w:tcW w:w="1348"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-163,8</w:t>
            </w:r>
          </w:p>
        </w:tc>
        <w:tc>
          <w:tcPr>
            <w:tcW w:w="1348" w:type="dxa"/>
          </w:tcPr>
          <w:p w:rsidR="00DA0637" w:rsidRPr="00DA0637" w:rsidRDefault="00FC342D"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t>
            </w:r>
            <w:r w:rsidR="00DA0637" w:rsidRPr="00DA0637">
              <w:rPr>
                <w:rFonts w:asciiTheme="majorHAnsi" w:hAnsiTheme="majorHAnsi" w:cstheme="majorHAnsi"/>
                <w:sz w:val="24"/>
                <w:szCs w:val="24"/>
              </w:rPr>
              <w:t>41,6</w:t>
            </w:r>
          </w:p>
        </w:tc>
      </w:tr>
      <w:tr w:rsidR="00DA0637" w:rsidRPr="00DA0637" w:rsidTr="00A11A45">
        <w:tc>
          <w:tcPr>
            <w:cnfStyle w:val="001000000000" w:firstRow="0" w:lastRow="0" w:firstColumn="1" w:lastColumn="0" w:oddVBand="0" w:evenVBand="0" w:oddHBand="0" w:evenHBand="0" w:firstRowFirstColumn="0" w:firstRowLastColumn="0" w:lastRowFirstColumn="0" w:lastRowLastColumn="0"/>
            <w:tcW w:w="1509" w:type="dxa"/>
          </w:tcPr>
          <w:p w:rsidR="00DA0637" w:rsidRPr="00DA0637" w:rsidRDefault="00DA0637" w:rsidP="00A11A45">
            <w:pPr>
              <w:rPr>
                <w:rFonts w:asciiTheme="majorHAnsi" w:hAnsiTheme="majorHAnsi" w:cstheme="majorHAnsi"/>
                <w:sz w:val="24"/>
                <w:szCs w:val="24"/>
              </w:rPr>
            </w:pPr>
            <w:r w:rsidRPr="00DA0637">
              <w:rPr>
                <w:rFonts w:asciiTheme="majorHAnsi" w:hAnsiTheme="majorHAnsi" w:cstheme="majorHAnsi"/>
                <w:sz w:val="24"/>
                <w:szCs w:val="24"/>
              </w:rPr>
              <w:t>Datorii</w:t>
            </w:r>
          </w:p>
        </w:tc>
        <w:tc>
          <w:tcPr>
            <w:tcW w:w="1374"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743,1</w:t>
            </w:r>
          </w:p>
        </w:tc>
        <w:tc>
          <w:tcPr>
            <w:tcW w:w="1363"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2,6</w:t>
            </w:r>
          </w:p>
        </w:tc>
        <w:tc>
          <w:tcPr>
            <w:tcW w:w="1374"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791,8</w:t>
            </w:r>
          </w:p>
        </w:tc>
        <w:tc>
          <w:tcPr>
            <w:tcW w:w="1363"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2,7</w:t>
            </w:r>
          </w:p>
        </w:tc>
        <w:tc>
          <w:tcPr>
            <w:tcW w:w="1348" w:type="dxa"/>
          </w:tcPr>
          <w:p w:rsidR="00DA0637" w:rsidRPr="00DA0637" w:rsidRDefault="00FC342D"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t>
            </w:r>
            <w:r w:rsidR="00DA0637" w:rsidRPr="00DA0637">
              <w:rPr>
                <w:rFonts w:asciiTheme="majorHAnsi" w:hAnsiTheme="majorHAnsi" w:cstheme="majorHAnsi"/>
                <w:sz w:val="24"/>
                <w:szCs w:val="24"/>
              </w:rPr>
              <w:t>48,7</w:t>
            </w:r>
          </w:p>
        </w:tc>
        <w:tc>
          <w:tcPr>
            <w:tcW w:w="1348" w:type="dxa"/>
          </w:tcPr>
          <w:p w:rsidR="00DA0637" w:rsidRPr="00DA0637" w:rsidRDefault="00DA0637" w:rsidP="00A11A4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A0637">
              <w:rPr>
                <w:rFonts w:asciiTheme="majorHAnsi" w:hAnsiTheme="majorHAnsi" w:cstheme="majorHAnsi"/>
                <w:sz w:val="24"/>
                <w:szCs w:val="24"/>
              </w:rPr>
              <w:t>+0,1</w:t>
            </w:r>
          </w:p>
        </w:tc>
      </w:tr>
    </w:tbl>
    <w:p w:rsidR="00DA0637" w:rsidRDefault="00DA0637" w:rsidP="006435A7">
      <w:pPr>
        <w:spacing w:after="0"/>
        <w:jc w:val="both"/>
        <w:rPr>
          <w:rFonts w:asciiTheme="majorHAnsi" w:eastAsia="Times New Roman" w:hAnsiTheme="majorHAnsi" w:cstheme="majorHAnsi"/>
          <w:i/>
          <w:color w:val="000000"/>
          <w:sz w:val="20"/>
          <w:szCs w:val="20"/>
        </w:rPr>
      </w:pPr>
      <w:r w:rsidRPr="00DA0637">
        <w:rPr>
          <w:rFonts w:asciiTheme="majorHAnsi" w:eastAsia="Times New Roman" w:hAnsiTheme="majorHAnsi" w:cstheme="majorHAnsi"/>
          <w:b/>
          <w:i/>
          <w:color w:val="000000"/>
          <w:sz w:val="20"/>
          <w:szCs w:val="20"/>
        </w:rPr>
        <w:t>Sursă:</w:t>
      </w:r>
      <w:r w:rsidRPr="00DA0637">
        <w:rPr>
          <w:rFonts w:asciiTheme="majorHAnsi" w:eastAsia="Times New Roman" w:hAnsiTheme="majorHAnsi" w:cstheme="majorHAnsi"/>
          <w:i/>
          <w:color w:val="000000"/>
          <w:sz w:val="20"/>
          <w:szCs w:val="20"/>
        </w:rPr>
        <w:t xml:space="preserve"> Informații generalizate de echipa de audit din Raportul privind executare</w:t>
      </w:r>
      <w:r>
        <w:rPr>
          <w:rFonts w:asciiTheme="majorHAnsi" w:eastAsia="Times New Roman" w:hAnsiTheme="majorHAnsi" w:cstheme="majorHAnsi"/>
          <w:i/>
          <w:color w:val="000000"/>
          <w:sz w:val="20"/>
          <w:szCs w:val="20"/>
        </w:rPr>
        <w:t>a bugetului de stat pe anul 2018</w:t>
      </w:r>
      <w:r w:rsidRPr="00DA0637">
        <w:rPr>
          <w:rFonts w:asciiTheme="majorHAnsi" w:eastAsia="Times New Roman" w:hAnsiTheme="majorHAnsi" w:cstheme="majorHAnsi"/>
          <w:i/>
          <w:color w:val="000000"/>
          <w:sz w:val="20"/>
          <w:szCs w:val="20"/>
        </w:rPr>
        <w:t xml:space="preserve"> și din Raportul privind executarea bugetului de stat pe anul 2017, Formularul nr.7.</w:t>
      </w:r>
    </w:p>
    <w:p w:rsidR="006435A7" w:rsidRPr="00DA0637" w:rsidRDefault="006435A7" w:rsidP="006435A7">
      <w:pPr>
        <w:spacing w:after="0"/>
        <w:jc w:val="both"/>
        <w:rPr>
          <w:rFonts w:asciiTheme="majorHAnsi" w:hAnsiTheme="majorHAnsi" w:cstheme="majorHAnsi"/>
          <w:i/>
          <w:sz w:val="20"/>
          <w:szCs w:val="20"/>
        </w:rPr>
      </w:pPr>
    </w:p>
    <w:p w:rsidR="00DA0637" w:rsidRPr="00DA0637" w:rsidRDefault="00DA0637" w:rsidP="006435A7">
      <w:pPr>
        <w:spacing w:after="0" w:line="276" w:lineRule="auto"/>
        <w:ind w:firstLine="709"/>
        <w:jc w:val="both"/>
        <w:rPr>
          <w:rFonts w:asciiTheme="majorHAnsi" w:hAnsiTheme="majorHAnsi" w:cstheme="majorHAnsi"/>
          <w:sz w:val="24"/>
          <w:szCs w:val="24"/>
        </w:rPr>
      </w:pPr>
      <w:r w:rsidRPr="00DA0637">
        <w:rPr>
          <w:rFonts w:asciiTheme="majorHAnsi" w:hAnsiTheme="majorHAnsi" w:cstheme="majorHAnsi"/>
          <w:sz w:val="24"/>
          <w:szCs w:val="24"/>
        </w:rPr>
        <w:t xml:space="preserve">Astfel, </w:t>
      </w:r>
      <w:r w:rsidR="00704953">
        <w:rPr>
          <w:rFonts w:asciiTheme="majorHAnsi" w:hAnsiTheme="majorHAnsi" w:cstheme="majorHAnsi"/>
          <w:sz w:val="24"/>
          <w:szCs w:val="24"/>
        </w:rPr>
        <w:t>auditul</w:t>
      </w:r>
      <w:r w:rsidRPr="00DA0637">
        <w:rPr>
          <w:rFonts w:asciiTheme="majorHAnsi" w:hAnsiTheme="majorHAnsi" w:cstheme="majorHAnsi"/>
          <w:sz w:val="24"/>
          <w:szCs w:val="24"/>
        </w:rPr>
        <w:t xml:space="preserve"> denotă că</w:t>
      </w:r>
      <w:r w:rsidR="00A53CC8">
        <w:rPr>
          <w:rFonts w:asciiTheme="majorHAnsi" w:hAnsiTheme="majorHAnsi" w:cstheme="majorHAnsi"/>
          <w:sz w:val="24"/>
          <w:szCs w:val="24"/>
        </w:rPr>
        <w:t>,</w:t>
      </w:r>
      <w:r w:rsidRPr="00DA0637">
        <w:rPr>
          <w:rFonts w:asciiTheme="majorHAnsi" w:hAnsiTheme="majorHAnsi" w:cstheme="majorHAnsi"/>
          <w:sz w:val="24"/>
          <w:szCs w:val="24"/>
        </w:rPr>
        <w:t xml:space="preserve"> în </w:t>
      </w:r>
      <w:r w:rsidR="00704953">
        <w:rPr>
          <w:rFonts w:asciiTheme="majorHAnsi" w:hAnsiTheme="majorHAnsi" w:cstheme="majorHAnsi"/>
          <w:sz w:val="24"/>
          <w:szCs w:val="24"/>
        </w:rPr>
        <w:t>anul 2018</w:t>
      </w:r>
      <w:r w:rsidRPr="00DA0637">
        <w:rPr>
          <w:rFonts w:asciiTheme="majorHAnsi" w:hAnsiTheme="majorHAnsi" w:cstheme="majorHAnsi"/>
          <w:sz w:val="24"/>
          <w:szCs w:val="24"/>
        </w:rPr>
        <w:t>, comparativ cu anul precedent,</w:t>
      </w:r>
      <w:r w:rsidR="00793C62">
        <w:rPr>
          <w:rFonts w:asciiTheme="majorHAnsi" w:hAnsiTheme="majorHAnsi" w:cstheme="majorHAnsi"/>
          <w:sz w:val="24"/>
          <w:szCs w:val="24"/>
        </w:rPr>
        <w:t xml:space="preserve"> </w:t>
      </w:r>
      <w:r w:rsidR="00704953" w:rsidRPr="00DA0637">
        <w:rPr>
          <w:rFonts w:asciiTheme="majorHAnsi" w:hAnsiTheme="majorHAnsi" w:cstheme="majorHAnsi"/>
          <w:sz w:val="24"/>
          <w:szCs w:val="24"/>
        </w:rPr>
        <w:t xml:space="preserve">creanțele </w:t>
      </w:r>
      <w:r w:rsidR="00A53CC8">
        <w:rPr>
          <w:rFonts w:asciiTheme="majorHAnsi" w:hAnsiTheme="majorHAnsi" w:cstheme="majorHAnsi"/>
          <w:sz w:val="24"/>
          <w:szCs w:val="24"/>
        </w:rPr>
        <w:t>au fost</w:t>
      </w:r>
      <w:r w:rsidRPr="00DA0637">
        <w:rPr>
          <w:rFonts w:asciiTheme="majorHAnsi" w:hAnsiTheme="majorHAnsi" w:cstheme="majorHAnsi"/>
          <w:sz w:val="24"/>
          <w:szCs w:val="24"/>
        </w:rPr>
        <w:t xml:space="preserve"> în descreștere cu </w:t>
      </w:r>
      <w:r w:rsidR="00FC342D">
        <w:rPr>
          <w:rFonts w:asciiTheme="majorHAnsi" w:hAnsiTheme="majorHAnsi" w:cstheme="majorHAnsi"/>
          <w:sz w:val="24"/>
          <w:szCs w:val="24"/>
        </w:rPr>
        <w:t>(-</w:t>
      </w:r>
      <w:r w:rsidRPr="00DA0637">
        <w:rPr>
          <w:rFonts w:asciiTheme="majorHAnsi" w:hAnsiTheme="majorHAnsi" w:cstheme="majorHAnsi"/>
          <w:sz w:val="24"/>
          <w:szCs w:val="24"/>
        </w:rPr>
        <w:t>163,8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00FC342D">
        <w:rPr>
          <w:rFonts w:asciiTheme="majorHAnsi" w:hAnsiTheme="majorHAnsi" w:cstheme="majorHAnsi"/>
          <w:sz w:val="24"/>
          <w:szCs w:val="24"/>
        </w:rPr>
        <w:t>)</w:t>
      </w:r>
      <w:r w:rsidR="00A53CC8">
        <w:rPr>
          <w:rFonts w:asciiTheme="majorHAnsi" w:hAnsiTheme="majorHAnsi" w:cstheme="majorHAnsi"/>
          <w:sz w:val="24"/>
          <w:szCs w:val="24"/>
        </w:rPr>
        <w:t>,</w:t>
      </w:r>
      <w:r w:rsidR="00FC342D">
        <w:rPr>
          <w:rFonts w:asciiTheme="majorHAnsi" w:hAnsiTheme="majorHAnsi" w:cstheme="majorHAnsi"/>
          <w:sz w:val="24"/>
          <w:szCs w:val="24"/>
        </w:rPr>
        <w:t xml:space="preserve"> sau cu 16,7</w:t>
      </w:r>
      <w:r w:rsidRPr="00DA0637">
        <w:rPr>
          <w:rFonts w:asciiTheme="majorHAnsi" w:hAnsiTheme="majorHAnsi" w:cstheme="majorHAnsi"/>
          <w:sz w:val="24"/>
          <w:szCs w:val="24"/>
        </w:rPr>
        <w:t xml:space="preserve">%, </w:t>
      </w:r>
      <w:r w:rsidR="00704953">
        <w:rPr>
          <w:rFonts w:asciiTheme="majorHAnsi" w:hAnsiTheme="majorHAnsi" w:cstheme="majorHAnsi"/>
          <w:sz w:val="24"/>
          <w:szCs w:val="24"/>
        </w:rPr>
        <w:t>inclusiv</w:t>
      </w:r>
      <w:r w:rsidRPr="00DA0637">
        <w:rPr>
          <w:rFonts w:asciiTheme="majorHAnsi" w:hAnsiTheme="majorHAnsi" w:cstheme="majorHAnsi"/>
          <w:sz w:val="24"/>
          <w:szCs w:val="24"/>
        </w:rPr>
        <w:t xml:space="preserve"> creanțele cu termenul expirat sau diminuat </w:t>
      </w:r>
      <w:r w:rsidR="00A53CC8">
        <w:rPr>
          <w:rFonts w:asciiTheme="majorHAnsi" w:hAnsiTheme="majorHAnsi" w:cstheme="majorHAnsi"/>
          <w:sz w:val="24"/>
          <w:szCs w:val="24"/>
        </w:rPr>
        <w:t xml:space="preserve">– </w:t>
      </w:r>
      <w:r w:rsidRPr="00DA0637">
        <w:rPr>
          <w:rFonts w:asciiTheme="majorHAnsi" w:hAnsiTheme="majorHAnsi" w:cstheme="majorHAnsi"/>
          <w:sz w:val="24"/>
          <w:szCs w:val="24"/>
        </w:rPr>
        <w:t>cu 76,0%</w:t>
      </w:r>
      <w:r w:rsidR="00A53CC8">
        <w:rPr>
          <w:rFonts w:asciiTheme="majorHAnsi" w:hAnsiTheme="majorHAnsi" w:cstheme="majorHAnsi"/>
          <w:sz w:val="24"/>
          <w:szCs w:val="24"/>
        </w:rPr>
        <w:t>,</w:t>
      </w:r>
      <w:r w:rsidRPr="00DA0637">
        <w:rPr>
          <w:rFonts w:asciiTheme="majorHAnsi" w:hAnsiTheme="majorHAnsi" w:cstheme="majorHAnsi"/>
          <w:sz w:val="24"/>
          <w:szCs w:val="24"/>
        </w:rPr>
        <w:t xml:space="preserve"> sau cu </w:t>
      </w:r>
      <w:r w:rsidR="00FC342D">
        <w:rPr>
          <w:rFonts w:asciiTheme="majorHAnsi" w:hAnsiTheme="majorHAnsi" w:cstheme="majorHAnsi"/>
          <w:sz w:val="24"/>
          <w:szCs w:val="24"/>
        </w:rPr>
        <w:t>(-</w:t>
      </w:r>
      <w:r w:rsidRPr="00DA0637">
        <w:rPr>
          <w:rFonts w:asciiTheme="majorHAnsi" w:hAnsiTheme="majorHAnsi" w:cstheme="majorHAnsi"/>
          <w:sz w:val="24"/>
          <w:szCs w:val="24"/>
        </w:rPr>
        <w:t>41,6 mil</w:t>
      </w:r>
      <w:r>
        <w:rPr>
          <w:rFonts w:asciiTheme="majorHAnsi" w:hAnsiTheme="majorHAnsi" w:cstheme="majorHAnsi"/>
          <w:sz w:val="24"/>
          <w:szCs w:val="24"/>
        </w:rPr>
        <w:t>.</w:t>
      </w:r>
      <w:r w:rsidRPr="00DA0637">
        <w:rPr>
          <w:rFonts w:asciiTheme="majorHAnsi" w:hAnsiTheme="majorHAnsi" w:cstheme="majorHAnsi"/>
          <w:sz w:val="24"/>
          <w:szCs w:val="24"/>
        </w:rPr>
        <w:t xml:space="preserve"> </w:t>
      </w:r>
      <w:r w:rsidR="007160B9">
        <w:rPr>
          <w:rFonts w:asciiTheme="majorHAnsi" w:hAnsiTheme="majorHAnsi" w:cstheme="majorHAnsi"/>
          <w:sz w:val="24"/>
          <w:szCs w:val="24"/>
        </w:rPr>
        <w:t>MDL</w:t>
      </w:r>
      <w:r w:rsidR="00FC342D">
        <w:rPr>
          <w:rFonts w:asciiTheme="majorHAnsi" w:hAnsiTheme="majorHAnsi" w:cstheme="majorHAnsi"/>
          <w:sz w:val="24"/>
          <w:szCs w:val="24"/>
        </w:rPr>
        <w:t>)</w:t>
      </w:r>
      <w:r w:rsidRPr="00DA0637">
        <w:rPr>
          <w:rFonts w:asciiTheme="majorHAnsi" w:hAnsiTheme="majorHAnsi" w:cstheme="majorHAnsi"/>
          <w:sz w:val="24"/>
          <w:szCs w:val="24"/>
        </w:rPr>
        <w:t>.</w:t>
      </w:r>
      <w:r w:rsidR="00793C62">
        <w:rPr>
          <w:rFonts w:asciiTheme="majorHAnsi" w:hAnsiTheme="majorHAnsi" w:cstheme="majorHAnsi"/>
          <w:sz w:val="24"/>
          <w:szCs w:val="24"/>
        </w:rPr>
        <w:t xml:space="preserve"> </w:t>
      </w:r>
      <w:r w:rsidRPr="00DA0637">
        <w:rPr>
          <w:rFonts w:asciiTheme="majorHAnsi" w:hAnsiTheme="majorHAnsi" w:cstheme="majorHAnsi"/>
          <w:sz w:val="24"/>
          <w:szCs w:val="24"/>
        </w:rPr>
        <w:t xml:space="preserve"> </w:t>
      </w:r>
    </w:p>
    <w:p w:rsidR="00DA0637" w:rsidRPr="00DA0637" w:rsidRDefault="00DA0637" w:rsidP="00DA0637">
      <w:pPr>
        <w:spacing w:after="0" w:line="276" w:lineRule="auto"/>
        <w:ind w:firstLine="709"/>
        <w:jc w:val="both"/>
        <w:rPr>
          <w:rFonts w:asciiTheme="majorHAnsi" w:hAnsiTheme="majorHAnsi" w:cstheme="majorHAnsi"/>
          <w:sz w:val="24"/>
          <w:szCs w:val="24"/>
        </w:rPr>
      </w:pPr>
      <w:r w:rsidRPr="00DA0637">
        <w:rPr>
          <w:rFonts w:asciiTheme="majorHAnsi" w:hAnsiTheme="majorHAnsi" w:cstheme="majorHAnsi"/>
          <w:sz w:val="24"/>
          <w:szCs w:val="24"/>
        </w:rPr>
        <w:t>Totodată</w:t>
      </w:r>
      <w:r w:rsidR="00704953">
        <w:rPr>
          <w:rFonts w:asciiTheme="majorHAnsi" w:hAnsiTheme="majorHAnsi" w:cstheme="majorHAnsi"/>
          <w:sz w:val="24"/>
          <w:szCs w:val="24"/>
        </w:rPr>
        <w:t>,</w:t>
      </w:r>
      <w:r w:rsidRPr="00DA0637">
        <w:rPr>
          <w:rFonts w:asciiTheme="majorHAnsi" w:hAnsiTheme="majorHAnsi" w:cstheme="majorHAnsi"/>
          <w:sz w:val="24"/>
          <w:szCs w:val="24"/>
        </w:rPr>
        <w:t xml:space="preserve"> datoriile raportate la 31.12.2018 sunt în creștere cu 48,7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00A53CC8">
        <w:rPr>
          <w:rFonts w:asciiTheme="majorHAnsi" w:hAnsiTheme="majorHAnsi" w:cstheme="majorHAnsi"/>
          <w:sz w:val="24"/>
          <w:szCs w:val="24"/>
        </w:rPr>
        <w:t>,</w:t>
      </w:r>
      <w:r w:rsidRPr="00DA0637">
        <w:rPr>
          <w:rFonts w:asciiTheme="majorHAnsi" w:hAnsiTheme="majorHAnsi" w:cstheme="majorHAnsi"/>
          <w:sz w:val="24"/>
          <w:szCs w:val="24"/>
        </w:rPr>
        <w:t xml:space="preserve"> sau cu</w:t>
      </w:r>
      <w:r w:rsidR="00793C62">
        <w:rPr>
          <w:rFonts w:asciiTheme="majorHAnsi" w:hAnsiTheme="majorHAnsi" w:cstheme="majorHAnsi"/>
          <w:sz w:val="24"/>
          <w:szCs w:val="24"/>
        </w:rPr>
        <w:t xml:space="preserve"> </w:t>
      </w:r>
      <w:r w:rsidRPr="00DA0637">
        <w:rPr>
          <w:rFonts w:asciiTheme="majorHAnsi" w:hAnsiTheme="majorHAnsi" w:cstheme="majorHAnsi"/>
          <w:sz w:val="24"/>
          <w:szCs w:val="24"/>
        </w:rPr>
        <w:t>7,0%, iar cele cu termenul de achitare expirat rămânând la nivelul anului precedent</w:t>
      </w:r>
      <w:r w:rsidR="00A53CC8">
        <w:rPr>
          <w:rFonts w:asciiTheme="majorHAnsi" w:hAnsiTheme="majorHAnsi" w:cstheme="majorHAnsi"/>
          <w:sz w:val="24"/>
          <w:szCs w:val="24"/>
        </w:rPr>
        <w:t>,</w:t>
      </w:r>
      <w:r w:rsidRPr="00DA0637">
        <w:rPr>
          <w:rFonts w:asciiTheme="majorHAnsi" w:hAnsiTheme="majorHAnsi" w:cstheme="majorHAnsi"/>
          <w:sz w:val="24"/>
          <w:szCs w:val="24"/>
        </w:rPr>
        <w:t xml:space="preserve"> </w:t>
      </w:r>
      <w:r w:rsidR="00704953">
        <w:rPr>
          <w:rFonts w:asciiTheme="majorHAnsi" w:hAnsiTheme="majorHAnsi" w:cstheme="majorHAnsi"/>
          <w:sz w:val="24"/>
          <w:szCs w:val="24"/>
        </w:rPr>
        <w:t xml:space="preserve">de </w:t>
      </w:r>
      <w:r w:rsidRPr="00DA0637">
        <w:rPr>
          <w:rFonts w:asciiTheme="majorHAnsi" w:hAnsiTheme="majorHAnsi" w:cstheme="majorHAnsi"/>
          <w:sz w:val="24"/>
          <w:szCs w:val="24"/>
        </w:rPr>
        <w:t>2,7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xml:space="preserve">. </w:t>
      </w:r>
    </w:p>
    <w:p w:rsidR="00DA0637" w:rsidRPr="00DA0637" w:rsidRDefault="00704953" w:rsidP="00DA0637">
      <w:pPr>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C</w:t>
      </w:r>
      <w:r w:rsidR="00DA0637" w:rsidRPr="00DA0637">
        <w:rPr>
          <w:rFonts w:asciiTheme="majorHAnsi" w:hAnsiTheme="majorHAnsi" w:cstheme="majorHAnsi"/>
          <w:sz w:val="24"/>
          <w:szCs w:val="24"/>
        </w:rPr>
        <w:t xml:space="preserve">reanțele </w:t>
      </w:r>
      <w:r>
        <w:rPr>
          <w:rFonts w:asciiTheme="majorHAnsi" w:hAnsiTheme="majorHAnsi" w:cstheme="majorHAnsi"/>
          <w:sz w:val="24"/>
          <w:szCs w:val="24"/>
        </w:rPr>
        <w:t xml:space="preserve">analizate </w:t>
      </w:r>
      <w:r w:rsidR="00DA0637" w:rsidRPr="00DA0637">
        <w:rPr>
          <w:rFonts w:asciiTheme="majorHAnsi" w:hAnsiTheme="majorHAnsi" w:cstheme="majorHAnsi"/>
          <w:sz w:val="24"/>
          <w:szCs w:val="24"/>
        </w:rPr>
        <w:t>în aspectul clasificației economice relevă că ponderea semnificativă revine activelor nefinanciare, în sumă de 634,6 mil.</w:t>
      </w:r>
      <w:r w:rsidR="00DA0637">
        <w:rPr>
          <w:rFonts w:asciiTheme="majorHAnsi" w:hAnsiTheme="majorHAnsi" w:cstheme="majorHAnsi"/>
          <w:sz w:val="24"/>
          <w:szCs w:val="24"/>
        </w:rPr>
        <w:t xml:space="preserve"> </w:t>
      </w:r>
      <w:r w:rsidR="007160B9">
        <w:rPr>
          <w:rFonts w:asciiTheme="majorHAnsi" w:hAnsiTheme="majorHAnsi" w:cstheme="majorHAnsi"/>
          <w:sz w:val="24"/>
          <w:szCs w:val="24"/>
        </w:rPr>
        <w:t>MDL</w:t>
      </w:r>
      <w:r w:rsidR="00C85BDB">
        <w:rPr>
          <w:rFonts w:asciiTheme="majorHAnsi" w:hAnsiTheme="majorHAnsi" w:cstheme="majorHAnsi"/>
          <w:sz w:val="24"/>
          <w:szCs w:val="24"/>
        </w:rPr>
        <w:t>, sau 77,6</w:t>
      </w:r>
      <w:r w:rsidR="00DA0637" w:rsidRPr="00DA0637">
        <w:rPr>
          <w:rFonts w:asciiTheme="majorHAnsi" w:hAnsiTheme="majorHAnsi" w:cstheme="majorHAnsi"/>
          <w:sz w:val="24"/>
          <w:szCs w:val="24"/>
        </w:rPr>
        <w:t>%</w:t>
      </w:r>
      <w:r w:rsidR="00A53CC8">
        <w:rPr>
          <w:rFonts w:asciiTheme="majorHAnsi" w:hAnsiTheme="majorHAnsi" w:cstheme="majorHAnsi"/>
          <w:sz w:val="24"/>
          <w:szCs w:val="24"/>
        </w:rPr>
        <w:t>,</w:t>
      </w:r>
      <w:r w:rsidR="00DA0637" w:rsidRPr="00DA0637">
        <w:rPr>
          <w:rFonts w:asciiTheme="majorHAnsi" w:hAnsiTheme="majorHAnsi" w:cstheme="majorHAnsi"/>
          <w:sz w:val="24"/>
          <w:szCs w:val="24"/>
        </w:rPr>
        <w:t xml:space="preserve"> din care 525,0 mil.</w:t>
      </w:r>
      <w:r w:rsidR="00DA0637">
        <w:rPr>
          <w:rFonts w:asciiTheme="majorHAnsi" w:hAnsiTheme="majorHAnsi" w:cstheme="majorHAnsi"/>
          <w:sz w:val="24"/>
          <w:szCs w:val="24"/>
        </w:rPr>
        <w:t xml:space="preserve"> </w:t>
      </w:r>
      <w:r w:rsidR="007160B9">
        <w:rPr>
          <w:rFonts w:asciiTheme="majorHAnsi" w:hAnsiTheme="majorHAnsi" w:cstheme="majorHAnsi"/>
          <w:sz w:val="24"/>
          <w:szCs w:val="24"/>
        </w:rPr>
        <w:t>MDL</w:t>
      </w:r>
      <w:r w:rsidR="00A53CC8">
        <w:rPr>
          <w:rFonts w:asciiTheme="majorHAnsi" w:hAnsiTheme="majorHAnsi" w:cstheme="majorHAnsi"/>
          <w:sz w:val="24"/>
          <w:szCs w:val="24"/>
        </w:rPr>
        <w:t>,</w:t>
      </w:r>
      <w:r w:rsidR="00793C62">
        <w:rPr>
          <w:rFonts w:asciiTheme="majorHAnsi" w:hAnsiTheme="majorHAnsi" w:cstheme="majorHAnsi"/>
          <w:sz w:val="24"/>
          <w:szCs w:val="24"/>
        </w:rPr>
        <w:t xml:space="preserve"> </w:t>
      </w:r>
      <w:r w:rsidR="00C85BDB">
        <w:rPr>
          <w:rFonts w:asciiTheme="majorHAnsi" w:hAnsiTheme="majorHAnsi" w:cstheme="majorHAnsi"/>
          <w:sz w:val="24"/>
          <w:szCs w:val="24"/>
        </w:rPr>
        <w:t>sau 64,2</w:t>
      </w:r>
      <w:r w:rsidR="00DA0637">
        <w:rPr>
          <w:rFonts w:asciiTheme="majorHAnsi" w:hAnsiTheme="majorHAnsi" w:cstheme="majorHAnsi"/>
          <w:sz w:val="24"/>
          <w:szCs w:val="24"/>
        </w:rPr>
        <w:t>%</w:t>
      </w:r>
      <w:r w:rsidR="00A53CC8">
        <w:rPr>
          <w:rFonts w:asciiTheme="majorHAnsi" w:hAnsiTheme="majorHAnsi" w:cstheme="majorHAnsi"/>
          <w:sz w:val="24"/>
          <w:szCs w:val="24"/>
        </w:rPr>
        <w:t>,</w:t>
      </w:r>
      <w:r w:rsidR="00DA0637" w:rsidRPr="00DA0637">
        <w:rPr>
          <w:rFonts w:asciiTheme="majorHAnsi" w:hAnsiTheme="majorHAnsi" w:cstheme="majorHAnsi"/>
          <w:sz w:val="24"/>
          <w:szCs w:val="24"/>
        </w:rPr>
        <w:t xml:space="preserve"> se referă la investițiile capitale în active în curs de execuție.</w:t>
      </w:r>
      <w:r w:rsidR="00793C62">
        <w:rPr>
          <w:rFonts w:asciiTheme="majorHAnsi" w:hAnsiTheme="majorHAnsi" w:cstheme="majorHAnsi"/>
          <w:sz w:val="24"/>
          <w:szCs w:val="24"/>
        </w:rPr>
        <w:t xml:space="preserve"> </w:t>
      </w:r>
    </w:p>
    <w:p w:rsidR="00DA0637" w:rsidRDefault="00DA0637" w:rsidP="00DA0637">
      <w:pPr>
        <w:spacing w:after="0" w:line="276" w:lineRule="auto"/>
        <w:ind w:firstLine="709"/>
        <w:jc w:val="both"/>
        <w:rPr>
          <w:rFonts w:asciiTheme="majorHAnsi" w:hAnsiTheme="majorHAnsi" w:cstheme="majorHAnsi"/>
          <w:sz w:val="24"/>
          <w:szCs w:val="24"/>
        </w:rPr>
      </w:pPr>
      <w:r w:rsidRPr="00DA0637">
        <w:rPr>
          <w:rFonts w:asciiTheme="majorHAnsi" w:hAnsiTheme="majorHAnsi" w:cstheme="majorHAnsi"/>
          <w:sz w:val="24"/>
          <w:szCs w:val="24"/>
        </w:rPr>
        <w:t>De asemenea</w:t>
      </w:r>
      <w:r w:rsidR="00A53CC8">
        <w:rPr>
          <w:rFonts w:asciiTheme="majorHAnsi" w:hAnsiTheme="majorHAnsi" w:cstheme="majorHAnsi"/>
          <w:sz w:val="24"/>
          <w:szCs w:val="24"/>
        </w:rPr>
        <w:t>,</w:t>
      </w:r>
      <w:r w:rsidRPr="00DA0637">
        <w:rPr>
          <w:rFonts w:asciiTheme="majorHAnsi" w:hAnsiTheme="majorHAnsi" w:cstheme="majorHAnsi"/>
          <w:sz w:val="24"/>
          <w:szCs w:val="24"/>
        </w:rPr>
        <w:t xml:space="preserve"> examinările auditului privind datoriile sub aspectul clasificației economice denotă că cele mai semnificative datorii sunt raportate la: </w:t>
      </w:r>
      <w:r w:rsidR="0031082A">
        <w:rPr>
          <w:rFonts w:asciiTheme="majorHAnsi" w:hAnsiTheme="majorHAnsi" w:cstheme="majorHAnsi"/>
          <w:sz w:val="24"/>
          <w:szCs w:val="24"/>
        </w:rPr>
        <w:t>cheltuieli de personal</w:t>
      </w:r>
      <w:r w:rsidRPr="00DA0637">
        <w:rPr>
          <w:rFonts w:asciiTheme="majorHAnsi" w:hAnsiTheme="majorHAnsi" w:cstheme="majorHAnsi"/>
          <w:sz w:val="24"/>
          <w:szCs w:val="24"/>
        </w:rPr>
        <w:t xml:space="preserve">, în sumă de </w:t>
      </w:r>
      <w:r w:rsidR="0031082A">
        <w:rPr>
          <w:rFonts w:asciiTheme="majorHAnsi" w:hAnsiTheme="majorHAnsi" w:cstheme="majorHAnsi"/>
          <w:sz w:val="24"/>
          <w:szCs w:val="24"/>
        </w:rPr>
        <w:t>537,4</w:t>
      </w:r>
      <w:r w:rsidRPr="00DA0637">
        <w:rPr>
          <w:rFonts w:asciiTheme="majorHAnsi" w:hAnsiTheme="majorHAnsi" w:cstheme="majorHAnsi"/>
          <w:sz w:val="24"/>
          <w:szCs w:val="24"/>
        </w:rPr>
        <w:t xml:space="preserve">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xml:space="preserve">, sau </w:t>
      </w:r>
      <w:r w:rsidR="0031082A">
        <w:rPr>
          <w:rFonts w:asciiTheme="majorHAnsi" w:hAnsiTheme="majorHAnsi" w:cstheme="majorHAnsi"/>
          <w:sz w:val="24"/>
          <w:szCs w:val="24"/>
        </w:rPr>
        <w:t>67,9</w:t>
      </w:r>
      <w:r w:rsidRPr="00DA0637">
        <w:rPr>
          <w:rFonts w:asciiTheme="majorHAnsi" w:hAnsiTheme="majorHAnsi" w:cstheme="majorHAnsi"/>
          <w:sz w:val="24"/>
          <w:szCs w:val="24"/>
        </w:rPr>
        <w:t>% din totalul datoriilor, și la investiții capital</w:t>
      </w:r>
      <w:r w:rsidR="0031082A">
        <w:rPr>
          <w:rFonts w:asciiTheme="majorHAnsi" w:hAnsiTheme="majorHAnsi" w:cstheme="majorHAnsi"/>
          <w:sz w:val="24"/>
          <w:szCs w:val="24"/>
        </w:rPr>
        <w:t>e în active în curs de execuție</w:t>
      </w:r>
      <w:r w:rsidRPr="00DA0637">
        <w:rPr>
          <w:rFonts w:asciiTheme="majorHAnsi" w:hAnsiTheme="majorHAnsi" w:cstheme="majorHAnsi"/>
          <w:sz w:val="24"/>
          <w:szCs w:val="24"/>
        </w:rPr>
        <w:t xml:space="preserve">, în sumă de </w:t>
      </w:r>
      <w:r w:rsidR="0031082A">
        <w:rPr>
          <w:rFonts w:asciiTheme="majorHAnsi" w:hAnsiTheme="majorHAnsi" w:cstheme="majorHAnsi"/>
          <w:sz w:val="24"/>
          <w:szCs w:val="24"/>
        </w:rPr>
        <w:t>157,1</w:t>
      </w:r>
      <w:r w:rsidRPr="00DA0637">
        <w:rPr>
          <w:rFonts w:asciiTheme="majorHAnsi" w:hAnsiTheme="majorHAnsi" w:cstheme="majorHAnsi"/>
          <w:sz w:val="24"/>
          <w:szCs w:val="24"/>
        </w:rPr>
        <w:t xml:space="preserve">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DA0637">
        <w:rPr>
          <w:rFonts w:asciiTheme="majorHAnsi" w:hAnsiTheme="majorHAnsi" w:cstheme="majorHAnsi"/>
          <w:sz w:val="24"/>
          <w:szCs w:val="24"/>
        </w:rPr>
        <w:t xml:space="preserve">, sau </w:t>
      </w:r>
      <w:r w:rsidR="0031082A">
        <w:rPr>
          <w:rFonts w:asciiTheme="majorHAnsi" w:hAnsiTheme="majorHAnsi" w:cstheme="majorHAnsi"/>
          <w:sz w:val="24"/>
          <w:szCs w:val="24"/>
        </w:rPr>
        <w:t>19,8</w:t>
      </w:r>
      <w:r w:rsidRPr="00DA0637">
        <w:rPr>
          <w:rFonts w:asciiTheme="majorHAnsi" w:hAnsiTheme="majorHAnsi" w:cstheme="majorHAnsi"/>
          <w:sz w:val="24"/>
          <w:szCs w:val="24"/>
        </w:rPr>
        <w:t>% din totalul datoriilor.</w:t>
      </w:r>
    </w:p>
    <w:p w:rsidR="00020200" w:rsidRPr="00DA0637" w:rsidRDefault="00020200" w:rsidP="00020200">
      <w:pPr>
        <w:tabs>
          <w:tab w:val="left" w:pos="993"/>
        </w:tabs>
        <w:spacing w:after="0" w:line="276" w:lineRule="auto"/>
        <w:ind w:firstLine="709"/>
        <w:contextualSpacing/>
        <w:jc w:val="both"/>
        <w:rPr>
          <w:rFonts w:asciiTheme="majorHAnsi" w:hAnsiTheme="majorHAnsi" w:cstheme="majorHAnsi"/>
          <w:sz w:val="24"/>
          <w:szCs w:val="24"/>
        </w:rPr>
      </w:pPr>
      <w:r w:rsidRPr="00E0310E">
        <w:rPr>
          <w:rFonts w:asciiTheme="majorHAnsi" w:eastAsia="Times New Roman" w:hAnsiTheme="majorHAnsi" w:cs="Times New Roman"/>
          <w:bCs/>
          <w:sz w:val="24"/>
          <w:szCs w:val="24"/>
          <w:lang w:val="ro-MD"/>
        </w:rPr>
        <w:t xml:space="preserve">Achitările în avans a bunurilor, serviciilor contractate </w:t>
      </w:r>
      <w:r w:rsidR="00E52D34">
        <w:rPr>
          <w:rFonts w:asciiTheme="majorHAnsi" w:hAnsiTheme="majorHAnsi" w:cstheme="majorHAnsi"/>
          <w:sz w:val="24"/>
          <w:szCs w:val="24"/>
        </w:rPr>
        <w:t>de către 10 APC (</w:t>
      </w:r>
      <w:r w:rsidR="00262991" w:rsidRPr="00E0310E">
        <w:rPr>
          <w:rFonts w:asciiTheme="majorHAnsi" w:hAnsiTheme="majorHAnsi" w:cstheme="majorHAnsi"/>
          <w:sz w:val="24"/>
          <w:szCs w:val="24"/>
        </w:rPr>
        <w:t>MAI; MSMPS; MF; MECC; CEC; MJ; MA; Secretariatul Parlamentului; Cancelaria de Stat; Agenția pentru Eficiența Energetică, inclusiv instituțiile din subordine)</w:t>
      </w:r>
      <w:r w:rsidR="00262991">
        <w:rPr>
          <w:rFonts w:asciiTheme="majorHAnsi" w:hAnsiTheme="majorHAnsi" w:cstheme="majorHAnsi"/>
          <w:sz w:val="24"/>
          <w:szCs w:val="24"/>
        </w:rPr>
        <w:t xml:space="preserve"> </w:t>
      </w:r>
      <w:r w:rsidRPr="00E0310E">
        <w:rPr>
          <w:rFonts w:asciiTheme="majorHAnsi" w:eastAsia="Times New Roman" w:hAnsiTheme="majorHAnsi" w:cs="Times New Roman"/>
          <w:bCs/>
          <w:sz w:val="24"/>
          <w:szCs w:val="24"/>
          <w:lang w:val="ro-MD"/>
        </w:rPr>
        <w:t>a</w:t>
      </w:r>
      <w:r>
        <w:rPr>
          <w:rFonts w:asciiTheme="majorHAnsi" w:eastAsia="Times New Roman" w:hAnsiTheme="majorHAnsi" w:cs="Times New Roman"/>
          <w:bCs/>
          <w:sz w:val="24"/>
          <w:szCs w:val="24"/>
          <w:lang w:val="ro-MD"/>
        </w:rPr>
        <w:t>u</w:t>
      </w:r>
      <w:r w:rsidRPr="00E0310E">
        <w:rPr>
          <w:rFonts w:asciiTheme="majorHAnsi" w:eastAsia="Times New Roman" w:hAnsiTheme="majorHAnsi" w:cs="Times New Roman"/>
          <w:bCs/>
          <w:sz w:val="24"/>
          <w:szCs w:val="24"/>
          <w:lang w:val="ro-MD"/>
        </w:rPr>
        <w:t xml:space="preserve"> determinat </w:t>
      </w:r>
      <w:r>
        <w:rPr>
          <w:rFonts w:asciiTheme="majorHAnsi" w:eastAsia="Times New Roman" w:hAnsiTheme="majorHAnsi" w:cs="Times New Roman"/>
          <w:bCs/>
          <w:sz w:val="24"/>
          <w:szCs w:val="24"/>
          <w:lang w:val="ro-MD"/>
        </w:rPr>
        <w:t xml:space="preserve">imobilizarea </w:t>
      </w:r>
      <w:r w:rsidRPr="00262991">
        <w:rPr>
          <w:rFonts w:asciiTheme="majorHAnsi" w:eastAsia="Times New Roman" w:hAnsiTheme="majorHAnsi" w:cs="Times New Roman"/>
          <w:bCs/>
          <w:sz w:val="24"/>
          <w:szCs w:val="24"/>
          <w:lang w:val="ro-MD"/>
        </w:rPr>
        <w:t xml:space="preserve">mijloacelor bugetare </w:t>
      </w:r>
      <w:r w:rsidRPr="00262991">
        <w:rPr>
          <w:rFonts w:asciiTheme="majorHAnsi" w:hAnsiTheme="majorHAnsi" w:cstheme="majorHAnsi"/>
          <w:sz w:val="24"/>
          <w:szCs w:val="24"/>
        </w:rPr>
        <w:t>pe un termen nedeterminat</w:t>
      </w:r>
      <w:r w:rsidRPr="00262991">
        <w:rPr>
          <w:rFonts w:asciiTheme="majorHAnsi" w:eastAsia="Times New Roman" w:hAnsiTheme="majorHAnsi" w:cs="Times New Roman"/>
          <w:bCs/>
          <w:sz w:val="24"/>
          <w:szCs w:val="24"/>
          <w:lang w:val="ro-MD"/>
        </w:rPr>
        <w:t xml:space="preserve"> la formarea creanțelor</w:t>
      </w:r>
      <w:r w:rsidR="00D85986">
        <w:rPr>
          <w:rFonts w:asciiTheme="majorHAnsi" w:eastAsia="Times New Roman" w:hAnsiTheme="majorHAnsi" w:cs="Times New Roman"/>
          <w:bCs/>
          <w:sz w:val="24"/>
          <w:szCs w:val="24"/>
          <w:lang w:val="ro-MD"/>
        </w:rPr>
        <w:t>,</w:t>
      </w:r>
      <w:r w:rsidRPr="00262991">
        <w:rPr>
          <w:rFonts w:asciiTheme="majorHAnsi" w:eastAsia="Times New Roman" w:hAnsiTheme="majorHAnsi" w:cs="Times New Roman"/>
          <w:bCs/>
          <w:sz w:val="24"/>
          <w:szCs w:val="24"/>
          <w:lang w:val="ro-MD"/>
        </w:rPr>
        <w:t xml:space="preserve"> la situația din 31.12.2018</w:t>
      </w:r>
      <w:r w:rsidR="00D85986">
        <w:rPr>
          <w:rFonts w:asciiTheme="majorHAnsi" w:eastAsia="Times New Roman" w:hAnsiTheme="majorHAnsi" w:cs="Times New Roman"/>
          <w:bCs/>
          <w:sz w:val="24"/>
          <w:szCs w:val="24"/>
          <w:lang w:val="ro-MD"/>
        </w:rPr>
        <w:t>,</w:t>
      </w:r>
      <w:r w:rsidRPr="00262991">
        <w:rPr>
          <w:rFonts w:asciiTheme="majorHAnsi" w:eastAsia="Times New Roman" w:hAnsiTheme="majorHAnsi" w:cs="Times New Roman"/>
          <w:bCs/>
          <w:sz w:val="24"/>
          <w:szCs w:val="24"/>
          <w:lang w:val="ro-MD"/>
        </w:rPr>
        <w:t xml:space="preserve"> în volum de circa 68,9 mil. </w:t>
      </w:r>
      <w:r w:rsidR="007160B9">
        <w:rPr>
          <w:rFonts w:asciiTheme="majorHAnsi" w:eastAsia="Times New Roman" w:hAnsiTheme="majorHAnsi" w:cs="Times New Roman"/>
          <w:bCs/>
          <w:sz w:val="24"/>
          <w:szCs w:val="24"/>
          <w:lang w:val="ro-MD"/>
        </w:rPr>
        <w:t>MDL</w:t>
      </w:r>
      <w:r w:rsidRPr="00262991">
        <w:rPr>
          <w:rFonts w:asciiTheme="majorHAnsi" w:hAnsiTheme="majorHAnsi" w:cstheme="majorHAnsi"/>
          <w:sz w:val="24"/>
          <w:szCs w:val="24"/>
        </w:rPr>
        <w:t>.</w:t>
      </w:r>
      <w:r w:rsidR="00793C62">
        <w:rPr>
          <w:rFonts w:asciiTheme="majorHAnsi" w:hAnsiTheme="majorHAnsi" w:cstheme="majorHAnsi"/>
          <w:sz w:val="24"/>
          <w:szCs w:val="24"/>
        </w:rPr>
        <w:t xml:space="preserve"> </w:t>
      </w:r>
    </w:p>
    <w:p w:rsidR="00DA0637" w:rsidRDefault="00DA0637" w:rsidP="00E4034E">
      <w:pPr>
        <w:spacing w:before="240" w:after="0" w:line="276" w:lineRule="auto"/>
        <w:contextualSpacing/>
        <w:jc w:val="both"/>
        <w:rPr>
          <w:rFonts w:asciiTheme="majorHAnsi" w:hAnsiTheme="majorHAnsi" w:cstheme="majorHAnsi"/>
          <w:sz w:val="24"/>
          <w:szCs w:val="24"/>
        </w:rPr>
      </w:pPr>
    </w:p>
    <w:p w:rsidR="003E6761" w:rsidRPr="001E5F9E" w:rsidRDefault="00A251BC" w:rsidP="003E6761">
      <w:pPr>
        <w:pStyle w:val="Heading2"/>
        <w:rPr>
          <w:rFonts w:cstheme="majorHAnsi"/>
          <w:b/>
          <w:color w:val="000000" w:themeColor="text1"/>
          <w:sz w:val="24"/>
          <w:szCs w:val="24"/>
          <w:lang w:val="ro-MD"/>
        </w:rPr>
      </w:pPr>
      <w:bookmarkStart w:id="20" w:name="_Toc10126091"/>
      <w:r w:rsidRPr="001E5F9E">
        <w:rPr>
          <w:rFonts w:cstheme="majorHAnsi"/>
          <w:b/>
          <w:color w:val="000000" w:themeColor="text1"/>
          <w:sz w:val="24"/>
          <w:szCs w:val="24"/>
        </w:rPr>
        <w:t>3.3</w:t>
      </w:r>
      <w:r w:rsidR="003E6761" w:rsidRPr="001E5F9E">
        <w:rPr>
          <w:rFonts w:cstheme="majorHAnsi"/>
          <w:b/>
          <w:color w:val="000000" w:themeColor="text1"/>
          <w:sz w:val="24"/>
          <w:szCs w:val="24"/>
        </w:rPr>
        <w:t xml:space="preserve"> </w:t>
      </w:r>
      <w:r w:rsidR="003E6761" w:rsidRPr="001E5F9E">
        <w:rPr>
          <w:rFonts w:cstheme="majorHAnsi"/>
          <w:b/>
          <w:color w:val="000000" w:themeColor="text1"/>
          <w:sz w:val="24"/>
          <w:szCs w:val="24"/>
          <w:lang w:val="ro-MD"/>
        </w:rPr>
        <w:t>ASPECTE DE CONFORMITATE</w:t>
      </w:r>
      <w:bookmarkEnd w:id="20"/>
    </w:p>
    <w:p w:rsidR="003E6761" w:rsidRPr="00D277FC" w:rsidRDefault="00A251BC" w:rsidP="003E6761">
      <w:pPr>
        <w:pStyle w:val="ListParagraph"/>
        <w:tabs>
          <w:tab w:val="left" w:pos="993"/>
        </w:tabs>
        <w:spacing w:after="0" w:line="276" w:lineRule="auto"/>
        <w:ind w:left="0"/>
        <w:jc w:val="both"/>
        <w:outlineLvl w:val="2"/>
        <w:rPr>
          <w:rFonts w:asciiTheme="majorHAnsi" w:hAnsiTheme="majorHAnsi" w:cstheme="majorHAnsi"/>
          <w:b/>
          <w:sz w:val="24"/>
          <w:szCs w:val="24"/>
        </w:rPr>
      </w:pPr>
      <w:bookmarkStart w:id="21" w:name="_Toc10126092"/>
      <w:r w:rsidRPr="001E5F9E">
        <w:rPr>
          <w:rFonts w:asciiTheme="majorHAnsi" w:hAnsiTheme="majorHAnsi" w:cstheme="majorHAnsi"/>
          <w:b/>
          <w:sz w:val="24"/>
          <w:szCs w:val="24"/>
          <w:lang w:val="ro-MD"/>
        </w:rPr>
        <w:t>3.3</w:t>
      </w:r>
      <w:r w:rsidR="003E6761" w:rsidRPr="001E5F9E">
        <w:rPr>
          <w:rFonts w:asciiTheme="majorHAnsi" w:hAnsiTheme="majorHAnsi" w:cstheme="majorHAnsi"/>
          <w:b/>
          <w:sz w:val="24"/>
          <w:szCs w:val="24"/>
        </w:rPr>
        <w:t>.1 Nerespectarea</w:t>
      </w:r>
      <w:r w:rsidR="003E6761" w:rsidRPr="00D277FC">
        <w:rPr>
          <w:rFonts w:asciiTheme="majorHAnsi" w:hAnsiTheme="majorHAnsi" w:cstheme="majorHAnsi"/>
          <w:b/>
          <w:sz w:val="24"/>
          <w:szCs w:val="24"/>
        </w:rPr>
        <w:t xml:space="preserve"> calenda</w:t>
      </w:r>
      <w:r w:rsidR="00AC1E9E">
        <w:rPr>
          <w:rFonts w:asciiTheme="majorHAnsi" w:hAnsiTheme="majorHAnsi" w:cstheme="majorHAnsi"/>
          <w:b/>
          <w:sz w:val="24"/>
          <w:szCs w:val="24"/>
        </w:rPr>
        <w:t>rului bugetar pentru elaborarea și</w:t>
      </w:r>
      <w:r w:rsidR="003E6761" w:rsidRPr="00D277FC">
        <w:rPr>
          <w:rFonts w:asciiTheme="majorHAnsi" w:hAnsiTheme="majorHAnsi" w:cstheme="majorHAnsi"/>
          <w:b/>
          <w:sz w:val="24"/>
          <w:szCs w:val="24"/>
        </w:rPr>
        <w:t xml:space="preserve"> aprobarea bugetului de stat pentru anul 2018.</w:t>
      </w:r>
      <w:bookmarkEnd w:id="21"/>
    </w:p>
    <w:p w:rsidR="003E6761" w:rsidRDefault="003E6761" w:rsidP="003E6761">
      <w:pPr>
        <w:shd w:val="clear" w:color="auto" w:fill="FFFFFF" w:themeFill="background1"/>
        <w:tabs>
          <w:tab w:val="left" w:pos="284"/>
        </w:tabs>
        <w:spacing w:after="120" w:line="276" w:lineRule="auto"/>
        <w:contextualSpacing/>
        <w:jc w:val="both"/>
        <w:rPr>
          <w:rFonts w:asciiTheme="majorHAnsi" w:eastAsiaTheme="minorEastAsia" w:hAnsiTheme="majorHAnsi" w:cs="Times New Roman"/>
          <w:sz w:val="24"/>
          <w:szCs w:val="24"/>
        </w:rPr>
      </w:pPr>
      <w:r w:rsidRPr="00B43BFA">
        <w:rPr>
          <w:rFonts w:asciiTheme="majorHAnsi" w:eastAsiaTheme="minorEastAsia" w:hAnsiTheme="majorHAnsi" w:cs="Times New Roman"/>
          <w:i/>
          <w:sz w:val="24"/>
          <w:szCs w:val="24"/>
        </w:rPr>
        <w:lastRenderedPageBreak/>
        <w:t>Ca</w:t>
      </w:r>
      <w:r w:rsidRPr="00FF5C18">
        <w:rPr>
          <w:rFonts w:asciiTheme="majorHAnsi" w:eastAsiaTheme="minorEastAsia" w:hAnsiTheme="majorHAnsi" w:cs="Times New Roman"/>
          <w:i/>
          <w:sz w:val="24"/>
          <w:szCs w:val="24"/>
        </w:rPr>
        <w:t>lendarul bugetar</w:t>
      </w:r>
      <w:r w:rsidRPr="00FF5C18">
        <w:rPr>
          <w:rStyle w:val="FootnoteReference"/>
          <w:rFonts w:asciiTheme="majorHAnsi" w:eastAsiaTheme="minorEastAsia" w:hAnsiTheme="majorHAnsi" w:cs="Times New Roman"/>
          <w:sz w:val="24"/>
          <w:szCs w:val="24"/>
        </w:rPr>
        <w:footnoteReference w:id="43"/>
      </w:r>
      <w:r w:rsidRPr="00FF5C18">
        <w:rPr>
          <w:rFonts w:asciiTheme="majorHAnsi" w:eastAsiaTheme="minorEastAsia" w:hAnsiTheme="majorHAnsi" w:cs="Times New Roman"/>
          <w:i/>
          <w:sz w:val="24"/>
          <w:szCs w:val="24"/>
        </w:rPr>
        <w:t xml:space="preserve"> reprezintă un plan de activități aferente procesului bugetar, în care sunt stabilite termenele de realizare a acestora și autoritățile responsabile</w:t>
      </w:r>
      <w:r w:rsidRPr="00FF5C18">
        <w:rPr>
          <w:rFonts w:asciiTheme="majorHAnsi" w:eastAsiaTheme="minorEastAsia" w:hAnsiTheme="majorHAnsi" w:cs="Times New Roman"/>
          <w:sz w:val="24"/>
          <w:szCs w:val="24"/>
        </w:rPr>
        <w:t xml:space="preserve">. Principalele activități și termene-limită ale calendarului bugetar sunt </w:t>
      </w:r>
      <w:r>
        <w:rPr>
          <w:rFonts w:asciiTheme="majorHAnsi" w:eastAsiaTheme="minorEastAsia" w:hAnsiTheme="majorHAnsi" w:cs="Times New Roman"/>
          <w:sz w:val="24"/>
          <w:szCs w:val="24"/>
        </w:rPr>
        <w:t>reglementate prin Legea</w:t>
      </w:r>
      <w:r w:rsidRPr="00FF5C18">
        <w:rPr>
          <w:rFonts w:asciiTheme="majorHAnsi" w:eastAsiaTheme="minorEastAsia" w:hAnsiTheme="majorHAnsi" w:cs="Times New Roman"/>
          <w:sz w:val="24"/>
          <w:szCs w:val="24"/>
        </w:rPr>
        <w:t xml:space="preserve"> finanțelor publice și responsabilității bugetar-fiscale nr.181 din 25.07.2014. </w:t>
      </w:r>
    </w:p>
    <w:p w:rsidR="003E6761" w:rsidRDefault="003E6761" w:rsidP="003E6761">
      <w:pPr>
        <w:shd w:val="clear" w:color="auto" w:fill="FFFFFF" w:themeFill="background1"/>
        <w:tabs>
          <w:tab w:val="left" w:pos="284"/>
        </w:tabs>
        <w:spacing w:after="0" w:line="276" w:lineRule="auto"/>
        <w:ind w:firstLine="709"/>
        <w:contextualSpacing/>
        <w:jc w:val="both"/>
        <w:rPr>
          <w:rFonts w:asciiTheme="majorHAnsi" w:eastAsiaTheme="minorEastAsia" w:hAnsiTheme="majorHAnsi" w:cs="Times New Roman"/>
          <w:sz w:val="24"/>
          <w:szCs w:val="24"/>
        </w:rPr>
      </w:pPr>
      <w:r w:rsidRPr="000B2F9B">
        <w:rPr>
          <w:rFonts w:asciiTheme="majorHAnsi" w:eastAsiaTheme="minorEastAsia" w:hAnsiTheme="majorHAnsi" w:cs="Times New Roman"/>
          <w:sz w:val="24"/>
          <w:szCs w:val="24"/>
        </w:rPr>
        <w:t>Pentru executarea prevederilor legale</w:t>
      </w:r>
      <w:r w:rsidR="00D612B4">
        <w:rPr>
          <w:rFonts w:asciiTheme="majorHAnsi" w:eastAsiaTheme="minorEastAsia" w:hAnsiTheme="majorHAnsi" w:cs="Times New Roman"/>
          <w:sz w:val="24"/>
          <w:szCs w:val="24"/>
        </w:rPr>
        <w:t>,</w:t>
      </w:r>
      <w:r w:rsidRPr="000B2F9B">
        <w:rPr>
          <w:rFonts w:asciiTheme="majorHAnsi" w:eastAsiaTheme="minorEastAsia" w:hAnsiTheme="majorHAnsi" w:cs="Times New Roman"/>
          <w:sz w:val="24"/>
          <w:szCs w:val="24"/>
        </w:rPr>
        <w:t xml:space="preserve"> prin Ordinul MF nr.209 din 24.12.2015 a fost aprobat </w:t>
      </w:r>
      <w:r w:rsidRPr="000B2F9B">
        <w:rPr>
          <w:rFonts w:asciiTheme="majorHAnsi" w:eastAsiaTheme="minorEastAsia" w:hAnsiTheme="majorHAnsi" w:cs="Times New Roman"/>
          <w:i/>
          <w:sz w:val="24"/>
          <w:szCs w:val="24"/>
        </w:rPr>
        <w:t>Setul metodologic privind elaborarea, aprobarea și modificarea bugetului</w:t>
      </w:r>
      <w:r w:rsidRPr="000B2F9B">
        <w:rPr>
          <w:rFonts w:asciiTheme="majorHAnsi" w:eastAsiaTheme="minorEastAsia" w:hAnsiTheme="majorHAnsi" w:cs="Times New Roman"/>
          <w:sz w:val="24"/>
          <w:szCs w:val="24"/>
        </w:rPr>
        <w:t xml:space="preserve">, în care sunt stabilite etapele principale și responsabilitățile pentru elaborarea și adoptarea legii anuale a </w:t>
      </w:r>
      <w:r>
        <w:rPr>
          <w:rFonts w:asciiTheme="majorHAnsi" w:eastAsiaTheme="minorEastAsia" w:hAnsiTheme="majorHAnsi" w:cs="Times New Roman"/>
          <w:sz w:val="24"/>
          <w:szCs w:val="24"/>
        </w:rPr>
        <w:t>BS</w:t>
      </w:r>
      <w:r w:rsidRPr="000B2F9B">
        <w:rPr>
          <w:rFonts w:asciiTheme="majorHAnsi" w:eastAsiaTheme="minorEastAsia" w:hAnsiTheme="majorHAnsi" w:cs="Times New Roman"/>
          <w:sz w:val="24"/>
          <w:szCs w:val="24"/>
        </w:rPr>
        <w:t xml:space="preserve">, acțiunile și termenele de realizare a acestora. </w:t>
      </w:r>
      <w:r>
        <w:rPr>
          <w:rFonts w:asciiTheme="majorHAnsi" w:eastAsiaTheme="minorEastAsia" w:hAnsiTheme="majorHAnsi" w:cs="Times New Roman"/>
          <w:sz w:val="24"/>
          <w:szCs w:val="24"/>
        </w:rPr>
        <w:t>Examinările efectuate</w:t>
      </w:r>
      <w:r w:rsidRPr="000B2F9B">
        <w:rPr>
          <w:rFonts w:asciiTheme="majorHAnsi" w:eastAsiaTheme="minorEastAsia" w:hAnsiTheme="majorHAnsi" w:cs="Times New Roman"/>
          <w:sz w:val="24"/>
          <w:szCs w:val="24"/>
        </w:rPr>
        <w:t xml:space="preserve"> de audit au constatat: </w:t>
      </w:r>
    </w:p>
    <w:p w:rsidR="003E6761" w:rsidRPr="00B32C09" w:rsidRDefault="003E6761" w:rsidP="003E6761">
      <w:pPr>
        <w:pStyle w:val="ListParagraph"/>
        <w:numPr>
          <w:ilvl w:val="0"/>
          <w:numId w:val="9"/>
        </w:numPr>
        <w:shd w:val="clear" w:color="auto" w:fill="FFFFFF" w:themeFill="background1"/>
        <w:tabs>
          <w:tab w:val="left" w:pos="284"/>
          <w:tab w:val="left" w:pos="993"/>
        </w:tabs>
        <w:spacing w:after="120" w:line="276" w:lineRule="auto"/>
        <w:ind w:left="0" w:firstLine="709"/>
        <w:jc w:val="both"/>
        <w:rPr>
          <w:rFonts w:asciiTheme="majorHAnsi" w:hAnsiTheme="majorHAnsi" w:cstheme="majorHAnsi"/>
          <w:sz w:val="24"/>
          <w:szCs w:val="24"/>
        </w:rPr>
      </w:pPr>
      <w:r w:rsidRPr="00B32C09">
        <w:rPr>
          <w:rFonts w:asciiTheme="majorHAnsi" w:hAnsiTheme="majorHAnsi" w:cstheme="majorHAnsi"/>
          <w:i/>
          <w:sz w:val="24"/>
          <w:szCs w:val="24"/>
        </w:rPr>
        <w:t>nerespectarea termenelor prevăzute de cadrul legal la etapa de elaborare a proiectului bugetului de stat și, respectiv, la etapa de adoptare a Legii bugetului de stat</w:t>
      </w:r>
      <w:r w:rsidRPr="00B32C09">
        <w:rPr>
          <w:rFonts w:asciiTheme="majorHAnsi" w:hAnsiTheme="majorHAnsi" w:cstheme="majorHAnsi"/>
          <w:sz w:val="24"/>
          <w:szCs w:val="24"/>
        </w:rPr>
        <w:t xml:space="preserve"> </w:t>
      </w:r>
      <w:r w:rsidRPr="00B32C09">
        <w:rPr>
          <w:rFonts w:asciiTheme="majorHAnsi" w:hAnsiTheme="majorHAnsi" w:cstheme="majorHAnsi"/>
          <w:i/>
          <w:sz w:val="24"/>
          <w:szCs w:val="24"/>
        </w:rPr>
        <w:t>pentru anul 2018.</w:t>
      </w:r>
      <w:r w:rsidRPr="00B32C09">
        <w:rPr>
          <w:rFonts w:asciiTheme="majorHAnsi" w:hAnsiTheme="majorHAnsi" w:cstheme="majorHAnsi"/>
          <w:sz w:val="24"/>
          <w:szCs w:val="24"/>
        </w:rPr>
        <w:t xml:space="preserve"> Astfel, MF a remis </w:t>
      </w:r>
      <w:r w:rsidR="00D92C9D" w:rsidRPr="00B32C09">
        <w:rPr>
          <w:rFonts w:asciiTheme="majorHAnsi" w:hAnsiTheme="majorHAnsi" w:cstheme="majorHAnsi"/>
          <w:sz w:val="24"/>
          <w:szCs w:val="24"/>
        </w:rPr>
        <w:t xml:space="preserve">Guvernului </w:t>
      </w:r>
      <w:r w:rsidRPr="00B32C09">
        <w:rPr>
          <w:rFonts w:asciiTheme="majorHAnsi" w:hAnsiTheme="majorHAnsi" w:cstheme="majorHAnsi"/>
          <w:sz w:val="24"/>
          <w:szCs w:val="24"/>
        </w:rPr>
        <w:t>pentru examinare și aprobare proiectul Legii bugetului de stat pentru anul 2018 la data de 21.11.2017, respectiv, acesta fiind aprobat</w:t>
      </w:r>
      <w:r w:rsidRPr="00B32C09">
        <w:rPr>
          <w:rStyle w:val="FootnoteReference"/>
          <w:rFonts w:asciiTheme="majorHAnsi" w:hAnsiTheme="majorHAnsi" w:cstheme="majorHAnsi"/>
          <w:sz w:val="24"/>
          <w:szCs w:val="24"/>
        </w:rPr>
        <w:footnoteReference w:id="44"/>
      </w:r>
      <w:r w:rsidRPr="00B32C09">
        <w:rPr>
          <w:rFonts w:asciiTheme="majorHAnsi" w:hAnsiTheme="majorHAnsi" w:cstheme="majorHAnsi"/>
          <w:sz w:val="24"/>
          <w:szCs w:val="24"/>
        </w:rPr>
        <w:t xml:space="preserve"> cu o întârziere de 36 de zile. Drept urmare, Parlamentul a adoptat Legea la data de 15.12.2017</w:t>
      </w:r>
      <w:r w:rsidRPr="00B32C09">
        <w:rPr>
          <w:rStyle w:val="FootnoteReference"/>
          <w:rFonts w:asciiTheme="majorHAnsi" w:hAnsiTheme="majorHAnsi" w:cstheme="majorHAnsi"/>
          <w:sz w:val="24"/>
          <w:szCs w:val="24"/>
        </w:rPr>
        <w:footnoteReference w:id="45"/>
      </w:r>
      <w:r w:rsidRPr="00B32C09">
        <w:rPr>
          <w:rFonts w:asciiTheme="majorHAnsi" w:hAnsiTheme="majorHAnsi" w:cstheme="majorHAnsi"/>
          <w:sz w:val="24"/>
          <w:szCs w:val="24"/>
        </w:rPr>
        <w:t>, însă cadrul legal</w:t>
      </w:r>
      <w:r w:rsidRPr="00B32C09">
        <w:rPr>
          <w:rStyle w:val="FootnoteReference"/>
          <w:rFonts w:asciiTheme="majorHAnsi" w:hAnsiTheme="majorHAnsi" w:cstheme="majorHAnsi"/>
          <w:sz w:val="24"/>
          <w:szCs w:val="24"/>
        </w:rPr>
        <w:footnoteReference w:id="46"/>
      </w:r>
      <w:r w:rsidRPr="00B32C09">
        <w:rPr>
          <w:rFonts w:asciiTheme="majorHAnsi" w:hAnsiTheme="majorHAnsi" w:cstheme="majorHAnsi"/>
          <w:sz w:val="24"/>
          <w:szCs w:val="24"/>
        </w:rPr>
        <w:t xml:space="preserve"> prevede că termenul-limită este de până la 1 decembrie; </w:t>
      </w:r>
    </w:p>
    <w:p w:rsidR="003E6761" w:rsidRPr="000677ED" w:rsidRDefault="003E6761" w:rsidP="003E6761">
      <w:pPr>
        <w:pStyle w:val="ListParagraph"/>
        <w:numPr>
          <w:ilvl w:val="0"/>
          <w:numId w:val="9"/>
        </w:numPr>
        <w:shd w:val="clear" w:color="auto" w:fill="FFFFFF" w:themeFill="background1"/>
        <w:tabs>
          <w:tab w:val="left" w:pos="284"/>
          <w:tab w:val="left" w:pos="993"/>
        </w:tabs>
        <w:spacing w:after="0" w:line="276" w:lineRule="auto"/>
        <w:ind w:left="0" w:firstLine="709"/>
        <w:jc w:val="both"/>
        <w:rPr>
          <w:rFonts w:asciiTheme="majorHAnsi" w:hAnsiTheme="majorHAnsi" w:cstheme="majorHAnsi"/>
          <w:b/>
          <w:sz w:val="24"/>
          <w:szCs w:val="24"/>
        </w:rPr>
      </w:pPr>
      <w:r w:rsidRPr="000677ED">
        <w:rPr>
          <w:rFonts w:asciiTheme="majorHAnsi" w:hAnsiTheme="majorHAnsi" w:cstheme="majorHAnsi"/>
          <w:i/>
          <w:sz w:val="24"/>
          <w:szCs w:val="24"/>
        </w:rPr>
        <w:t>nerespectarea termenelor de prezentare a rapoartelor financiare de către autoritățile/instituțiile bugetare.</w:t>
      </w:r>
      <w:r w:rsidRPr="000677ED">
        <w:rPr>
          <w:rFonts w:asciiTheme="majorHAnsi" w:hAnsiTheme="majorHAnsi" w:cstheme="majorHAnsi"/>
          <w:sz w:val="24"/>
          <w:szCs w:val="24"/>
        </w:rPr>
        <w:t xml:space="preserve"> Astfel, din 50 </w:t>
      </w:r>
      <w:r w:rsidR="00D92C9D">
        <w:rPr>
          <w:rFonts w:asciiTheme="majorHAnsi" w:hAnsiTheme="majorHAnsi" w:cstheme="majorHAnsi"/>
          <w:sz w:val="24"/>
          <w:szCs w:val="24"/>
        </w:rPr>
        <w:t xml:space="preserve">de </w:t>
      </w:r>
      <w:r w:rsidRPr="000677ED">
        <w:rPr>
          <w:rFonts w:asciiTheme="majorHAnsi" w:hAnsiTheme="majorHAnsi" w:cstheme="majorHAnsi"/>
          <w:sz w:val="24"/>
          <w:szCs w:val="24"/>
        </w:rPr>
        <w:t>APC, 37 de autorități (74,0%) au prezentat rapoartele financiare în termenul prevăzut</w:t>
      </w:r>
      <w:r w:rsidRPr="000677ED">
        <w:rPr>
          <w:rStyle w:val="FootnoteReference"/>
          <w:rFonts w:asciiTheme="majorHAnsi" w:hAnsiTheme="majorHAnsi" w:cstheme="majorHAnsi"/>
          <w:sz w:val="24"/>
          <w:szCs w:val="24"/>
        </w:rPr>
        <w:footnoteReference w:id="47"/>
      </w:r>
      <w:r w:rsidRPr="000677ED">
        <w:rPr>
          <w:rFonts w:asciiTheme="majorHAnsi" w:hAnsiTheme="majorHAnsi" w:cstheme="majorHAnsi"/>
          <w:sz w:val="24"/>
          <w:szCs w:val="24"/>
        </w:rPr>
        <w:t xml:space="preserve">, </w:t>
      </w:r>
      <w:r w:rsidRPr="000677ED">
        <w:rPr>
          <w:rFonts w:asciiTheme="majorHAnsi" w:hAnsiTheme="majorHAnsi" w:cstheme="majorHAnsi"/>
          <w:i/>
          <w:sz w:val="24"/>
          <w:szCs w:val="24"/>
        </w:rPr>
        <w:t>situația fiind prezentată în Tabelul nr.</w:t>
      </w:r>
      <w:r w:rsidR="00523058">
        <w:rPr>
          <w:rFonts w:asciiTheme="majorHAnsi" w:hAnsiTheme="majorHAnsi" w:cstheme="majorHAnsi"/>
          <w:i/>
          <w:sz w:val="24"/>
          <w:szCs w:val="24"/>
        </w:rPr>
        <w:t>11</w:t>
      </w:r>
      <w:r w:rsidRPr="000677ED">
        <w:rPr>
          <w:rFonts w:asciiTheme="majorHAnsi" w:hAnsiTheme="majorHAnsi" w:cstheme="majorHAnsi"/>
          <w:i/>
          <w:sz w:val="24"/>
          <w:szCs w:val="24"/>
        </w:rPr>
        <w:t xml:space="preserve">. </w:t>
      </w:r>
    </w:p>
    <w:p w:rsidR="003E6761" w:rsidRPr="000677ED" w:rsidRDefault="003E6761" w:rsidP="003E6761">
      <w:pPr>
        <w:shd w:val="clear" w:color="auto" w:fill="FFFFFF" w:themeFill="background1"/>
        <w:tabs>
          <w:tab w:val="left" w:pos="284"/>
        </w:tabs>
        <w:spacing w:after="120" w:line="276" w:lineRule="auto"/>
        <w:ind w:firstLine="709"/>
        <w:contextualSpacing/>
        <w:jc w:val="right"/>
        <w:rPr>
          <w:rFonts w:asciiTheme="majorHAnsi" w:hAnsiTheme="majorHAnsi" w:cstheme="majorHAnsi"/>
          <w:i/>
          <w:sz w:val="24"/>
          <w:szCs w:val="24"/>
        </w:rPr>
      </w:pPr>
      <w:r w:rsidRPr="000677ED">
        <w:rPr>
          <w:rFonts w:asciiTheme="majorHAnsi" w:hAnsiTheme="majorHAnsi" w:cstheme="majorHAnsi"/>
          <w:i/>
          <w:sz w:val="24"/>
          <w:szCs w:val="24"/>
        </w:rPr>
        <w:t>Tabelul nr.</w:t>
      </w:r>
      <w:r w:rsidR="00523058">
        <w:rPr>
          <w:rFonts w:asciiTheme="majorHAnsi" w:hAnsiTheme="majorHAnsi" w:cstheme="majorHAnsi"/>
          <w:i/>
          <w:sz w:val="24"/>
          <w:szCs w:val="24"/>
        </w:rPr>
        <w:t>11</w:t>
      </w:r>
    </w:p>
    <w:p w:rsidR="003E6761" w:rsidRPr="000677ED" w:rsidRDefault="003E6761" w:rsidP="003E6761">
      <w:pPr>
        <w:shd w:val="clear" w:color="auto" w:fill="FFFFFF" w:themeFill="background1"/>
        <w:tabs>
          <w:tab w:val="left" w:pos="284"/>
        </w:tabs>
        <w:spacing w:after="120" w:line="276" w:lineRule="auto"/>
        <w:jc w:val="center"/>
        <w:rPr>
          <w:rFonts w:asciiTheme="majorHAnsi" w:hAnsiTheme="majorHAnsi" w:cstheme="majorHAnsi"/>
          <w:b/>
          <w:sz w:val="28"/>
          <w:szCs w:val="28"/>
        </w:rPr>
      </w:pPr>
      <w:r w:rsidRPr="000677ED">
        <w:rPr>
          <w:rFonts w:asciiTheme="majorHAnsi" w:hAnsiTheme="majorHAnsi" w:cstheme="majorHAnsi"/>
          <w:b/>
          <w:sz w:val="24"/>
          <w:szCs w:val="28"/>
        </w:rPr>
        <w:t>Informația privind respectarea termenelor de prezentare a rapoartelor financiare de către APC</w:t>
      </w:r>
    </w:p>
    <w:tbl>
      <w:tblPr>
        <w:tblStyle w:val="GridTable1Light2"/>
        <w:tblW w:w="9717" w:type="dxa"/>
        <w:tblLook w:val="04A0" w:firstRow="1" w:lastRow="0" w:firstColumn="1" w:lastColumn="0" w:noHBand="0" w:noVBand="1"/>
      </w:tblPr>
      <w:tblGrid>
        <w:gridCol w:w="1288"/>
        <w:gridCol w:w="1147"/>
        <w:gridCol w:w="1979"/>
        <w:gridCol w:w="1701"/>
        <w:gridCol w:w="1744"/>
        <w:gridCol w:w="1858"/>
      </w:tblGrid>
      <w:tr w:rsidR="003E6761" w:rsidRPr="00BE3435" w:rsidTr="00397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rsidR="003E6761" w:rsidRPr="00BE3435" w:rsidRDefault="003E6761" w:rsidP="00397B4C">
            <w:pPr>
              <w:tabs>
                <w:tab w:val="left" w:pos="284"/>
              </w:tabs>
              <w:spacing w:after="120" w:line="276" w:lineRule="auto"/>
              <w:contextualSpacing/>
              <w:jc w:val="center"/>
              <w:rPr>
                <w:rFonts w:asciiTheme="majorHAnsi" w:hAnsiTheme="majorHAnsi" w:cstheme="majorHAnsi"/>
                <w:sz w:val="24"/>
                <w:szCs w:val="24"/>
              </w:rPr>
            </w:pPr>
            <w:r>
              <w:rPr>
                <w:rFonts w:asciiTheme="majorHAnsi" w:hAnsiTheme="majorHAnsi" w:cstheme="majorHAnsi"/>
                <w:sz w:val="24"/>
                <w:szCs w:val="24"/>
              </w:rPr>
              <w:t>Denumirea</w:t>
            </w:r>
          </w:p>
        </w:tc>
        <w:tc>
          <w:tcPr>
            <w:tcW w:w="1267" w:type="dxa"/>
          </w:tcPr>
          <w:p w:rsidR="003E6761" w:rsidRPr="00BE3435" w:rsidRDefault="003E6761" w:rsidP="00397B4C">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E3435">
              <w:rPr>
                <w:rFonts w:asciiTheme="majorHAnsi" w:hAnsiTheme="majorHAnsi" w:cstheme="majorHAnsi"/>
                <w:sz w:val="24"/>
                <w:szCs w:val="24"/>
              </w:rPr>
              <w:t>Total APC</w:t>
            </w:r>
          </w:p>
        </w:tc>
        <w:tc>
          <w:tcPr>
            <w:tcW w:w="2126" w:type="dxa"/>
          </w:tcPr>
          <w:p w:rsidR="003E6761" w:rsidRPr="00BE3435" w:rsidRDefault="003E6761" w:rsidP="00397B4C">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E3435">
              <w:rPr>
                <w:rFonts w:asciiTheme="majorHAnsi" w:hAnsiTheme="majorHAnsi" w:cstheme="majorHAnsi"/>
                <w:sz w:val="24"/>
                <w:szCs w:val="24"/>
              </w:rPr>
              <w:t>Respectarea termenului inițial aprobat</w:t>
            </w:r>
          </w:p>
        </w:tc>
        <w:tc>
          <w:tcPr>
            <w:tcW w:w="1843" w:type="dxa"/>
          </w:tcPr>
          <w:p w:rsidR="003E6761" w:rsidRPr="00BE3435" w:rsidRDefault="003E6761" w:rsidP="00397B4C">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E3435">
              <w:rPr>
                <w:rFonts w:asciiTheme="majorHAnsi" w:hAnsiTheme="majorHAnsi" w:cstheme="majorHAnsi"/>
                <w:sz w:val="24"/>
                <w:szCs w:val="24"/>
              </w:rPr>
              <w:t xml:space="preserve">Termenul prelungit, </w:t>
            </w:r>
            <w:r w:rsidRPr="00BE3435">
              <w:rPr>
                <w:rFonts w:asciiTheme="majorHAnsi" w:hAnsiTheme="majorHAnsi" w:cstheme="majorHAnsi"/>
                <w:b w:val="0"/>
                <w:i/>
                <w:sz w:val="24"/>
                <w:szCs w:val="24"/>
              </w:rPr>
              <w:t>dintre care:</w:t>
            </w:r>
          </w:p>
        </w:tc>
        <w:tc>
          <w:tcPr>
            <w:tcW w:w="1839" w:type="dxa"/>
          </w:tcPr>
          <w:p w:rsidR="003E6761" w:rsidRPr="00BE3435" w:rsidRDefault="003E6761" w:rsidP="00397B4C">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E3435">
              <w:rPr>
                <w:rFonts w:asciiTheme="majorHAnsi" w:hAnsiTheme="majorHAnsi" w:cstheme="majorHAnsi"/>
                <w:sz w:val="24"/>
                <w:szCs w:val="24"/>
              </w:rPr>
              <w:t>Respectarea termenului prelungit</w:t>
            </w:r>
          </w:p>
        </w:tc>
        <w:tc>
          <w:tcPr>
            <w:tcW w:w="1929" w:type="dxa"/>
          </w:tcPr>
          <w:p w:rsidR="003E6761" w:rsidRPr="00BE3435" w:rsidRDefault="003E6761" w:rsidP="00397B4C">
            <w:pPr>
              <w:tabs>
                <w:tab w:val="left" w:pos="284"/>
              </w:tabs>
              <w:spacing w:after="120" w:line="276" w:lineRule="auto"/>
              <w:ind w:left="-106" w:right="-113"/>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E3435">
              <w:rPr>
                <w:rFonts w:asciiTheme="majorHAnsi" w:hAnsiTheme="majorHAnsi" w:cstheme="majorHAnsi"/>
                <w:sz w:val="24"/>
                <w:szCs w:val="24"/>
              </w:rPr>
              <w:t>Nerespectarea termenului prelungit</w:t>
            </w:r>
          </w:p>
        </w:tc>
      </w:tr>
      <w:tr w:rsidR="003E6761" w:rsidRPr="00BE3435" w:rsidTr="00397B4C">
        <w:tc>
          <w:tcPr>
            <w:cnfStyle w:val="001000000000" w:firstRow="0" w:lastRow="0" w:firstColumn="1" w:lastColumn="0" w:oddVBand="0" w:evenVBand="0" w:oddHBand="0" w:evenHBand="0" w:firstRowFirstColumn="0" w:firstRowLastColumn="0" w:lastRowFirstColumn="0" w:lastRowLastColumn="0"/>
            <w:tcW w:w="713" w:type="dxa"/>
          </w:tcPr>
          <w:p w:rsidR="003E6761" w:rsidRPr="00BE3435" w:rsidRDefault="003E6761" w:rsidP="00397B4C">
            <w:pPr>
              <w:tabs>
                <w:tab w:val="left" w:pos="284"/>
              </w:tabs>
              <w:spacing w:after="120" w:line="276" w:lineRule="auto"/>
              <w:contextualSpacing/>
              <w:jc w:val="center"/>
              <w:rPr>
                <w:rFonts w:asciiTheme="majorHAnsi" w:hAnsiTheme="majorHAnsi" w:cstheme="majorHAnsi"/>
                <w:sz w:val="24"/>
                <w:szCs w:val="24"/>
              </w:rPr>
            </w:pPr>
            <w:r w:rsidRPr="00BE3435">
              <w:rPr>
                <w:rFonts w:asciiTheme="majorHAnsi" w:hAnsiTheme="majorHAnsi" w:cstheme="majorHAnsi"/>
                <w:sz w:val="24"/>
                <w:szCs w:val="24"/>
              </w:rPr>
              <w:t>APC</w:t>
            </w:r>
          </w:p>
        </w:tc>
        <w:tc>
          <w:tcPr>
            <w:tcW w:w="1267" w:type="dxa"/>
          </w:tcPr>
          <w:p w:rsidR="003E6761" w:rsidRPr="00BE3435" w:rsidRDefault="003E6761" w:rsidP="00397B4C">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BE3435">
              <w:rPr>
                <w:rFonts w:asciiTheme="majorHAnsi" w:hAnsiTheme="majorHAnsi" w:cstheme="majorHAnsi"/>
                <w:b/>
                <w:i/>
                <w:sz w:val="24"/>
                <w:szCs w:val="24"/>
              </w:rPr>
              <w:t>50</w:t>
            </w:r>
          </w:p>
        </w:tc>
        <w:tc>
          <w:tcPr>
            <w:tcW w:w="2126" w:type="dxa"/>
          </w:tcPr>
          <w:p w:rsidR="003E6761" w:rsidRPr="00BE3435" w:rsidRDefault="003E6761" w:rsidP="00397B4C">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BE3435">
              <w:rPr>
                <w:rFonts w:asciiTheme="majorHAnsi" w:hAnsiTheme="majorHAnsi" w:cstheme="majorHAnsi"/>
                <w:b/>
                <w:i/>
                <w:sz w:val="24"/>
                <w:szCs w:val="24"/>
              </w:rPr>
              <w:t>37</w:t>
            </w:r>
          </w:p>
        </w:tc>
        <w:tc>
          <w:tcPr>
            <w:tcW w:w="1843" w:type="dxa"/>
          </w:tcPr>
          <w:p w:rsidR="003E6761" w:rsidRPr="00BE3435" w:rsidRDefault="003E6761" w:rsidP="00397B4C">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BE3435">
              <w:rPr>
                <w:rFonts w:asciiTheme="majorHAnsi" w:hAnsiTheme="majorHAnsi" w:cstheme="majorHAnsi"/>
                <w:b/>
                <w:i/>
                <w:sz w:val="24"/>
                <w:szCs w:val="24"/>
              </w:rPr>
              <w:t>13</w:t>
            </w:r>
          </w:p>
        </w:tc>
        <w:tc>
          <w:tcPr>
            <w:tcW w:w="1839" w:type="dxa"/>
          </w:tcPr>
          <w:p w:rsidR="003E6761" w:rsidRPr="00BE3435" w:rsidRDefault="003E6761" w:rsidP="00397B4C">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BE3435">
              <w:rPr>
                <w:rFonts w:asciiTheme="majorHAnsi" w:hAnsiTheme="majorHAnsi" w:cstheme="majorHAnsi"/>
                <w:b/>
                <w:i/>
                <w:sz w:val="24"/>
                <w:szCs w:val="24"/>
              </w:rPr>
              <w:t>12</w:t>
            </w:r>
          </w:p>
        </w:tc>
        <w:tc>
          <w:tcPr>
            <w:tcW w:w="1929" w:type="dxa"/>
          </w:tcPr>
          <w:p w:rsidR="003E6761" w:rsidRPr="00BE3435" w:rsidRDefault="003E6761" w:rsidP="00397B4C">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rPr>
            </w:pPr>
            <w:r w:rsidRPr="00BE3435">
              <w:rPr>
                <w:rFonts w:asciiTheme="majorHAnsi" w:hAnsiTheme="majorHAnsi" w:cstheme="majorHAnsi"/>
                <w:b/>
                <w:i/>
                <w:sz w:val="24"/>
                <w:szCs w:val="24"/>
              </w:rPr>
              <w:t>1</w:t>
            </w:r>
          </w:p>
        </w:tc>
      </w:tr>
    </w:tbl>
    <w:p w:rsidR="003E6761" w:rsidRPr="001962E7" w:rsidRDefault="003E6761" w:rsidP="00321962">
      <w:pPr>
        <w:shd w:val="clear" w:color="auto" w:fill="FFFFFF" w:themeFill="background1"/>
        <w:tabs>
          <w:tab w:val="left" w:pos="284"/>
        </w:tabs>
        <w:spacing w:after="0" w:line="276" w:lineRule="auto"/>
        <w:jc w:val="both"/>
        <w:rPr>
          <w:rFonts w:asciiTheme="majorHAnsi" w:hAnsiTheme="majorHAnsi" w:cstheme="majorHAnsi"/>
          <w:i/>
          <w:sz w:val="20"/>
          <w:szCs w:val="28"/>
        </w:rPr>
      </w:pPr>
      <w:r w:rsidRPr="005A172E">
        <w:rPr>
          <w:rFonts w:asciiTheme="majorHAnsi" w:hAnsiTheme="majorHAnsi" w:cstheme="majorHAnsi"/>
          <w:b/>
          <w:i/>
          <w:sz w:val="20"/>
          <w:szCs w:val="28"/>
        </w:rPr>
        <w:t>Sursă:</w:t>
      </w:r>
      <w:r w:rsidRPr="005A172E">
        <w:rPr>
          <w:rFonts w:asciiTheme="majorHAnsi" w:hAnsiTheme="majorHAnsi" w:cstheme="majorHAnsi"/>
          <w:i/>
          <w:sz w:val="20"/>
          <w:szCs w:val="28"/>
        </w:rPr>
        <w:t xml:space="preserve"> Informație generalizată de echipa de audit conform datelor preze</w:t>
      </w:r>
      <w:r>
        <w:rPr>
          <w:rFonts w:asciiTheme="majorHAnsi" w:hAnsiTheme="majorHAnsi" w:cstheme="majorHAnsi"/>
          <w:i/>
          <w:sz w:val="20"/>
          <w:szCs w:val="28"/>
        </w:rPr>
        <w:t>ntate de Ministerul Finanțelor.</w:t>
      </w:r>
    </w:p>
    <w:p w:rsidR="00321962" w:rsidRDefault="00321962" w:rsidP="00321962">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rPr>
      </w:pPr>
    </w:p>
    <w:p w:rsidR="003E6761" w:rsidRPr="00E551A5" w:rsidRDefault="003E6761" w:rsidP="00321962">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Datele</w:t>
      </w:r>
      <w:r w:rsidRPr="00E551A5">
        <w:rPr>
          <w:rFonts w:asciiTheme="majorHAnsi" w:hAnsiTheme="majorHAnsi" w:cstheme="majorHAnsi"/>
          <w:sz w:val="24"/>
          <w:szCs w:val="24"/>
        </w:rPr>
        <w:t xml:space="preserve"> din tabel atestă că MF a prelungit</w:t>
      </w:r>
      <w:r w:rsidR="00CF238F">
        <w:rPr>
          <w:rFonts w:asciiTheme="majorHAnsi" w:hAnsiTheme="majorHAnsi" w:cstheme="majorHAnsi"/>
          <w:sz w:val="24"/>
          <w:szCs w:val="24"/>
        </w:rPr>
        <w:t>, cu titlu de excepție,</w:t>
      </w:r>
      <w:r w:rsidRPr="00E551A5">
        <w:rPr>
          <w:rFonts w:asciiTheme="majorHAnsi" w:hAnsiTheme="majorHAnsi" w:cstheme="majorHAnsi"/>
          <w:sz w:val="24"/>
          <w:szCs w:val="24"/>
        </w:rPr>
        <w:t xml:space="preserve"> termenul de prezentare a rapoartelor financiare la 13 APC</w:t>
      </w:r>
      <w:r w:rsidR="00CF238F">
        <w:rPr>
          <w:rFonts w:asciiTheme="majorHAnsi" w:hAnsiTheme="majorHAnsi" w:cstheme="majorHAnsi"/>
          <w:sz w:val="24"/>
          <w:szCs w:val="24"/>
        </w:rPr>
        <w:t xml:space="preserve"> </w:t>
      </w:r>
      <w:r w:rsidR="00E75AF3">
        <w:rPr>
          <w:rFonts w:asciiTheme="majorHAnsi" w:hAnsiTheme="majorHAnsi" w:cstheme="majorHAnsi"/>
          <w:sz w:val="24"/>
          <w:szCs w:val="24"/>
        </w:rPr>
        <w:t xml:space="preserve">din care </w:t>
      </w:r>
      <w:r w:rsidR="001E5F9E">
        <w:rPr>
          <w:rFonts w:asciiTheme="majorHAnsi" w:hAnsiTheme="majorHAnsi" w:cstheme="majorHAnsi"/>
          <w:sz w:val="24"/>
          <w:szCs w:val="24"/>
        </w:rPr>
        <w:t>pentru</w:t>
      </w:r>
      <w:r w:rsidR="00E75AF3">
        <w:rPr>
          <w:rFonts w:asciiTheme="majorHAnsi" w:hAnsiTheme="majorHAnsi" w:cstheme="majorHAnsi"/>
          <w:sz w:val="24"/>
          <w:szCs w:val="24"/>
        </w:rPr>
        <w:t xml:space="preserve"> o</w:t>
      </w:r>
      <w:r w:rsidR="00874FF7">
        <w:rPr>
          <w:rFonts w:asciiTheme="majorHAnsi" w:hAnsiTheme="majorHAnsi" w:cstheme="majorHAnsi"/>
          <w:sz w:val="24"/>
          <w:szCs w:val="24"/>
        </w:rPr>
        <w:t xml:space="preserve"> APC </w:t>
      </w:r>
      <w:r w:rsidR="00D92C9D">
        <w:rPr>
          <w:rFonts w:asciiTheme="majorHAnsi" w:hAnsiTheme="majorHAnsi" w:cstheme="majorHAnsi"/>
          <w:sz w:val="24"/>
          <w:szCs w:val="24"/>
        </w:rPr>
        <w:t xml:space="preserve">– </w:t>
      </w:r>
      <w:r w:rsidR="00874FF7">
        <w:rPr>
          <w:rFonts w:asciiTheme="majorHAnsi" w:hAnsiTheme="majorHAnsi" w:cstheme="majorHAnsi"/>
          <w:sz w:val="24"/>
          <w:szCs w:val="24"/>
        </w:rPr>
        <w:t>de două ori.</w:t>
      </w:r>
      <w:r w:rsidR="00793C62">
        <w:rPr>
          <w:rFonts w:asciiTheme="majorHAnsi" w:hAnsiTheme="majorHAnsi" w:cstheme="majorHAnsi"/>
          <w:sz w:val="24"/>
          <w:szCs w:val="24"/>
        </w:rPr>
        <w:t xml:space="preserve"> </w:t>
      </w:r>
      <w:r w:rsidR="00C605E5">
        <w:rPr>
          <w:rFonts w:asciiTheme="majorHAnsi" w:hAnsiTheme="majorHAnsi" w:cstheme="majorHAnsi"/>
          <w:sz w:val="24"/>
          <w:szCs w:val="24"/>
        </w:rPr>
        <w:t xml:space="preserve">Totodată, </w:t>
      </w:r>
      <w:r w:rsidRPr="00E551A5">
        <w:rPr>
          <w:rFonts w:asciiTheme="majorHAnsi" w:hAnsiTheme="majorHAnsi" w:cstheme="majorHAnsi"/>
          <w:sz w:val="24"/>
          <w:szCs w:val="24"/>
        </w:rPr>
        <w:t>Ministerul Ed</w:t>
      </w:r>
      <w:r w:rsidR="00C605E5">
        <w:rPr>
          <w:rFonts w:asciiTheme="majorHAnsi" w:hAnsiTheme="majorHAnsi" w:cstheme="majorHAnsi"/>
          <w:sz w:val="24"/>
          <w:szCs w:val="24"/>
        </w:rPr>
        <w:t>ucației, Culturii și Cercetării</w:t>
      </w:r>
      <w:r w:rsidRPr="00E551A5">
        <w:rPr>
          <w:rFonts w:asciiTheme="majorHAnsi" w:hAnsiTheme="majorHAnsi" w:cstheme="majorHAnsi"/>
          <w:sz w:val="24"/>
          <w:szCs w:val="24"/>
        </w:rPr>
        <w:t xml:space="preserve"> nu s-a încadrat nici în termenul prelungit, </w:t>
      </w:r>
      <w:r w:rsidR="001E5F9E">
        <w:rPr>
          <w:rFonts w:asciiTheme="majorHAnsi" w:hAnsiTheme="majorHAnsi" w:cstheme="majorHAnsi"/>
          <w:sz w:val="24"/>
          <w:szCs w:val="24"/>
        </w:rPr>
        <w:t xml:space="preserve">raportul </w:t>
      </w:r>
      <w:r w:rsidRPr="00E551A5">
        <w:rPr>
          <w:rFonts w:asciiTheme="majorHAnsi" w:hAnsiTheme="majorHAnsi" w:cstheme="majorHAnsi"/>
          <w:sz w:val="24"/>
          <w:szCs w:val="24"/>
        </w:rPr>
        <w:t>fiind prezentat cu 7 zile mai târziu</w:t>
      </w:r>
      <w:r>
        <w:rPr>
          <w:rFonts w:asciiTheme="majorHAnsi" w:hAnsiTheme="majorHAnsi" w:cstheme="majorHAnsi"/>
          <w:sz w:val="24"/>
          <w:szCs w:val="24"/>
        </w:rPr>
        <w:t>, motivând prin faptul că termenul este restrâns pentru a recepționa, verifica și corecta rapoartele a 175 de instituții din subordine.</w:t>
      </w:r>
    </w:p>
    <w:p w:rsidR="003E6761" w:rsidRDefault="003E6761" w:rsidP="003E6761">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rPr>
      </w:pPr>
      <w:r>
        <w:rPr>
          <w:rFonts w:asciiTheme="majorHAnsi" w:hAnsiTheme="majorHAnsi" w:cstheme="majorHAnsi"/>
          <w:sz w:val="24"/>
          <w:szCs w:val="24"/>
        </w:rPr>
        <w:t>U</w:t>
      </w:r>
      <w:r w:rsidRPr="000153B5">
        <w:rPr>
          <w:rFonts w:asciiTheme="majorHAnsi" w:hAnsiTheme="majorHAnsi" w:cstheme="majorHAnsi"/>
          <w:sz w:val="24"/>
          <w:szCs w:val="24"/>
        </w:rPr>
        <w:t xml:space="preserve">ltimele rapoarte au fost prezentate de către MECC la 18 martie, Procuratura Generală </w:t>
      </w:r>
      <w:r w:rsidR="00D92C9D">
        <w:rPr>
          <w:rFonts w:asciiTheme="majorHAnsi" w:hAnsiTheme="majorHAnsi" w:cstheme="majorHAnsi"/>
          <w:sz w:val="24"/>
          <w:szCs w:val="24"/>
        </w:rPr>
        <w:t xml:space="preserve">– </w:t>
      </w:r>
      <w:r w:rsidRPr="000153B5">
        <w:rPr>
          <w:rFonts w:asciiTheme="majorHAnsi" w:hAnsiTheme="majorHAnsi" w:cstheme="majorHAnsi"/>
          <w:sz w:val="24"/>
          <w:szCs w:val="24"/>
        </w:rPr>
        <w:t xml:space="preserve">la 13 martie, Ministerul Afacerilor Interne, Ministerul Agriculturii, Dezvoltării Regionale și Mediului și Biroul Național de Statistică </w:t>
      </w:r>
      <w:r w:rsidR="00D92C9D">
        <w:rPr>
          <w:rFonts w:asciiTheme="majorHAnsi" w:hAnsiTheme="majorHAnsi" w:cstheme="majorHAnsi"/>
          <w:sz w:val="24"/>
          <w:szCs w:val="24"/>
        </w:rPr>
        <w:t xml:space="preserve">– </w:t>
      </w:r>
      <w:r w:rsidRPr="000153B5">
        <w:rPr>
          <w:rFonts w:asciiTheme="majorHAnsi" w:hAnsiTheme="majorHAnsi" w:cstheme="majorHAnsi"/>
          <w:sz w:val="24"/>
          <w:szCs w:val="24"/>
        </w:rPr>
        <w:t xml:space="preserve">la 11 martie. </w:t>
      </w:r>
    </w:p>
    <w:p w:rsidR="003E6761" w:rsidRPr="00FC5ECB" w:rsidRDefault="00D92C9D" w:rsidP="003E6761">
      <w:pPr>
        <w:shd w:val="clear" w:color="auto" w:fill="FFFFFF" w:themeFill="background1"/>
        <w:tabs>
          <w:tab w:val="left" w:pos="284"/>
          <w:tab w:val="left" w:pos="993"/>
        </w:tabs>
        <w:spacing w:after="0" w:line="276" w:lineRule="auto"/>
        <w:ind w:firstLine="709"/>
        <w:jc w:val="both"/>
        <w:rPr>
          <w:rFonts w:asciiTheme="majorHAnsi" w:eastAsiaTheme="minorEastAsia" w:hAnsiTheme="majorHAnsi" w:cstheme="majorHAnsi"/>
          <w:sz w:val="24"/>
          <w:szCs w:val="24"/>
        </w:rPr>
      </w:pPr>
      <w:r>
        <w:rPr>
          <w:rFonts w:asciiTheme="majorHAnsi" w:hAnsiTheme="majorHAnsi" w:cstheme="majorHAnsi"/>
          <w:sz w:val="24"/>
          <w:szCs w:val="24"/>
        </w:rPr>
        <w:t>Î</w:t>
      </w:r>
      <w:r w:rsidR="003E6761" w:rsidRPr="000E7D5B">
        <w:rPr>
          <w:rFonts w:asciiTheme="majorHAnsi" w:hAnsiTheme="majorHAnsi" w:cstheme="majorHAnsi"/>
          <w:sz w:val="24"/>
          <w:szCs w:val="24"/>
        </w:rPr>
        <w:t xml:space="preserve">n solicitările de </w:t>
      </w:r>
      <w:r w:rsidR="003E6761">
        <w:rPr>
          <w:rFonts w:asciiTheme="majorHAnsi" w:hAnsiTheme="majorHAnsi" w:cstheme="majorHAnsi"/>
          <w:sz w:val="24"/>
          <w:szCs w:val="24"/>
        </w:rPr>
        <w:t>prelungire</w:t>
      </w:r>
      <w:r w:rsidR="003E6761" w:rsidRPr="000E7D5B">
        <w:rPr>
          <w:rFonts w:asciiTheme="majorHAnsi" w:hAnsiTheme="majorHAnsi" w:cstheme="majorHAnsi"/>
          <w:sz w:val="24"/>
          <w:szCs w:val="24"/>
        </w:rPr>
        <w:t xml:space="preserve"> </w:t>
      </w:r>
      <w:r w:rsidR="003E6761">
        <w:rPr>
          <w:rFonts w:asciiTheme="majorHAnsi" w:hAnsiTheme="majorHAnsi" w:cstheme="majorHAnsi"/>
          <w:sz w:val="24"/>
          <w:szCs w:val="24"/>
        </w:rPr>
        <w:t xml:space="preserve">a </w:t>
      </w:r>
      <w:r w:rsidR="003E6761" w:rsidRPr="000E7D5B">
        <w:rPr>
          <w:rFonts w:asciiTheme="majorHAnsi" w:hAnsiTheme="majorHAnsi" w:cstheme="majorHAnsi"/>
          <w:sz w:val="24"/>
          <w:szCs w:val="24"/>
        </w:rPr>
        <w:t>termenului de prezentare a rapoart</w:t>
      </w:r>
      <w:r w:rsidR="003E6761">
        <w:rPr>
          <w:rFonts w:asciiTheme="majorHAnsi" w:hAnsiTheme="majorHAnsi" w:cstheme="majorHAnsi"/>
          <w:sz w:val="24"/>
          <w:szCs w:val="24"/>
        </w:rPr>
        <w:t>elor financiare pentru anul 2018</w:t>
      </w:r>
      <w:r w:rsidR="003E6761" w:rsidRPr="000E7D5B">
        <w:rPr>
          <w:rFonts w:asciiTheme="majorHAnsi" w:hAnsiTheme="majorHAnsi" w:cstheme="majorHAnsi"/>
          <w:sz w:val="24"/>
          <w:szCs w:val="24"/>
        </w:rPr>
        <w:t xml:space="preserve">, </w:t>
      </w:r>
      <w:r w:rsidR="003E6761">
        <w:rPr>
          <w:rFonts w:asciiTheme="majorHAnsi" w:hAnsiTheme="majorHAnsi" w:cstheme="majorHAnsi"/>
          <w:sz w:val="24"/>
          <w:szCs w:val="24"/>
        </w:rPr>
        <w:t>înaintate MF</w:t>
      </w:r>
      <w:r>
        <w:rPr>
          <w:rFonts w:asciiTheme="majorHAnsi" w:hAnsiTheme="majorHAnsi" w:cstheme="majorHAnsi"/>
          <w:sz w:val="24"/>
          <w:szCs w:val="24"/>
        </w:rPr>
        <w:t>,</w:t>
      </w:r>
      <w:r w:rsidR="003E6761">
        <w:rPr>
          <w:rFonts w:asciiTheme="majorHAnsi" w:hAnsiTheme="majorHAnsi" w:cstheme="majorHAnsi"/>
          <w:sz w:val="24"/>
          <w:szCs w:val="24"/>
        </w:rPr>
        <w:t xml:space="preserve"> </w:t>
      </w:r>
      <w:r w:rsidRPr="000E7D5B">
        <w:rPr>
          <w:rFonts w:asciiTheme="majorHAnsi" w:hAnsiTheme="majorHAnsi" w:cstheme="majorHAnsi"/>
          <w:sz w:val="24"/>
          <w:szCs w:val="24"/>
        </w:rPr>
        <w:t xml:space="preserve">APC </w:t>
      </w:r>
      <w:r w:rsidR="003E6761" w:rsidRPr="000E7D5B">
        <w:rPr>
          <w:rFonts w:asciiTheme="majorHAnsi" w:hAnsiTheme="majorHAnsi" w:cstheme="majorHAnsi"/>
          <w:sz w:val="24"/>
          <w:szCs w:val="24"/>
        </w:rPr>
        <w:t xml:space="preserve">au </w:t>
      </w:r>
      <w:r w:rsidR="003E6761">
        <w:rPr>
          <w:rFonts w:asciiTheme="majorHAnsi" w:hAnsiTheme="majorHAnsi" w:cstheme="majorHAnsi"/>
          <w:sz w:val="24"/>
          <w:szCs w:val="24"/>
        </w:rPr>
        <w:t xml:space="preserve">indicat următoarele cauze: reorganizarea autorității publice, </w:t>
      </w:r>
      <w:r w:rsidR="003E6761">
        <w:rPr>
          <w:rFonts w:asciiTheme="majorHAnsi" w:hAnsiTheme="majorHAnsi" w:cstheme="majorHAnsi"/>
          <w:sz w:val="24"/>
          <w:szCs w:val="24"/>
        </w:rPr>
        <w:lastRenderedPageBreak/>
        <w:t>implementarea prevederilor noului sistem unitar de salarizare, procesul de organizare și desfășurare a scrutinului electoral etc.</w:t>
      </w:r>
    </w:p>
    <w:p w:rsidR="003E6761" w:rsidRDefault="003E6761" w:rsidP="003E6761">
      <w:pPr>
        <w:shd w:val="clear" w:color="auto" w:fill="FFFFFF" w:themeFill="background1"/>
        <w:tabs>
          <w:tab w:val="left" w:pos="284"/>
        </w:tabs>
        <w:spacing w:after="0" w:line="276" w:lineRule="auto"/>
        <w:ind w:firstLine="709"/>
        <w:contextualSpacing/>
        <w:jc w:val="both"/>
        <w:rPr>
          <w:rFonts w:asciiTheme="majorHAnsi" w:hAnsiTheme="majorHAnsi" w:cstheme="majorHAnsi"/>
          <w:sz w:val="24"/>
          <w:szCs w:val="24"/>
        </w:rPr>
      </w:pPr>
      <w:r w:rsidRPr="00A6725F">
        <w:rPr>
          <w:rFonts w:asciiTheme="majorHAnsi" w:hAnsiTheme="majorHAnsi" w:cstheme="majorHAnsi"/>
          <w:sz w:val="24"/>
          <w:szCs w:val="24"/>
        </w:rPr>
        <w:t>Totodată, conform Calendarului activităților pentru întocmirea Raportului anual privind executarea bugetului de stat</w:t>
      </w:r>
      <w:r w:rsidRPr="00A6725F">
        <w:rPr>
          <w:rStyle w:val="FootnoteReference"/>
          <w:rFonts w:asciiTheme="majorHAnsi" w:hAnsiTheme="majorHAnsi" w:cstheme="majorHAnsi"/>
          <w:sz w:val="24"/>
          <w:szCs w:val="24"/>
        </w:rPr>
        <w:footnoteReference w:id="48"/>
      </w:r>
      <w:r w:rsidRPr="00A6725F">
        <w:rPr>
          <w:rFonts w:asciiTheme="majorHAnsi" w:hAnsiTheme="majorHAnsi" w:cstheme="majorHAnsi"/>
          <w:sz w:val="24"/>
          <w:szCs w:val="24"/>
        </w:rPr>
        <w:t xml:space="preserve">, MF </w:t>
      </w:r>
      <w:r w:rsidR="0071440D">
        <w:rPr>
          <w:rFonts w:asciiTheme="majorHAnsi" w:hAnsiTheme="majorHAnsi" w:cstheme="majorHAnsi"/>
          <w:sz w:val="24"/>
          <w:szCs w:val="24"/>
        </w:rPr>
        <w:t>a prezentat</w:t>
      </w:r>
      <w:r w:rsidRPr="00A6725F">
        <w:rPr>
          <w:rFonts w:asciiTheme="majorHAnsi" w:hAnsiTheme="majorHAnsi" w:cstheme="majorHAnsi"/>
          <w:sz w:val="24"/>
          <w:szCs w:val="24"/>
        </w:rPr>
        <w:t xml:space="preserve"> Guvernului</w:t>
      </w:r>
      <w:r w:rsidR="00D92C9D">
        <w:rPr>
          <w:rFonts w:asciiTheme="majorHAnsi" w:hAnsiTheme="majorHAnsi" w:cstheme="majorHAnsi"/>
          <w:sz w:val="24"/>
          <w:szCs w:val="24"/>
        </w:rPr>
        <w:t>,</w:t>
      </w:r>
      <w:r w:rsidR="00D92C9D" w:rsidRPr="00D92C9D">
        <w:rPr>
          <w:rFonts w:asciiTheme="majorHAnsi" w:hAnsiTheme="majorHAnsi" w:cstheme="majorHAnsi"/>
          <w:sz w:val="24"/>
          <w:szCs w:val="24"/>
        </w:rPr>
        <w:t xml:space="preserve"> </w:t>
      </w:r>
      <w:r w:rsidRPr="00A6725F">
        <w:rPr>
          <w:rFonts w:asciiTheme="majorHAnsi" w:hAnsiTheme="majorHAnsi" w:cstheme="majorHAnsi"/>
          <w:sz w:val="24"/>
          <w:szCs w:val="24"/>
        </w:rPr>
        <w:t xml:space="preserve">Raportul anual privind executarea bugetului de </w:t>
      </w:r>
      <w:r>
        <w:rPr>
          <w:rFonts w:asciiTheme="majorHAnsi" w:hAnsiTheme="majorHAnsi" w:cstheme="majorHAnsi"/>
          <w:sz w:val="24"/>
          <w:szCs w:val="24"/>
        </w:rPr>
        <w:t>stat</w:t>
      </w:r>
      <w:r w:rsidRPr="00A6725F">
        <w:rPr>
          <w:rFonts w:asciiTheme="majorHAnsi" w:hAnsiTheme="majorHAnsi" w:cstheme="majorHAnsi"/>
          <w:sz w:val="24"/>
          <w:szCs w:val="24"/>
        </w:rPr>
        <w:t xml:space="preserve"> </w:t>
      </w:r>
      <w:r w:rsidR="0071440D">
        <w:rPr>
          <w:rFonts w:asciiTheme="majorHAnsi" w:hAnsiTheme="majorHAnsi" w:cstheme="majorHAnsi"/>
          <w:sz w:val="24"/>
          <w:szCs w:val="24"/>
        </w:rPr>
        <w:t>pe</w:t>
      </w:r>
      <w:r w:rsidRPr="00FA1DBC">
        <w:rPr>
          <w:rFonts w:asciiTheme="majorHAnsi" w:hAnsiTheme="majorHAnsi" w:cstheme="majorHAnsi"/>
          <w:sz w:val="24"/>
          <w:szCs w:val="24"/>
        </w:rPr>
        <w:t xml:space="preserve"> </w:t>
      </w:r>
      <w:r w:rsidR="0071440D">
        <w:rPr>
          <w:rFonts w:asciiTheme="majorHAnsi" w:hAnsiTheme="majorHAnsi" w:cstheme="majorHAnsi"/>
          <w:sz w:val="24"/>
          <w:szCs w:val="24"/>
        </w:rPr>
        <w:t xml:space="preserve">data </w:t>
      </w:r>
      <w:r w:rsidRPr="00FA1DBC">
        <w:rPr>
          <w:rFonts w:asciiTheme="majorHAnsi" w:hAnsiTheme="majorHAnsi" w:cstheme="majorHAnsi"/>
          <w:sz w:val="24"/>
          <w:szCs w:val="24"/>
        </w:rPr>
        <w:t xml:space="preserve">de </w:t>
      </w:r>
      <w:r w:rsidR="00FA1DBC">
        <w:rPr>
          <w:rFonts w:asciiTheme="majorHAnsi" w:hAnsiTheme="majorHAnsi" w:cstheme="majorHAnsi"/>
          <w:sz w:val="24"/>
          <w:szCs w:val="24"/>
        </w:rPr>
        <w:t>17.05.2019</w:t>
      </w:r>
      <w:r w:rsidR="00793C62">
        <w:rPr>
          <w:rFonts w:asciiTheme="majorHAnsi" w:hAnsiTheme="majorHAnsi" w:cstheme="majorHAnsi"/>
          <w:sz w:val="24"/>
          <w:szCs w:val="24"/>
        </w:rPr>
        <w:t xml:space="preserve"> </w:t>
      </w:r>
      <w:r w:rsidR="00D92C9D">
        <w:rPr>
          <w:rFonts w:asciiTheme="majorHAnsi" w:hAnsiTheme="majorHAnsi" w:cstheme="majorHAnsi"/>
          <w:sz w:val="24"/>
          <w:szCs w:val="24"/>
        </w:rPr>
        <w:t>(</w:t>
      </w:r>
      <w:r w:rsidRPr="00FA1DBC">
        <w:rPr>
          <w:rFonts w:asciiTheme="majorHAnsi" w:hAnsiTheme="majorHAnsi" w:cstheme="majorHAnsi"/>
          <w:sz w:val="24"/>
          <w:szCs w:val="24"/>
        </w:rPr>
        <w:t>prin Scriso</w:t>
      </w:r>
      <w:r w:rsidR="00FA1DBC">
        <w:rPr>
          <w:rFonts w:asciiTheme="majorHAnsi" w:hAnsiTheme="majorHAnsi" w:cstheme="majorHAnsi"/>
          <w:sz w:val="24"/>
          <w:szCs w:val="24"/>
        </w:rPr>
        <w:t>area Ministerului Finanțelor nr. 12/4-3-66/410</w:t>
      </w:r>
      <w:r w:rsidR="00D92C9D">
        <w:rPr>
          <w:rFonts w:asciiTheme="majorHAnsi" w:hAnsiTheme="majorHAnsi" w:cstheme="majorHAnsi"/>
          <w:sz w:val="24"/>
          <w:szCs w:val="24"/>
        </w:rPr>
        <w:t>)</w:t>
      </w:r>
      <w:r w:rsidR="00FA1DBC">
        <w:rPr>
          <w:rFonts w:asciiTheme="majorHAnsi" w:hAnsiTheme="majorHAnsi" w:cstheme="majorHAnsi"/>
          <w:sz w:val="24"/>
          <w:szCs w:val="24"/>
        </w:rPr>
        <w:t>.</w:t>
      </w:r>
    </w:p>
    <w:p w:rsidR="003E6761" w:rsidRDefault="003E6761" w:rsidP="000070C0">
      <w:pPr>
        <w:spacing w:before="240" w:after="0" w:line="276" w:lineRule="auto"/>
        <w:ind w:firstLine="709"/>
        <w:contextualSpacing/>
        <w:jc w:val="both"/>
        <w:rPr>
          <w:rFonts w:asciiTheme="majorHAnsi" w:hAnsiTheme="majorHAnsi" w:cstheme="majorHAnsi"/>
          <w:color w:val="FF0000"/>
          <w:sz w:val="24"/>
          <w:szCs w:val="24"/>
        </w:rPr>
      </w:pPr>
    </w:p>
    <w:p w:rsidR="001E5A2A" w:rsidRPr="000F19D1" w:rsidRDefault="00A251BC" w:rsidP="001E5A2A">
      <w:pPr>
        <w:pStyle w:val="ListParagraph"/>
        <w:tabs>
          <w:tab w:val="left" w:pos="993"/>
        </w:tabs>
        <w:spacing w:after="0" w:line="276" w:lineRule="auto"/>
        <w:ind w:left="0"/>
        <w:jc w:val="both"/>
        <w:outlineLvl w:val="2"/>
        <w:rPr>
          <w:rFonts w:asciiTheme="majorHAnsi" w:hAnsiTheme="majorHAnsi" w:cstheme="majorHAnsi"/>
          <w:b/>
          <w:sz w:val="24"/>
          <w:szCs w:val="24"/>
        </w:rPr>
      </w:pPr>
      <w:bookmarkStart w:id="22" w:name="_Toc10126093"/>
      <w:r>
        <w:rPr>
          <w:rFonts w:asciiTheme="majorHAnsi" w:hAnsiTheme="majorHAnsi" w:cstheme="majorHAnsi"/>
          <w:b/>
          <w:sz w:val="24"/>
          <w:szCs w:val="24"/>
        </w:rPr>
        <w:t>3.3</w:t>
      </w:r>
      <w:r w:rsidR="001E5A2A">
        <w:rPr>
          <w:rFonts w:asciiTheme="majorHAnsi" w:hAnsiTheme="majorHAnsi" w:cstheme="majorHAnsi"/>
          <w:b/>
          <w:sz w:val="24"/>
          <w:szCs w:val="24"/>
        </w:rPr>
        <w:t xml:space="preserve">.2 </w:t>
      </w:r>
      <w:r w:rsidR="001E5A2A" w:rsidRPr="000F19D1">
        <w:rPr>
          <w:rFonts w:asciiTheme="majorHAnsi" w:hAnsiTheme="majorHAnsi" w:cstheme="majorHAnsi"/>
          <w:b/>
          <w:sz w:val="24"/>
          <w:szCs w:val="24"/>
        </w:rPr>
        <w:t>Nivelul scăzut al acurateței programării bugetare.</w:t>
      </w:r>
      <w:bookmarkEnd w:id="22"/>
    </w:p>
    <w:p w:rsidR="001E5A2A" w:rsidRPr="00FD3B09" w:rsidRDefault="001E5A2A" w:rsidP="001E5A2A">
      <w:pPr>
        <w:pStyle w:val="ListParagraph"/>
        <w:tabs>
          <w:tab w:val="left" w:pos="993"/>
        </w:tabs>
        <w:spacing w:after="0" w:line="276" w:lineRule="auto"/>
        <w:ind w:left="0" w:firstLine="709"/>
        <w:jc w:val="both"/>
        <w:rPr>
          <w:rFonts w:asciiTheme="majorHAnsi" w:hAnsiTheme="majorHAnsi" w:cstheme="majorHAnsi"/>
          <w:sz w:val="24"/>
          <w:szCs w:val="24"/>
        </w:rPr>
      </w:pPr>
      <w:r w:rsidRPr="00262ADD">
        <w:rPr>
          <w:rFonts w:asciiTheme="majorHAnsi" w:eastAsia="Times New Roman" w:hAnsiTheme="majorHAnsi" w:cstheme="majorHAnsi"/>
          <w:sz w:val="24"/>
          <w:szCs w:val="24"/>
        </w:rPr>
        <w:t>Estimările de venituri se dovedesc a fi subestimate sau supraestimate, ceea ce subminează implementarea programelor multianuale de cheltuieli. Imprevizibilitatea atragerii surselor externe de asemenea afectează calitatea prognozelor bugetare. În structura veniturilor însă întâlnim abateri ale estimărilor inițiale semnificative în ambele sensuri, respectiv</w:t>
      </w:r>
      <w:r w:rsidR="00D92C9D">
        <w:rPr>
          <w:rFonts w:asciiTheme="majorHAnsi" w:eastAsia="Times New Roman" w:hAnsiTheme="majorHAnsi" w:cstheme="majorHAnsi"/>
          <w:sz w:val="24"/>
          <w:szCs w:val="24"/>
        </w:rPr>
        <w:t>,</w:t>
      </w:r>
      <w:r w:rsidRPr="00262ADD">
        <w:rPr>
          <w:rFonts w:asciiTheme="majorHAnsi" w:eastAsia="Times New Roman" w:hAnsiTheme="majorHAnsi" w:cstheme="majorHAnsi"/>
          <w:sz w:val="24"/>
          <w:szCs w:val="24"/>
        </w:rPr>
        <w:t xml:space="preserve"> supraestimări </w:t>
      </w:r>
      <w:r w:rsidR="00D92C9D">
        <w:rPr>
          <w:rFonts w:asciiTheme="majorHAnsi" w:eastAsia="Times New Roman" w:hAnsiTheme="majorHAnsi" w:cstheme="majorHAnsi"/>
          <w:sz w:val="24"/>
          <w:szCs w:val="24"/>
        </w:rPr>
        <w:t>și</w:t>
      </w:r>
      <w:r w:rsidRPr="00262ADD">
        <w:rPr>
          <w:rFonts w:asciiTheme="majorHAnsi" w:eastAsia="Times New Roman" w:hAnsiTheme="majorHAnsi" w:cstheme="majorHAnsi"/>
          <w:sz w:val="24"/>
          <w:szCs w:val="24"/>
        </w:rPr>
        <w:t xml:space="preserve"> subestimări. </w:t>
      </w:r>
    </w:p>
    <w:p w:rsidR="001E5A2A" w:rsidRPr="00E9422F" w:rsidRDefault="001E5A2A" w:rsidP="001E5A2A">
      <w:pPr>
        <w:spacing w:after="0" w:line="276" w:lineRule="auto"/>
        <w:ind w:firstLine="709"/>
        <w:jc w:val="both"/>
        <w:rPr>
          <w:rFonts w:asciiTheme="majorHAnsi" w:eastAsia="Times New Roman" w:hAnsiTheme="majorHAnsi" w:cstheme="majorHAnsi"/>
          <w:bCs/>
          <w:i/>
          <w:sz w:val="24"/>
          <w:szCs w:val="24"/>
          <w:lang w:val="ro-MD"/>
        </w:rPr>
      </w:pPr>
      <w:r w:rsidRPr="00262ADD">
        <w:rPr>
          <w:rFonts w:asciiTheme="majorHAnsi" w:eastAsia="Times New Roman" w:hAnsiTheme="majorHAnsi" w:cstheme="majorHAnsi"/>
          <w:sz w:val="24"/>
          <w:szCs w:val="24"/>
          <w:lang w:val="ro-MD"/>
        </w:rPr>
        <w:t>Verificările auditului relevă că, deși nivelul de executare a veniturilor bugetului de stat la finele anului</w:t>
      </w:r>
      <w:r>
        <w:rPr>
          <w:rFonts w:asciiTheme="majorHAnsi" w:eastAsia="Times New Roman" w:hAnsiTheme="majorHAnsi" w:cstheme="majorHAnsi"/>
          <w:sz w:val="24"/>
          <w:szCs w:val="24"/>
          <w:lang w:val="ro-MD"/>
        </w:rPr>
        <w:t xml:space="preserve"> bugetar a constituit 98,6</w:t>
      </w:r>
      <w:r w:rsidRPr="00262ADD">
        <w:rPr>
          <w:rFonts w:asciiTheme="majorHAnsi" w:eastAsia="Times New Roman" w:hAnsiTheme="majorHAnsi" w:cstheme="majorHAnsi"/>
          <w:sz w:val="24"/>
          <w:szCs w:val="24"/>
          <w:lang w:val="ro-MD"/>
        </w:rPr>
        <w:t xml:space="preserve">% din prevederile anuale, neîncasările nete la venituri au constituit </w:t>
      </w:r>
      <w:r>
        <w:rPr>
          <w:rFonts w:asciiTheme="majorHAnsi" w:eastAsia="Times New Roman" w:hAnsiTheme="majorHAnsi" w:cstheme="majorHAnsi"/>
          <w:sz w:val="24"/>
          <w:szCs w:val="24"/>
          <w:lang w:val="ro-MD"/>
        </w:rPr>
        <w:t>536,8</w:t>
      </w:r>
      <w:r w:rsidRPr="00262ADD">
        <w:rPr>
          <w:rFonts w:asciiTheme="majorHAnsi" w:eastAsia="Times New Roman" w:hAnsiTheme="majorHAnsi" w:cstheme="majorHAnsi"/>
          <w:sz w:val="24"/>
          <w:szCs w:val="24"/>
          <w:lang w:val="ro-MD"/>
        </w:rPr>
        <w:t xml:space="preserve">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D92C9D">
        <w:rPr>
          <w:rFonts w:asciiTheme="majorHAnsi" w:eastAsia="Times New Roman" w:hAnsiTheme="majorHAnsi" w:cstheme="majorHAnsi"/>
          <w:sz w:val="24"/>
          <w:szCs w:val="24"/>
          <w:lang w:val="ro-MD"/>
        </w:rPr>
        <w:t>,</w:t>
      </w:r>
      <w:r w:rsidRPr="00262ADD">
        <w:rPr>
          <w:rFonts w:asciiTheme="majorHAnsi" w:eastAsia="Times New Roman" w:hAnsiTheme="majorHAnsi" w:cstheme="majorHAnsi"/>
          <w:sz w:val="24"/>
          <w:szCs w:val="24"/>
          <w:lang w:val="ro-MD"/>
        </w:rPr>
        <w:t xml:space="preserve"> iar în aspectul tipurilor de venituri s-a executat neuniform. Astfel, analiza nivelului de executare a veniturilor bugetului de stat la nivel de capitol denotă că </w:t>
      </w:r>
      <w:r w:rsidR="00EF2B19">
        <w:rPr>
          <w:rFonts w:asciiTheme="majorHAnsi" w:eastAsia="Times New Roman" w:hAnsiTheme="majorHAnsi" w:cstheme="majorHAnsi"/>
          <w:sz w:val="24"/>
          <w:szCs w:val="24"/>
          <w:lang w:val="ro-MD"/>
        </w:rPr>
        <w:t>au fost supraestimate</w:t>
      </w:r>
      <w:r w:rsidRPr="00262ADD">
        <w:rPr>
          <w:rFonts w:asciiTheme="majorHAnsi" w:eastAsia="Times New Roman" w:hAnsiTheme="majorHAnsi" w:cstheme="majorHAnsi"/>
          <w:sz w:val="24"/>
          <w:szCs w:val="24"/>
          <w:lang w:val="ro-MD"/>
        </w:rPr>
        <w:t xml:space="preserve"> </w:t>
      </w:r>
      <w:r w:rsidR="00EF2B19">
        <w:rPr>
          <w:rFonts w:asciiTheme="majorHAnsi" w:eastAsia="Times New Roman" w:hAnsiTheme="majorHAnsi" w:cstheme="majorHAnsi"/>
          <w:sz w:val="24"/>
          <w:szCs w:val="24"/>
          <w:lang w:val="ro-MD"/>
        </w:rPr>
        <w:t xml:space="preserve">veniturile </w:t>
      </w:r>
      <w:r w:rsidR="00EF2B19" w:rsidRPr="00D73189">
        <w:rPr>
          <w:rFonts w:asciiTheme="majorHAnsi" w:eastAsia="Times New Roman" w:hAnsiTheme="majorHAnsi" w:cstheme="majorHAnsi"/>
          <w:sz w:val="24"/>
          <w:szCs w:val="24"/>
          <w:lang w:val="ro-MD"/>
        </w:rPr>
        <w:t xml:space="preserve">la 8 </w:t>
      </w:r>
      <w:r w:rsidR="000E0BF3" w:rsidRPr="00D73189">
        <w:rPr>
          <w:rFonts w:asciiTheme="majorHAnsi" w:eastAsia="Times New Roman" w:hAnsiTheme="majorHAnsi" w:cstheme="majorHAnsi"/>
          <w:sz w:val="24"/>
          <w:szCs w:val="24"/>
          <w:lang w:val="ro-MD"/>
        </w:rPr>
        <w:t>tipuri de venituri</w:t>
      </w:r>
      <w:r w:rsidR="006C17CE">
        <w:rPr>
          <w:rFonts w:asciiTheme="majorHAnsi" w:eastAsia="Times New Roman" w:hAnsiTheme="majorHAnsi" w:cstheme="majorHAnsi"/>
          <w:sz w:val="24"/>
          <w:szCs w:val="24"/>
          <w:lang w:val="ro-MD"/>
        </w:rPr>
        <w:t>,</w:t>
      </w:r>
      <w:r w:rsidRPr="00D73189">
        <w:rPr>
          <w:rFonts w:asciiTheme="majorHAnsi" w:eastAsia="Times New Roman" w:hAnsiTheme="majorHAnsi" w:cstheme="majorHAnsi"/>
          <w:sz w:val="24"/>
          <w:szCs w:val="24"/>
          <w:lang w:val="ro-MD"/>
        </w:rPr>
        <w:t xml:space="preserve"> </w:t>
      </w:r>
      <w:r w:rsidR="00EF2B19" w:rsidRPr="00D73189">
        <w:rPr>
          <w:rFonts w:asciiTheme="majorHAnsi" w:eastAsia="Times New Roman" w:hAnsiTheme="majorHAnsi" w:cstheme="majorHAnsi"/>
          <w:sz w:val="24"/>
          <w:szCs w:val="24"/>
          <w:lang w:val="ro-MD"/>
        </w:rPr>
        <w:t>care</w:t>
      </w:r>
      <w:r w:rsidRPr="00D73189">
        <w:rPr>
          <w:rFonts w:asciiTheme="majorHAnsi" w:eastAsia="Times New Roman" w:hAnsiTheme="majorHAnsi" w:cstheme="majorHAnsi"/>
          <w:sz w:val="24"/>
          <w:szCs w:val="24"/>
          <w:lang w:val="ro-MD"/>
        </w:rPr>
        <w:t xml:space="preserve"> au însumat 1 736,1 mil. </w:t>
      </w:r>
      <w:r w:rsidR="007160B9">
        <w:rPr>
          <w:rFonts w:asciiTheme="majorHAnsi" w:eastAsia="Times New Roman" w:hAnsiTheme="majorHAnsi" w:cstheme="majorHAnsi"/>
          <w:sz w:val="24"/>
          <w:szCs w:val="24"/>
          <w:lang w:val="ro-MD"/>
        </w:rPr>
        <w:t>MDL</w:t>
      </w:r>
      <w:r w:rsidRPr="00D73189">
        <w:rPr>
          <w:rFonts w:asciiTheme="majorHAnsi" w:eastAsia="Times New Roman" w:hAnsiTheme="majorHAnsi" w:cstheme="majorHAnsi"/>
          <w:sz w:val="24"/>
          <w:szCs w:val="24"/>
          <w:lang w:val="ro-MD"/>
        </w:rPr>
        <w:t xml:space="preserve">, </w:t>
      </w:r>
      <w:r w:rsidR="00EF2B19" w:rsidRPr="00D73189">
        <w:rPr>
          <w:rFonts w:asciiTheme="majorHAnsi" w:eastAsia="Times New Roman" w:hAnsiTheme="majorHAnsi" w:cstheme="majorHAnsi"/>
          <w:sz w:val="24"/>
          <w:szCs w:val="24"/>
          <w:lang w:val="ro-MD"/>
        </w:rPr>
        <w:t xml:space="preserve">și </w:t>
      </w:r>
      <w:r w:rsidR="006C17CE">
        <w:rPr>
          <w:rFonts w:asciiTheme="majorHAnsi" w:eastAsia="Times New Roman" w:hAnsiTheme="majorHAnsi" w:cstheme="majorHAnsi"/>
          <w:sz w:val="24"/>
          <w:szCs w:val="24"/>
          <w:lang w:val="ro-MD"/>
        </w:rPr>
        <w:t xml:space="preserve">au fost </w:t>
      </w:r>
      <w:r w:rsidR="00EF2B19" w:rsidRPr="00D73189">
        <w:rPr>
          <w:rFonts w:asciiTheme="majorHAnsi" w:eastAsia="Times New Roman" w:hAnsiTheme="majorHAnsi" w:cstheme="majorHAnsi"/>
          <w:sz w:val="24"/>
          <w:szCs w:val="24"/>
          <w:lang w:val="ro-MD"/>
        </w:rPr>
        <w:t xml:space="preserve">subestimate la </w:t>
      </w:r>
      <w:r w:rsidR="006C17CE">
        <w:rPr>
          <w:rFonts w:asciiTheme="majorHAnsi" w:eastAsia="Times New Roman" w:hAnsiTheme="majorHAnsi" w:cstheme="majorHAnsi"/>
          <w:sz w:val="24"/>
          <w:szCs w:val="24"/>
          <w:lang w:val="ro-MD"/>
        </w:rPr>
        <w:t xml:space="preserve">alte </w:t>
      </w:r>
      <w:r w:rsidR="00EF2B19" w:rsidRPr="00D73189">
        <w:rPr>
          <w:rFonts w:asciiTheme="majorHAnsi" w:eastAsia="Times New Roman" w:hAnsiTheme="majorHAnsi" w:cstheme="majorHAnsi"/>
          <w:sz w:val="24"/>
          <w:szCs w:val="24"/>
          <w:lang w:val="ro-MD"/>
        </w:rPr>
        <w:t xml:space="preserve">8 </w:t>
      </w:r>
      <w:r w:rsidR="000E0BF3" w:rsidRPr="00D73189">
        <w:rPr>
          <w:rFonts w:asciiTheme="majorHAnsi" w:eastAsia="Times New Roman" w:hAnsiTheme="majorHAnsi" w:cstheme="majorHAnsi"/>
          <w:sz w:val="24"/>
          <w:szCs w:val="24"/>
          <w:lang w:val="ro-MD"/>
        </w:rPr>
        <w:t>tipuri de venituri</w:t>
      </w:r>
      <w:r w:rsidRPr="00D73189">
        <w:rPr>
          <w:rFonts w:asciiTheme="majorHAnsi" w:eastAsia="Times New Roman" w:hAnsiTheme="majorHAnsi" w:cstheme="majorHAnsi"/>
          <w:sz w:val="24"/>
          <w:szCs w:val="24"/>
          <w:lang w:val="ro-MD"/>
        </w:rPr>
        <w:t xml:space="preserve"> </w:t>
      </w:r>
      <w:r w:rsidR="000E0BF3" w:rsidRPr="00D73189">
        <w:rPr>
          <w:rFonts w:asciiTheme="majorHAnsi" w:eastAsia="Times New Roman" w:hAnsiTheme="majorHAnsi" w:cstheme="majorHAnsi"/>
          <w:sz w:val="24"/>
          <w:szCs w:val="24"/>
          <w:lang w:val="ro-MD"/>
        </w:rPr>
        <w:t>cu</w:t>
      </w:r>
      <w:r w:rsidR="000E0BF3">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1 199,4</w:t>
      </w:r>
      <w:r w:rsidRPr="00262ADD">
        <w:rPr>
          <w:rFonts w:asciiTheme="majorHAnsi" w:eastAsia="Times New Roman" w:hAnsiTheme="majorHAnsi" w:cstheme="majorHAnsi"/>
          <w:sz w:val="24"/>
          <w:szCs w:val="24"/>
          <w:lang w:val="ro-MD"/>
        </w:rPr>
        <w:t xml:space="preserve">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262ADD">
        <w:rPr>
          <w:rFonts w:asciiTheme="majorHAnsi" w:eastAsia="Times New Roman" w:hAnsiTheme="majorHAnsi" w:cstheme="majorHAnsi"/>
          <w:sz w:val="24"/>
          <w:szCs w:val="24"/>
          <w:lang w:val="ro-MD"/>
        </w:rPr>
        <w:t>.</w:t>
      </w:r>
      <w:r w:rsidRPr="00262ADD">
        <w:rPr>
          <w:rFonts w:asciiTheme="majorHAnsi" w:eastAsia="Times New Roman" w:hAnsiTheme="majorHAnsi" w:cstheme="majorHAnsi"/>
          <w:b/>
          <w:bCs/>
          <w:sz w:val="24"/>
          <w:szCs w:val="24"/>
          <w:lang w:val="ro-MD"/>
        </w:rPr>
        <w:t xml:space="preserve"> </w:t>
      </w:r>
      <w:r w:rsidRPr="00262ADD">
        <w:rPr>
          <w:rFonts w:asciiTheme="majorHAnsi" w:eastAsia="Times New Roman" w:hAnsiTheme="majorHAnsi" w:cstheme="majorHAnsi"/>
          <w:bCs/>
          <w:i/>
          <w:sz w:val="24"/>
          <w:szCs w:val="24"/>
          <w:lang w:val="ro-MD"/>
        </w:rPr>
        <w:t xml:space="preserve">Sinteza </w:t>
      </w:r>
      <w:r w:rsidR="00037A9D">
        <w:rPr>
          <w:rFonts w:asciiTheme="majorHAnsi" w:eastAsia="Times New Roman" w:hAnsiTheme="majorHAnsi" w:cstheme="majorHAnsi"/>
          <w:bCs/>
          <w:i/>
          <w:sz w:val="24"/>
          <w:szCs w:val="24"/>
          <w:lang w:val="ro-MD"/>
        </w:rPr>
        <w:t>analizei auditului referitor la executarea</w:t>
      </w:r>
      <w:r w:rsidRPr="00262ADD">
        <w:rPr>
          <w:rFonts w:asciiTheme="majorHAnsi" w:eastAsia="Times New Roman" w:hAnsiTheme="majorHAnsi" w:cstheme="majorHAnsi"/>
          <w:bCs/>
          <w:i/>
          <w:sz w:val="24"/>
          <w:szCs w:val="24"/>
          <w:lang w:val="ro-MD"/>
        </w:rPr>
        <w:t xml:space="preserve"> veniturilor sub aspectul indicatorilor (capitol) aprobați</w:t>
      </w:r>
      <w:r>
        <w:rPr>
          <w:rFonts w:asciiTheme="majorHAnsi" w:eastAsia="Times New Roman" w:hAnsiTheme="majorHAnsi" w:cstheme="majorHAnsi"/>
          <w:bCs/>
          <w:i/>
          <w:sz w:val="24"/>
          <w:szCs w:val="24"/>
          <w:lang w:val="ro-MD"/>
        </w:rPr>
        <w:t>/precizați</w:t>
      </w:r>
      <w:r w:rsidRPr="00262ADD">
        <w:rPr>
          <w:rFonts w:asciiTheme="majorHAnsi" w:eastAsia="Times New Roman" w:hAnsiTheme="majorHAnsi" w:cstheme="majorHAnsi"/>
          <w:bCs/>
          <w:i/>
          <w:sz w:val="24"/>
          <w:szCs w:val="24"/>
          <w:lang w:val="ro-MD"/>
        </w:rPr>
        <w:t xml:space="preserve"> prin Legea bugetului de stat </w:t>
      </w:r>
      <w:r>
        <w:rPr>
          <w:rFonts w:asciiTheme="majorHAnsi" w:eastAsia="Times New Roman" w:hAnsiTheme="majorHAnsi" w:cstheme="majorHAnsi"/>
          <w:bCs/>
          <w:i/>
          <w:sz w:val="24"/>
          <w:szCs w:val="24"/>
          <w:lang w:val="ro-MD"/>
        </w:rPr>
        <w:t xml:space="preserve">pentru anul 2018 </w:t>
      </w:r>
      <w:r w:rsidRPr="00262ADD">
        <w:rPr>
          <w:rFonts w:asciiTheme="majorHAnsi" w:eastAsia="Times New Roman" w:hAnsiTheme="majorHAnsi" w:cstheme="majorHAnsi"/>
          <w:bCs/>
          <w:i/>
          <w:sz w:val="24"/>
          <w:szCs w:val="24"/>
          <w:lang w:val="ro-MD"/>
        </w:rPr>
        <w:t xml:space="preserve">se prezintă în </w:t>
      </w:r>
      <w:r>
        <w:rPr>
          <w:rFonts w:asciiTheme="majorHAnsi" w:eastAsia="Times New Roman" w:hAnsiTheme="majorHAnsi" w:cstheme="majorHAnsi"/>
          <w:bCs/>
          <w:i/>
          <w:sz w:val="24"/>
          <w:szCs w:val="24"/>
          <w:lang w:val="ro-MD"/>
        </w:rPr>
        <w:t>Anexa nr.7 la prezentul Raport de audit.</w:t>
      </w:r>
    </w:p>
    <w:p w:rsidR="001E5A2A" w:rsidRPr="00D97F33" w:rsidRDefault="001E5A2A" w:rsidP="001E5A2A">
      <w:pPr>
        <w:spacing w:after="0" w:line="276" w:lineRule="auto"/>
        <w:ind w:firstLine="709"/>
        <w:jc w:val="both"/>
        <w:rPr>
          <w:rFonts w:asciiTheme="majorHAnsi" w:eastAsia="Times New Roman" w:hAnsiTheme="majorHAnsi" w:cs="Times New Roman"/>
          <w:b/>
          <w:i/>
          <w:sz w:val="24"/>
          <w:szCs w:val="24"/>
          <w:lang w:val="ro-MD"/>
        </w:rPr>
      </w:pPr>
      <w:r w:rsidRPr="00D97F33">
        <w:rPr>
          <w:rFonts w:asciiTheme="majorHAnsi" w:eastAsia="Times New Roman" w:hAnsiTheme="majorHAnsi" w:cs="Times New Roman"/>
          <w:sz w:val="24"/>
          <w:szCs w:val="24"/>
          <w:lang w:val="ro-MD"/>
        </w:rPr>
        <w:t xml:space="preserve">Potrivit explicațiilor Ministerului Finanțelor, </w:t>
      </w:r>
      <w:r w:rsidRPr="00D97F33">
        <w:rPr>
          <w:rFonts w:asciiTheme="majorHAnsi" w:eastAsia="Times New Roman" w:hAnsiTheme="majorHAnsi" w:cs="Times New Roman"/>
          <w:b/>
          <w:i/>
          <w:sz w:val="24"/>
          <w:szCs w:val="24"/>
          <w:u w:val="single"/>
          <w:lang w:val="ro-MD"/>
        </w:rPr>
        <w:t>subestimările se explică</w:t>
      </w:r>
      <w:r w:rsidR="006C17CE">
        <w:rPr>
          <w:rFonts w:asciiTheme="majorHAnsi" w:eastAsia="Times New Roman" w:hAnsiTheme="majorHAnsi" w:cs="Times New Roman"/>
          <w:b/>
          <w:i/>
          <w:sz w:val="24"/>
          <w:szCs w:val="24"/>
          <w:u w:val="single"/>
          <w:lang w:val="ro-MD"/>
        </w:rPr>
        <w:t xml:space="preserve"> astfel</w:t>
      </w:r>
      <w:r w:rsidRPr="00D97F33">
        <w:rPr>
          <w:rFonts w:asciiTheme="majorHAnsi" w:eastAsia="Times New Roman" w:hAnsiTheme="majorHAnsi" w:cs="Times New Roman"/>
          <w:b/>
          <w:i/>
          <w:sz w:val="24"/>
          <w:szCs w:val="24"/>
          <w:lang w:val="ro-MD"/>
        </w:rPr>
        <w:t>:</w:t>
      </w:r>
    </w:p>
    <w:p w:rsidR="001E5A2A" w:rsidRDefault="001E5A2A" w:rsidP="001E5A2A">
      <w:pPr>
        <w:pStyle w:val="ListParagraph"/>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o-MD"/>
        </w:rPr>
      </w:pPr>
      <w:r w:rsidRPr="00E9422F">
        <w:rPr>
          <w:rFonts w:asciiTheme="majorHAnsi" w:eastAsia="Times New Roman" w:hAnsiTheme="majorHAnsi" w:cs="Times New Roman"/>
          <w:i/>
          <w:iCs/>
          <w:sz w:val="24"/>
          <w:szCs w:val="24"/>
          <w:lang w:val="ro-MD"/>
        </w:rPr>
        <w:t xml:space="preserve">la TVA (+661,4 mil. </w:t>
      </w:r>
      <w:r w:rsidR="007160B9">
        <w:rPr>
          <w:rFonts w:asciiTheme="majorHAnsi" w:eastAsia="Times New Roman" w:hAnsiTheme="majorHAnsi" w:cs="Times New Roman"/>
          <w:i/>
          <w:iCs/>
          <w:sz w:val="24"/>
          <w:szCs w:val="24"/>
          <w:lang w:val="ro-MD"/>
        </w:rPr>
        <w:t>MDL</w:t>
      </w:r>
      <w:r w:rsidRPr="00E9422F">
        <w:rPr>
          <w:rFonts w:asciiTheme="majorHAnsi" w:eastAsia="Times New Roman" w:hAnsiTheme="majorHAnsi" w:cs="Times New Roman"/>
          <w:i/>
          <w:iCs/>
          <w:sz w:val="24"/>
          <w:szCs w:val="24"/>
          <w:lang w:val="ro-MD"/>
        </w:rPr>
        <w:t xml:space="preserve">), </w:t>
      </w:r>
      <w:r>
        <w:rPr>
          <w:rFonts w:asciiTheme="majorHAnsi" w:eastAsia="Times New Roman" w:hAnsiTheme="majorHAnsi" w:cs="Times New Roman"/>
          <w:i/>
          <w:iCs/>
          <w:sz w:val="24"/>
          <w:szCs w:val="24"/>
          <w:lang w:val="ro-MD"/>
        </w:rPr>
        <w:t xml:space="preserve">inclusiv </w:t>
      </w:r>
      <w:r w:rsidRPr="00E9422F">
        <w:rPr>
          <w:rFonts w:asciiTheme="majorHAnsi" w:eastAsia="Times New Roman" w:hAnsiTheme="majorHAnsi" w:cs="Times New Roman"/>
          <w:i/>
          <w:iCs/>
          <w:sz w:val="24"/>
          <w:szCs w:val="24"/>
          <w:lang w:val="ro-MD"/>
        </w:rPr>
        <w:t>TVA la mărfurile produse pe teritoriul RM</w:t>
      </w:r>
      <w:r w:rsidR="006C17CE">
        <w:rPr>
          <w:rFonts w:asciiTheme="majorHAnsi" w:eastAsia="Times New Roman" w:hAnsiTheme="majorHAnsi" w:cs="Times New Roman"/>
          <w:i/>
          <w:iCs/>
          <w:sz w:val="24"/>
          <w:szCs w:val="24"/>
          <w:lang w:val="ro-MD"/>
        </w:rPr>
        <w:t>,</w:t>
      </w:r>
      <w:r w:rsidRPr="00E9422F">
        <w:rPr>
          <w:rFonts w:asciiTheme="majorHAnsi" w:eastAsia="Times New Roman" w:hAnsiTheme="majorHAnsi" w:cs="Times New Roman"/>
          <w:i/>
          <w:iCs/>
          <w:sz w:val="24"/>
          <w:szCs w:val="24"/>
          <w:lang w:val="ro-MD"/>
        </w:rPr>
        <w:t xml:space="preserve"> </w:t>
      </w:r>
      <w:r w:rsidRPr="00E9422F">
        <w:rPr>
          <w:rFonts w:asciiTheme="majorHAnsi" w:eastAsia="Times New Roman" w:hAnsiTheme="majorHAnsi" w:cs="Times New Roman"/>
          <w:iCs/>
          <w:sz w:val="24"/>
          <w:szCs w:val="24"/>
          <w:lang w:val="ro-MD"/>
        </w:rPr>
        <w:t>s-a</w:t>
      </w:r>
      <w:r w:rsidR="006C17CE">
        <w:rPr>
          <w:rFonts w:asciiTheme="majorHAnsi" w:eastAsia="Times New Roman" w:hAnsiTheme="majorHAnsi" w:cs="Times New Roman"/>
          <w:iCs/>
          <w:sz w:val="24"/>
          <w:szCs w:val="24"/>
          <w:lang w:val="ro-MD"/>
        </w:rPr>
        <w:t>u</w:t>
      </w:r>
      <w:r w:rsidRPr="00E9422F">
        <w:rPr>
          <w:rFonts w:asciiTheme="majorHAnsi" w:eastAsia="Times New Roman" w:hAnsiTheme="majorHAnsi" w:cs="Times New Roman"/>
          <w:iCs/>
          <w:sz w:val="24"/>
          <w:szCs w:val="24"/>
          <w:lang w:val="ro-MD"/>
        </w:rPr>
        <w:t xml:space="preserve"> majorat cu 183,2 mil. </w:t>
      </w:r>
      <w:r w:rsidR="007160B9">
        <w:rPr>
          <w:rFonts w:asciiTheme="majorHAnsi" w:eastAsia="Times New Roman" w:hAnsiTheme="majorHAnsi" w:cs="Times New Roman"/>
          <w:iCs/>
          <w:sz w:val="24"/>
          <w:szCs w:val="24"/>
          <w:lang w:val="ro-MD"/>
        </w:rPr>
        <w:t>MDL</w:t>
      </w:r>
      <w:r w:rsidRPr="00E9422F">
        <w:rPr>
          <w:rFonts w:asciiTheme="majorHAnsi" w:eastAsia="Times New Roman" w:hAnsiTheme="majorHAnsi" w:cs="Times New Roman"/>
          <w:iCs/>
          <w:sz w:val="24"/>
          <w:szCs w:val="24"/>
          <w:lang w:val="ro-MD"/>
        </w:rPr>
        <w:t xml:space="preserve"> din contul majorării numărului contribuabililor plătitori de TVA cu 583 </w:t>
      </w:r>
      <w:r w:rsidR="006C17CE">
        <w:rPr>
          <w:rFonts w:asciiTheme="majorHAnsi" w:eastAsia="Times New Roman" w:hAnsiTheme="majorHAnsi" w:cs="Times New Roman"/>
          <w:iCs/>
          <w:sz w:val="24"/>
          <w:szCs w:val="24"/>
          <w:lang w:val="ro-MD"/>
        </w:rPr>
        <w:t xml:space="preserve">de </w:t>
      </w:r>
      <w:r w:rsidRPr="00E9422F">
        <w:rPr>
          <w:rFonts w:asciiTheme="majorHAnsi" w:eastAsia="Times New Roman" w:hAnsiTheme="majorHAnsi" w:cs="Times New Roman"/>
          <w:iCs/>
          <w:sz w:val="24"/>
          <w:szCs w:val="24"/>
          <w:lang w:val="ro-MD"/>
        </w:rPr>
        <w:t>agenți econo</w:t>
      </w:r>
      <w:r>
        <w:rPr>
          <w:rFonts w:asciiTheme="majorHAnsi" w:eastAsia="Times New Roman" w:hAnsiTheme="majorHAnsi" w:cs="Times New Roman"/>
          <w:iCs/>
          <w:sz w:val="24"/>
          <w:szCs w:val="24"/>
          <w:lang w:val="ro-MD"/>
        </w:rPr>
        <w:t xml:space="preserve">mici și creșterii achitărilor agenților economici </w:t>
      </w:r>
      <w:r w:rsidRPr="00E9422F">
        <w:rPr>
          <w:rFonts w:asciiTheme="majorHAnsi" w:eastAsia="Times New Roman" w:hAnsiTheme="majorHAnsi" w:cs="Times New Roman"/>
          <w:iCs/>
          <w:sz w:val="24"/>
          <w:szCs w:val="24"/>
          <w:lang w:val="ro-MD"/>
        </w:rPr>
        <w:t xml:space="preserve">grupați </w:t>
      </w:r>
      <w:r w:rsidR="006C17CE">
        <w:rPr>
          <w:rFonts w:asciiTheme="majorHAnsi" w:eastAsia="Times New Roman" w:hAnsiTheme="majorHAnsi" w:cs="Times New Roman"/>
          <w:iCs/>
          <w:sz w:val="24"/>
          <w:szCs w:val="24"/>
          <w:lang w:val="ro-MD"/>
        </w:rPr>
        <w:t>în funcție de</w:t>
      </w:r>
      <w:r w:rsidR="006C17CE" w:rsidRPr="00E9422F">
        <w:rPr>
          <w:rFonts w:asciiTheme="majorHAnsi" w:eastAsia="Times New Roman" w:hAnsiTheme="majorHAnsi" w:cs="Times New Roman"/>
          <w:iCs/>
          <w:sz w:val="24"/>
          <w:szCs w:val="24"/>
          <w:lang w:val="ro-MD"/>
        </w:rPr>
        <w:t xml:space="preserve"> </w:t>
      </w:r>
      <w:r w:rsidRPr="00E9422F">
        <w:rPr>
          <w:rFonts w:asciiTheme="majorHAnsi" w:eastAsia="Times New Roman" w:hAnsiTheme="majorHAnsi" w:cs="Times New Roman"/>
          <w:iCs/>
          <w:sz w:val="24"/>
          <w:szCs w:val="24"/>
          <w:lang w:val="ro-MD"/>
        </w:rPr>
        <w:t>mărimea sumei achitate.</w:t>
      </w:r>
      <w:r w:rsidRPr="00E9422F">
        <w:rPr>
          <w:rFonts w:asciiTheme="majorHAnsi" w:eastAsia="Times New Roman" w:hAnsiTheme="majorHAnsi" w:cs="Times New Roman"/>
          <w:i/>
          <w:iCs/>
          <w:sz w:val="24"/>
          <w:szCs w:val="24"/>
          <w:lang w:val="ro-MD"/>
        </w:rPr>
        <w:t xml:space="preserve"> Încasările la TVA la mărfurile importate </w:t>
      </w:r>
      <w:r w:rsidRPr="00E9422F">
        <w:rPr>
          <w:rFonts w:asciiTheme="majorHAnsi" w:eastAsia="Times New Roman" w:hAnsiTheme="majorHAnsi" w:cs="Times New Roman"/>
          <w:iCs/>
          <w:sz w:val="24"/>
          <w:szCs w:val="24"/>
          <w:lang w:val="ro-MD"/>
        </w:rPr>
        <w:t xml:space="preserve">s-au majorat cu 399,7 mil. </w:t>
      </w:r>
      <w:r w:rsidR="007160B9">
        <w:rPr>
          <w:rFonts w:asciiTheme="majorHAnsi" w:eastAsia="Times New Roman" w:hAnsiTheme="majorHAnsi" w:cs="Times New Roman"/>
          <w:iCs/>
          <w:sz w:val="24"/>
          <w:szCs w:val="24"/>
          <w:lang w:val="ro-MD"/>
        </w:rPr>
        <w:t>MDL</w:t>
      </w:r>
      <w:r w:rsidRPr="00E9422F">
        <w:rPr>
          <w:rFonts w:asciiTheme="majorHAnsi" w:eastAsia="Times New Roman" w:hAnsiTheme="majorHAnsi" w:cs="Times New Roman"/>
          <w:iCs/>
          <w:sz w:val="24"/>
          <w:szCs w:val="24"/>
          <w:lang w:val="ro-MD"/>
        </w:rPr>
        <w:t xml:space="preserve"> față de cele precizate din contul creșterii importurilor</w:t>
      </w:r>
      <w:r w:rsidR="006C17CE">
        <w:rPr>
          <w:rFonts w:asciiTheme="majorHAnsi" w:eastAsia="Times New Roman" w:hAnsiTheme="majorHAnsi" w:cs="Times New Roman"/>
          <w:iCs/>
          <w:sz w:val="24"/>
          <w:szCs w:val="24"/>
          <w:lang w:val="ro-MD"/>
        </w:rPr>
        <w:t xml:space="preserve"> și</w:t>
      </w:r>
      <w:r w:rsidRPr="00E9422F">
        <w:rPr>
          <w:rFonts w:asciiTheme="majorHAnsi" w:eastAsia="Times New Roman" w:hAnsiTheme="majorHAnsi" w:cs="Times New Roman"/>
          <w:iCs/>
          <w:sz w:val="24"/>
          <w:szCs w:val="24"/>
          <w:lang w:val="ro-MD"/>
        </w:rPr>
        <w:t xml:space="preserve"> fluctuației cursului de schimb</w:t>
      </w:r>
      <w:r w:rsidR="006C17CE">
        <w:rPr>
          <w:rFonts w:asciiTheme="majorHAnsi" w:eastAsia="Times New Roman" w:hAnsiTheme="majorHAnsi" w:cs="Times New Roman"/>
          <w:iCs/>
          <w:sz w:val="24"/>
          <w:szCs w:val="24"/>
          <w:lang w:val="ro-MD"/>
        </w:rPr>
        <w:t>;</w:t>
      </w:r>
      <w:r w:rsidRPr="00E9422F">
        <w:rPr>
          <w:rFonts w:asciiTheme="majorHAnsi" w:eastAsia="Times New Roman" w:hAnsiTheme="majorHAnsi" w:cs="Times New Roman"/>
          <w:iCs/>
          <w:sz w:val="24"/>
          <w:szCs w:val="24"/>
          <w:lang w:val="ro-MD"/>
        </w:rPr>
        <w:t xml:space="preserve"> </w:t>
      </w:r>
    </w:p>
    <w:p w:rsidR="001E5A2A" w:rsidRPr="00E9422F" w:rsidRDefault="001E5A2A" w:rsidP="001E5A2A">
      <w:pPr>
        <w:pStyle w:val="ListParagraph"/>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o-MD"/>
        </w:rPr>
      </w:pPr>
      <w:r w:rsidRPr="00E9422F">
        <w:rPr>
          <w:rFonts w:asciiTheme="majorHAnsi" w:eastAsia="Times New Roman" w:hAnsiTheme="majorHAnsi" w:cs="Times New Roman"/>
          <w:i/>
          <w:iCs/>
          <w:sz w:val="24"/>
          <w:szCs w:val="24"/>
          <w:lang w:val="ro-MD"/>
        </w:rPr>
        <w:t>la accize</w:t>
      </w:r>
      <w:r w:rsidR="006C17CE">
        <w:rPr>
          <w:rFonts w:asciiTheme="majorHAnsi" w:eastAsia="Times New Roman" w:hAnsiTheme="majorHAnsi" w:cs="Times New Roman"/>
          <w:i/>
          <w:iCs/>
          <w:sz w:val="24"/>
          <w:szCs w:val="24"/>
          <w:lang w:val="ro-MD"/>
        </w:rPr>
        <w:t>le</w:t>
      </w:r>
      <w:r w:rsidRPr="00E9422F">
        <w:rPr>
          <w:rFonts w:asciiTheme="majorHAnsi" w:eastAsia="Times New Roman" w:hAnsiTheme="majorHAnsi" w:cs="Times New Roman"/>
          <w:i/>
          <w:iCs/>
          <w:sz w:val="24"/>
          <w:szCs w:val="24"/>
          <w:lang w:val="ro-MD"/>
        </w:rPr>
        <w:t xml:space="preserve"> la autoturismele importate (+72,3 mil. </w:t>
      </w:r>
      <w:r w:rsidR="007160B9">
        <w:rPr>
          <w:rFonts w:asciiTheme="majorHAnsi" w:eastAsia="Times New Roman" w:hAnsiTheme="majorHAnsi" w:cs="Times New Roman"/>
          <w:i/>
          <w:iCs/>
          <w:sz w:val="24"/>
          <w:szCs w:val="24"/>
          <w:lang w:val="ro-MD"/>
        </w:rPr>
        <w:t>MDL</w:t>
      </w:r>
      <w:r w:rsidRPr="00E9422F">
        <w:rPr>
          <w:rFonts w:asciiTheme="majorHAnsi" w:eastAsia="Times New Roman" w:hAnsiTheme="majorHAnsi" w:cs="Times New Roman"/>
          <w:i/>
          <w:iCs/>
          <w:sz w:val="24"/>
          <w:szCs w:val="24"/>
          <w:lang w:val="ro-MD"/>
        </w:rPr>
        <w:t xml:space="preserve">), </w:t>
      </w:r>
      <w:r w:rsidRPr="00E9422F">
        <w:rPr>
          <w:rFonts w:asciiTheme="majorHAnsi" w:eastAsia="Times New Roman" w:hAnsiTheme="majorHAnsi" w:cs="Times New Roman"/>
          <w:iCs/>
          <w:sz w:val="24"/>
          <w:szCs w:val="24"/>
          <w:lang w:val="ro-MD"/>
        </w:rPr>
        <w:t>au fost vămuite autoturisme pe parcursul anului 2018, cu 15,3% mai mult față de anul 2017</w:t>
      </w:r>
      <w:r w:rsidR="006C17CE">
        <w:rPr>
          <w:rFonts w:asciiTheme="majorHAnsi" w:eastAsia="Times New Roman" w:hAnsiTheme="majorHAnsi" w:cs="Times New Roman"/>
          <w:iCs/>
          <w:sz w:val="24"/>
          <w:szCs w:val="24"/>
          <w:lang w:val="ro-MD"/>
        </w:rPr>
        <w:t>;</w:t>
      </w:r>
    </w:p>
    <w:p w:rsidR="001E5A2A" w:rsidRPr="00E9422F" w:rsidRDefault="001E5A2A" w:rsidP="001E5A2A">
      <w:pPr>
        <w:pStyle w:val="ListParagraph"/>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o-MD"/>
        </w:rPr>
      </w:pPr>
      <w:r w:rsidRPr="00E9422F">
        <w:rPr>
          <w:rFonts w:asciiTheme="majorHAnsi" w:eastAsia="Times New Roman" w:hAnsiTheme="majorHAnsi" w:cs="Times New Roman"/>
          <w:i/>
          <w:iCs/>
          <w:sz w:val="24"/>
          <w:szCs w:val="24"/>
          <w:lang w:val="ro-MD"/>
        </w:rPr>
        <w:t xml:space="preserve"> la impozitul pe venitul obținut din activități profesionale (+31,6 mil.</w:t>
      </w:r>
      <w:r>
        <w:rPr>
          <w:rFonts w:asciiTheme="majorHAnsi" w:eastAsia="Times New Roman" w:hAnsiTheme="majorHAnsi" w:cs="Times New Roman"/>
          <w:i/>
          <w:iCs/>
          <w:sz w:val="24"/>
          <w:szCs w:val="24"/>
          <w:lang w:val="ro-MD"/>
        </w:rPr>
        <w:t xml:space="preserve"> </w:t>
      </w:r>
      <w:r w:rsidR="007160B9">
        <w:rPr>
          <w:rFonts w:asciiTheme="majorHAnsi" w:eastAsia="Times New Roman" w:hAnsiTheme="majorHAnsi" w:cs="Times New Roman"/>
          <w:i/>
          <w:iCs/>
          <w:sz w:val="24"/>
          <w:szCs w:val="24"/>
          <w:lang w:val="ro-MD"/>
        </w:rPr>
        <w:t>MDL</w:t>
      </w:r>
      <w:r w:rsidRPr="00E9422F">
        <w:rPr>
          <w:rFonts w:asciiTheme="majorHAnsi" w:eastAsia="Times New Roman" w:hAnsiTheme="majorHAnsi" w:cs="Times New Roman"/>
          <w:i/>
          <w:iCs/>
          <w:sz w:val="24"/>
          <w:szCs w:val="24"/>
          <w:lang w:val="ro-MD"/>
        </w:rPr>
        <w:t>),</w:t>
      </w:r>
      <w:r w:rsidRPr="00E9422F">
        <w:rPr>
          <w:rFonts w:asciiTheme="majorHAnsi" w:eastAsia="Times New Roman" w:hAnsiTheme="majorHAnsi" w:cs="Times New Roman"/>
          <w:iCs/>
          <w:sz w:val="24"/>
          <w:szCs w:val="24"/>
          <w:lang w:val="ro-MD"/>
        </w:rPr>
        <w:t xml:space="preserve"> prin faptul că prevederile privind încasările la acest tip de venit au fost implementate </w:t>
      </w:r>
      <w:r>
        <w:rPr>
          <w:rFonts w:asciiTheme="majorHAnsi" w:eastAsia="Times New Roman" w:hAnsiTheme="majorHAnsi" w:cs="Times New Roman"/>
          <w:iCs/>
          <w:sz w:val="24"/>
          <w:szCs w:val="24"/>
          <w:lang w:val="ro-MD"/>
        </w:rPr>
        <w:t xml:space="preserve">începând </w:t>
      </w:r>
      <w:r w:rsidRPr="00E9422F">
        <w:rPr>
          <w:rFonts w:asciiTheme="majorHAnsi" w:eastAsia="Times New Roman" w:hAnsiTheme="majorHAnsi" w:cs="Times New Roman"/>
          <w:iCs/>
          <w:sz w:val="24"/>
          <w:szCs w:val="24"/>
          <w:lang w:val="ro-MD"/>
        </w:rPr>
        <w:t xml:space="preserve">cu 01.01.2017, </w:t>
      </w:r>
      <w:r>
        <w:rPr>
          <w:rFonts w:asciiTheme="majorHAnsi" w:eastAsia="Times New Roman" w:hAnsiTheme="majorHAnsi" w:cs="Times New Roman"/>
          <w:iCs/>
          <w:sz w:val="24"/>
          <w:szCs w:val="24"/>
          <w:lang w:val="ro-MD"/>
        </w:rPr>
        <w:t>respectiv</w:t>
      </w:r>
      <w:r w:rsidR="006C17CE">
        <w:rPr>
          <w:rFonts w:asciiTheme="majorHAnsi" w:eastAsia="Times New Roman" w:hAnsiTheme="majorHAnsi" w:cs="Times New Roman"/>
          <w:iCs/>
          <w:sz w:val="24"/>
          <w:szCs w:val="24"/>
          <w:lang w:val="ro-MD"/>
        </w:rPr>
        <w:t>,</w:t>
      </w:r>
      <w:r>
        <w:rPr>
          <w:rFonts w:asciiTheme="majorHAnsi" w:eastAsia="Times New Roman" w:hAnsiTheme="majorHAnsi" w:cs="Times New Roman"/>
          <w:iCs/>
          <w:sz w:val="24"/>
          <w:szCs w:val="24"/>
          <w:lang w:val="ro-MD"/>
        </w:rPr>
        <w:t xml:space="preserve"> </w:t>
      </w:r>
      <w:r w:rsidRPr="00E9422F">
        <w:rPr>
          <w:rFonts w:asciiTheme="majorHAnsi" w:eastAsia="Times New Roman" w:hAnsiTheme="majorHAnsi" w:cs="Times New Roman"/>
          <w:iCs/>
          <w:sz w:val="24"/>
          <w:szCs w:val="24"/>
          <w:lang w:val="ro-MD"/>
        </w:rPr>
        <w:t xml:space="preserve">dinamica încasărilor </w:t>
      </w:r>
      <w:r w:rsidR="006C17CE">
        <w:rPr>
          <w:rFonts w:asciiTheme="majorHAnsi" w:eastAsia="Times New Roman" w:hAnsiTheme="majorHAnsi" w:cs="Times New Roman"/>
          <w:iCs/>
          <w:sz w:val="24"/>
          <w:szCs w:val="24"/>
          <w:lang w:val="ro-MD"/>
        </w:rPr>
        <w:t>nefiind</w:t>
      </w:r>
      <w:r w:rsidRPr="00E9422F">
        <w:rPr>
          <w:rFonts w:asciiTheme="majorHAnsi" w:eastAsia="Times New Roman" w:hAnsiTheme="majorHAnsi" w:cs="Times New Roman"/>
          <w:iCs/>
          <w:sz w:val="24"/>
          <w:szCs w:val="24"/>
          <w:lang w:val="ro-MD"/>
        </w:rPr>
        <w:t xml:space="preserve"> bine cunoscută;</w:t>
      </w:r>
    </w:p>
    <w:p w:rsidR="001E5A2A" w:rsidRPr="00E9422F" w:rsidRDefault="001E5A2A" w:rsidP="001E5A2A">
      <w:pPr>
        <w:pStyle w:val="ListParagraph"/>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o-MD"/>
        </w:rPr>
      </w:pPr>
      <w:r w:rsidRPr="00E9422F">
        <w:rPr>
          <w:rFonts w:asciiTheme="majorHAnsi" w:eastAsia="Times New Roman" w:hAnsiTheme="majorHAnsi" w:cs="Times New Roman"/>
          <w:i/>
          <w:iCs/>
          <w:sz w:val="24"/>
          <w:szCs w:val="24"/>
          <w:lang w:val="ro-MD"/>
        </w:rPr>
        <w:t xml:space="preserve">la taxa pentru folosirea drumurilor RM de către autovehiculele neînmatriculate în RM (+17,4 mil. </w:t>
      </w:r>
      <w:r w:rsidR="007160B9">
        <w:rPr>
          <w:rFonts w:asciiTheme="majorHAnsi" w:eastAsia="Times New Roman" w:hAnsiTheme="majorHAnsi" w:cs="Times New Roman"/>
          <w:i/>
          <w:iCs/>
          <w:sz w:val="24"/>
          <w:szCs w:val="24"/>
          <w:lang w:val="ro-MD"/>
        </w:rPr>
        <w:t>MDL</w:t>
      </w:r>
      <w:r w:rsidRPr="00E9422F">
        <w:rPr>
          <w:rFonts w:asciiTheme="majorHAnsi" w:eastAsia="Times New Roman" w:hAnsiTheme="majorHAnsi" w:cs="Times New Roman"/>
          <w:i/>
          <w:iCs/>
          <w:sz w:val="24"/>
          <w:szCs w:val="24"/>
          <w:lang w:val="ro-MD"/>
        </w:rPr>
        <w:t xml:space="preserve">), </w:t>
      </w:r>
      <w:r w:rsidRPr="00E9422F">
        <w:rPr>
          <w:rFonts w:asciiTheme="majorHAnsi" w:eastAsia="Times New Roman" w:hAnsiTheme="majorHAnsi" w:cs="Times New Roman"/>
          <w:iCs/>
          <w:sz w:val="24"/>
          <w:szCs w:val="24"/>
          <w:lang w:val="ro-MD"/>
        </w:rPr>
        <w:t>au fost introduse modificări la Codul fiscal, prin care mărimea taxei a fost majorată de 2-3 ori</w:t>
      </w:r>
      <w:r w:rsidR="000A3832">
        <w:rPr>
          <w:rFonts w:asciiTheme="majorHAnsi" w:eastAsia="Times New Roman" w:hAnsiTheme="majorHAnsi" w:cs="Times New Roman"/>
          <w:iCs/>
          <w:sz w:val="24"/>
          <w:szCs w:val="24"/>
          <w:lang w:val="ro-MD"/>
        </w:rPr>
        <w:t>;</w:t>
      </w:r>
    </w:p>
    <w:p w:rsidR="001E5A2A" w:rsidRPr="00E9422F" w:rsidRDefault="001E5A2A" w:rsidP="001E5A2A">
      <w:pPr>
        <w:pStyle w:val="ListParagraph"/>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o-MD"/>
        </w:rPr>
      </w:pPr>
      <w:r w:rsidRPr="00E9422F">
        <w:rPr>
          <w:rFonts w:asciiTheme="majorHAnsi" w:eastAsia="Times New Roman" w:hAnsiTheme="majorHAnsi" w:cs="Times New Roman"/>
          <w:i/>
          <w:iCs/>
          <w:sz w:val="24"/>
          <w:szCs w:val="24"/>
          <w:lang w:val="ro-MD"/>
        </w:rPr>
        <w:t>la a</w:t>
      </w:r>
      <w:r>
        <w:rPr>
          <w:rFonts w:asciiTheme="majorHAnsi" w:eastAsia="Times New Roman" w:hAnsiTheme="majorHAnsi" w:cs="Times New Roman"/>
          <w:i/>
          <w:iCs/>
          <w:sz w:val="24"/>
          <w:szCs w:val="24"/>
          <w:lang w:val="ro-MD"/>
        </w:rPr>
        <w:t>ccize</w:t>
      </w:r>
      <w:r w:rsidR="000A3832">
        <w:rPr>
          <w:rFonts w:asciiTheme="majorHAnsi" w:eastAsia="Times New Roman" w:hAnsiTheme="majorHAnsi" w:cs="Times New Roman"/>
          <w:i/>
          <w:iCs/>
          <w:sz w:val="24"/>
          <w:szCs w:val="24"/>
          <w:lang w:val="ro-MD"/>
        </w:rPr>
        <w:t>le</w:t>
      </w:r>
      <w:r>
        <w:rPr>
          <w:rFonts w:asciiTheme="majorHAnsi" w:eastAsia="Times New Roman" w:hAnsiTheme="majorHAnsi" w:cs="Times New Roman"/>
          <w:i/>
          <w:iCs/>
          <w:sz w:val="24"/>
          <w:szCs w:val="24"/>
          <w:lang w:val="ro-MD"/>
        </w:rPr>
        <w:t xml:space="preserve"> la vinuri</w:t>
      </w:r>
      <w:r w:rsidR="000A3832">
        <w:rPr>
          <w:rFonts w:asciiTheme="majorHAnsi" w:eastAsia="Times New Roman" w:hAnsiTheme="majorHAnsi" w:cs="Times New Roman"/>
          <w:i/>
          <w:iCs/>
          <w:sz w:val="24"/>
          <w:szCs w:val="24"/>
          <w:lang w:val="ro-MD"/>
        </w:rPr>
        <w:t>le</w:t>
      </w:r>
      <w:r>
        <w:rPr>
          <w:rFonts w:asciiTheme="majorHAnsi" w:eastAsia="Times New Roman" w:hAnsiTheme="majorHAnsi" w:cs="Times New Roman"/>
          <w:i/>
          <w:iCs/>
          <w:sz w:val="24"/>
          <w:szCs w:val="24"/>
          <w:lang w:val="ro-MD"/>
        </w:rPr>
        <w:t xml:space="preserve"> importate (+9,1</w:t>
      </w:r>
      <w:r w:rsidRPr="00E9422F">
        <w:rPr>
          <w:rFonts w:asciiTheme="majorHAnsi" w:eastAsia="Times New Roman" w:hAnsiTheme="majorHAnsi" w:cs="Times New Roman"/>
          <w:i/>
          <w:iCs/>
          <w:sz w:val="24"/>
          <w:szCs w:val="24"/>
          <w:lang w:val="ro-MD"/>
        </w:rPr>
        <w:t xml:space="preserve"> mil. </w:t>
      </w:r>
      <w:r w:rsidR="007160B9">
        <w:rPr>
          <w:rFonts w:asciiTheme="majorHAnsi" w:eastAsia="Times New Roman" w:hAnsiTheme="majorHAnsi" w:cs="Times New Roman"/>
          <w:i/>
          <w:iCs/>
          <w:sz w:val="24"/>
          <w:szCs w:val="24"/>
          <w:lang w:val="ro-MD"/>
        </w:rPr>
        <w:t>MDL</w:t>
      </w:r>
      <w:r w:rsidRPr="00E9422F">
        <w:rPr>
          <w:rFonts w:asciiTheme="majorHAnsi" w:eastAsia="Times New Roman" w:hAnsiTheme="majorHAnsi" w:cs="Times New Roman"/>
          <w:i/>
          <w:iCs/>
          <w:sz w:val="24"/>
          <w:szCs w:val="24"/>
          <w:lang w:val="ro-MD"/>
        </w:rPr>
        <w:t xml:space="preserve">), </w:t>
      </w:r>
      <w:r w:rsidRPr="00E9422F">
        <w:rPr>
          <w:rFonts w:asciiTheme="majorHAnsi" w:eastAsia="Times New Roman" w:hAnsiTheme="majorHAnsi" w:cs="Times New Roman"/>
          <w:iCs/>
          <w:sz w:val="24"/>
          <w:szCs w:val="24"/>
          <w:lang w:val="ro-MD"/>
        </w:rPr>
        <w:t>se explică prin majorarea importurilor la vinuri cu circa 10%</w:t>
      </w:r>
      <w:r>
        <w:rPr>
          <w:rFonts w:asciiTheme="majorHAnsi" w:eastAsia="Times New Roman" w:hAnsiTheme="majorHAnsi" w:cs="Times New Roman"/>
          <w:iCs/>
          <w:sz w:val="24"/>
          <w:szCs w:val="24"/>
          <w:lang w:val="ro-MD"/>
        </w:rPr>
        <w:t xml:space="preserve"> etc</w:t>
      </w:r>
      <w:r w:rsidRPr="00E9422F">
        <w:rPr>
          <w:rFonts w:asciiTheme="majorHAnsi" w:eastAsia="Times New Roman" w:hAnsiTheme="majorHAnsi" w:cs="Times New Roman"/>
          <w:iCs/>
          <w:sz w:val="24"/>
          <w:szCs w:val="24"/>
          <w:lang w:val="ro-MD"/>
        </w:rPr>
        <w:t>.</w:t>
      </w:r>
    </w:p>
    <w:p w:rsidR="001E5A2A" w:rsidRPr="00E9422F" w:rsidRDefault="001E5A2A" w:rsidP="001E5A2A">
      <w:pPr>
        <w:spacing w:after="0" w:line="276" w:lineRule="auto"/>
        <w:ind w:firstLine="709"/>
        <w:jc w:val="both"/>
        <w:rPr>
          <w:rFonts w:asciiTheme="majorHAnsi" w:eastAsia="Times New Roman" w:hAnsiTheme="majorHAnsi" w:cs="Times New Roman"/>
          <w:b/>
          <w:i/>
          <w:sz w:val="24"/>
          <w:szCs w:val="24"/>
          <w:lang w:val="ro-MD"/>
        </w:rPr>
      </w:pPr>
      <w:r>
        <w:rPr>
          <w:rFonts w:asciiTheme="majorHAnsi" w:eastAsia="Times New Roman" w:hAnsiTheme="majorHAnsi" w:cs="Times New Roman"/>
          <w:sz w:val="24"/>
          <w:szCs w:val="24"/>
          <w:lang w:val="ro-MD"/>
        </w:rPr>
        <w:t>De</w:t>
      </w:r>
      <w:r w:rsidR="000A3832">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asemenea</w:t>
      </w:r>
      <w:r w:rsidR="000A3832">
        <w:rPr>
          <w:rFonts w:asciiTheme="majorHAnsi" w:eastAsia="Times New Roman" w:hAnsiTheme="majorHAnsi" w:cs="Times New Roman"/>
          <w:sz w:val="24"/>
          <w:szCs w:val="24"/>
          <w:lang w:val="ro-MD"/>
        </w:rPr>
        <w:t>,</w:t>
      </w:r>
      <w:r w:rsidRPr="00E9422F">
        <w:rPr>
          <w:rFonts w:asciiTheme="majorHAnsi" w:eastAsia="Times New Roman" w:hAnsiTheme="majorHAnsi" w:cs="Times New Roman"/>
          <w:b/>
          <w:i/>
          <w:sz w:val="24"/>
          <w:szCs w:val="24"/>
          <w:lang w:val="ro-MD"/>
        </w:rPr>
        <w:t xml:space="preserve"> </w:t>
      </w:r>
      <w:r w:rsidRPr="00E9422F">
        <w:rPr>
          <w:rFonts w:asciiTheme="majorHAnsi" w:eastAsia="Times New Roman" w:hAnsiTheme="majorHAnsi" w:cs="Times New Roman"/>
          <w:b/>
          <w:i/>
          <w:sz w:val="24"/>
          <w:szCs w:val="24"/>
          <w:u w:val="single"/>
          <w:lang w:val="ro-MD"/>
        </w:rPr>
        <w:t>supraestimările se explică</w:t>
      </w:r>
      <w:r w:rsidR="00A403A8">
        <w:rPr>
          <w:rFonts w:asciiTheme="majorHAnsi" w:eastAsia="Times New Roman" w:hAnsiTheme="majorHAnsi" w:cs="Times New Roman"/>
          <w:b/>
          <w:i/>
          <w:sz w:val="24"/>
          <w:szCs w:val="24"/>
          <w:u w:val="single"/>
          <w:lang w:val="ro-MD"/>
        </w:rPr>
        <w:t xml:space="preserve"> prin</w:t>
      </w:r>
      <w:r w:rsidRPr="00E9422F">
        <w:rPr>
          <w:rFonts w:asciiTheme="majorHAnsi" w:eastAsia="Times New Roman" w:hAnsiTheme="majorHAnsi" w:cs="Times New Roman"/>
          <w:b/>
          <w:i/>
          <w:sz w:val="24"/>
          <w:szCs w:val="24"/>
          <w:lang w:val="ro-MD"/>
        </w:rPr>
        <w:t>:</w:t>
      </w:r>
    </w:p>
    <w:p w:rsidR="001E5A2A" w:rsidRPr="00E9422F" w:rsidRDefault="001E5A2A" w:rsidP="001E5A2A">
      <w:pPr>
        <w:pStyle w:val="ListParagraph"/>
        <w:numPr>
          <w:ilvl w:val="0"/>
          <w:numId w:val="8"/>
        </w:numPr>
        <w:tabs>
          <w:tab w:val="left" w:pos="1134"/>
        </w:tabs>
        <w:spacing w:after="0" w:line="276" w:lineRule="auto"/>
        <w:ind w:left="0" w:firstLine="709"/>
        <w:jc w:val="both"/>
        <w:rPr>
          <w:rFonts w:asciiTheme="majorHAnsi" w:eastAsia="Times New Roman" w:hAnsiTheme="majorHAnsi" w:cs="Times New Roman"/>
          <w:sz w:val="24"/>
          <w:szCs w:val="24"/>
          <w:lang w:val="ro-MD"/>
        </w:rPr>
      </w:pPr>
      <w:r w:rsidRPr="00E9422F">
        <w:rPr>
          <w:rFonts w:asciiTheme="majorHAnsi" w:eastAsia="Times New Roman" w:hAnsiTheme="majorHAnsi" w:cs="Times New Roman"/>
          <w:i/>
          <w:sz w:val="24"/>
          <w:szCs w:val="24"/>
          <w:lang w:val="ro-MD"/>
        </w:rPr>
        <w:t>la accize</w:t>
      </w:r>
      <w:r w:rsidR="0003704D">
        <w:rPr>
          <w:rFonts w:asciiTheme="majorHAnsi" w:eastAsia="Times New Roman" w:hAnsiTheme="majorHAnsi" w:cs="Times New Roman"/>
          <w:i/>
          <w:sz w:val="24"/>
          <w:szCs w:val="24"/>
          <w:lang w:val="ro-MD"/>
        </w:rPr>
        <w:t>le</w:t>
      </w:r>
      <w:r w:rsidRPr="00E9422F">
        <w:rPr>
          <w:rFonts w:asciiTheme="majorHAnsi" w:eastAsia="Times New Roman" w:hAnsiTheme="majorHAnsi" w:cs="Times New Roman"/>
          <w:i/>
          <w:sz w:val="24"/>
          <w:szCs w:val="24"/>
          <w:lang w:val="ro-MD"/>
        </w:rPr>
        <w:t xml:space="preserve"> la produsele din tutun (-461,7 mil. </w:t>
      </w:r>
      <w:r w:rsidR="007160B9">
        <w:rPr>
          <w:rFonts w:asciiTheme="majorHAnsi" w:eastAsia="Times New Roman" w:hAnsiTheme="majorHAnsi" w:cs="Times New Roman"/>
          <w:i/>
          <w:sz w:val="24"/>
          <w:szCs w:val="24"/>
          <w:lang w:val="ro-MD"/>
        </w:rPr>
        <w:t>MDL</w:t>
      </w:r>
      <w:r w:rsidRPr="00E9422F">
        <w:rPr>
          <w:rFonts w:asciiTheme="majorHAnsi" w:eastAsia="Times New Roman" w:hAnsiTheme="majorHAnsi" w:cs="Times New Roman"/>
          <w:i/>
          <w:sz w:val="24"/>
          <w:szCs w:val="24"/>
          <w:lang w:val="ro-MD"/>
        </w:rPr>
        <w:t xml:space="preserve">), </w:t>
      </w:r>
      <w:r w:rsidRPr="00E9422F">
        <w:rPr>
          <w:rFonts w:asciiTheme="majorHAnsi" w:eastAsia="Times New Roman" w:hAnsiTheme="majorHAnsi" w:cs="Times New Roman"/>
          <w:sz w:val="24"/>
          <w:szCs w:val="24"/>
          <w:lang w:val="ro-MD"/>
        </w:rPr>
        <w:t xml:space="preserve">impactul esențial asupra încasărilor a fost modificarea prevederilor legale referitor la etichetarea produselor din tutun, care a </w:t>
      </w:r>
      <w:r w:rsidR="0003704D">
        <w:rPr>
          <w:rFonts w:asciiTheme="majorHAnsi" w:eastAsia="Times New Roman" w:hAnsiTheme="majorHAnsi" w:cs="Times New Roman"/>
          <w:sz w:val="24"/>
          <w:szCs w:val="24"/>
          <w:lang w:val="ro-MD"/>
        </w:rPr>
        <w:t>determinat</w:t>
      </w:r>
      <w:r w:rsidRPr="00E9422F">
        <w:rPr>
          <w:rFonts w:asciiTheme="majorHAnsi" w:eastAsia="Times New Roman" w:hAnsiTheme="majorHAnsi" w:cs="Times New Roman"/>
          <w:sz w:val="24"/>
          <w:szCs w:val="24"/>
          <w:lang w:val="ro-MD"/>
        </w:rPr>
        <w:t xml:space="preserve"> reducerea volumelor de import a produselor din tutun</w:t>
      </w:r>
      <w:r w:rsidR="0003704D">
        <w:rPr>
          <w:rFonts w:asciiTheme="majorHAnsi" w:eastAsia="Times New Roman" w:hAnsiTheme="majorHAnsi" w:cs="Times New Roman"/>
          <w:sz w:val="24"/>
          <w:szCs w:val="24"/>
          <w:lang w:val="ro-MD"/>
        </w:rPr>
        <w:t>;</w:t>
      </w:r>
    </w:p>
    <w:p w:rsidR="001E5A2A" w:rsidRPr="00E9422F" w:rsidRDefault="001E5A2A" w:rsidP="001E5A2A">
      <w:pPr>
        <w:pStyle w:val="ListParagraph"/>
        <w:numPr>
          <w:ilvl w:val="0"/>
          <w:numId w:val="8"/>
        </w:numPr>
        <w:tabs>
          <w:tab w:val="left" w:pos="1134"/>
        </w:tabs>
        <w:spacing w:after="0" w:line="276" w:lineRule="auto"/>
        <w:ind w:left="0" w:firstLine="709"/>
        <w:jc w:val="both"/>
        <w:rPr>
          <w:rFonts w:asciiTheme="majorHAnsi" w:eastAsia="Times New Roman" w:hAnsiTheme="majorHAnsi" w:cs="Times New Roman"/>
          <w:sz w:val="24"/>
          <w:szCs w:val="24"/>
          <w:lang w:val="ro-MD"/>
        </w:rPr>
      </w:pPr>
      <w:r w:rsidRPr="00E9422F">
        <w:rPr>
          <w:rFonts w:asciiTheme="majorHAnsi" w:eastAsia="Times New Roman" w:hAnsiTheme="majorHAnsi" w:cs="Times New Roman"/>
          <w:i/>
          <w:sz w:val="24"/>
          <w:szCs w:val="24"/>
          <w:lang w:val="ro-MD"/>
        </w:rPr>
        <w:lastRenderedPageBreak/>
        <w:t>la taxe</w:t>
      </w:r>
      <w:r w:rsidR="0003704D">
        <w:rPr>
          <w:rFonts w:asciiTheme="majorHAnsi" w:eastAsia="Times New Roman" w:hAnsiTheme="majorHAnsi" w:cs="Times New Roman"/>
          <w:i/>
          <w:sz w:val="24"/>
          <w:szCs w:val="24"/>
          <w:lang w:val="ro-MD"/>
        </w:rPr>
        <w:t>le</w:t>
      </w:r>
      <w:r w:rsidRPr="00E9422F">
        <w:rPr>
          <w:rFonts w:asciiTheme="majorHAnsi" w:eastAsia="Times New Roman" w:hAnsiTheme="majorHAnsi" w:cs="Times New Roman"/>
          <w:i/>
          <w:sz w:val="24"/>
          <w:szCs w:val="24"/>
          <w:lang w:val="ro-MD"/>
        </w:rPr>
        <w:t xml:space="preserve"> vamale și alte taxe de import (-56,6 mil. </w:t>
      </w:r>
      <w:r w:rsidR="007160B9">
        <w:rPr>
          <w:rFonts w:asciiTheme="majorHAnsi" w:eastAsia="Times New Roman" w:hAnsiTheme="majorHAnsi" w:cs="Times New Roman"/>
          <w:i/>
          <w:sz w:val="24"/>
          <w:szCs w:val="24"/>
          <w:lang w:val="ro-MD"/>
        </w:rPr>
        <w:t>MDL</w:t>
      </w:r>
      <w:r w:rsidRPr="00E9422F">
        <w:rPr>
          <w:rFonts w:asciiTheme="majorHAnsi" w:eastAsia="Times New Roman" w:hAnsiTheme="majorHAnsi" w:cs="Times New Roman"/>
          <w:i/>
          <w:sz w:val="24"/>
          <w:szCs w:val="24"/>
          <w:lang w:val="ro-MD"/>
        </w:rPr>
        <w:t xml:space="preserve">), </w:t>
      </w:r>
      <w:r w:rsidRPr="00E9422F">
        <w:rPr>
          <w:rFonts w:asciiTheme="majorHAnsi" w:eastAsia="Times New Roman" w:hAnsiTheme="majorHAnsi" w:cs="Times New Roman"/>
          <w:sz w:val="24"/>
          <w:szCs w:val="24"/>
          <w:lang w:val="ro-MD"/>
        </w:rPr>
        <w:t xml:space="preserve">au fost </w:t>
      </w:r>
      <w:r w:rsidR="0003704D">
        <w:rPr>
          <w:rFonts w:asciiTheme="majorHAnsi" w:eastAsia="Times New Roman" w:hAnsiTheme="majorHAnsi" w:cs="Times New Roman"/>
          <w:sz w:val="24"/>
          <w:szCs w:val="24"/>
          <w:lang w:val="ro-MD"/>
        </w:rPr>
        <w:t xml:space="preserve">influențate de </w:t>
      </w:r>
      <w:r w:rsidRPr="00E9422F">
        <w:rPr>
          <w:rFonts w:asciiTheme="majorHAnsi" w:eastAsia="Times New Roman" w:hAnsiTheme="majorHAnsi" w:cs="Times New Roman"/>
          <w:sz w:val="24"/>
          <w:szCs w:val="24"/>
          <w:lang w:val="ro-MD"/>
        </w:rPr>
        <w:t xml:space="preserve">fluctuația cursului de schimb și </w:t>
      </w:r>
      <w:r w:rsidR="0003704D">
        <w:rPr>
          <w:rFonts w:asciiTheme="majorHAnsi" w:eastAsia="Times New Roman" w:hAnsiTheme="majorHAnsi" w:cs="Times New Roman"/>
          <w:sz w:val="24"/>
          <w:szCs w:val="24"/>
          <w:lang w:val="ro-MD"/>
        </w:rPr>
        <w:t xml:space="preserve">de </w:t>
      </w:r>
      <w:r w:rsidRPr="00E9422F">
        <w:rPr>
          <w:rFonts w:asciiTheme="majorHAnsi" w:eastAsia="Times New Roman" w:hAnsiTheme="majorHAnsi" w:cs="Times New Roman"/>
          <w:sz w:val="24"/>
          <w:szCs w:val="24"/>
          <w:lang w:val="ro-MD"/>
        </w:rPr>
        <w:t>scutirile suplimentare de la taxa vamală, conform Acordului încheiat la mărfurile importate din Turcia</w:t>
      </w:r>
      <w:r w:rsidR="0003704D">
        <w:rPr>
          <w:rFonts w:asciiTheme="majorHAnsi" w:eastAsia="Times New Roman" w:hAnsiTheme="majorHAnsi" w:cs="Times New Roman"/>
          <w:sz w:val="24"/>
          <w:szCs w:val="24"/>
          <w:lang w:val="ro-MD"/>
        </w:rPr>
        <w:t>;</w:t>
      </w:r>
    </w:p>
    <w:p w:rsidR="001E5A2A" w:rsidRPr="00F44BC1" w:rsidRDefault="001E5A2A" w:rsidP="001E5A2A">
      <w:pPr>
        <w:pStyle w:val="ListParagraph"/>
        <w:numPr>
          <w:ilvl w:val="0"/>
          <w:numId w:val="8"/>
        </w:numPr>
        <w:tabs>
          <w:tab w:val="left" w:pos="1134"/>
        </w:tabs>
        <w:spacing w:after="0" w:line="276" w:lineRule="auto"/>
        <w:ind w:left="0" w:firstLine="709"/>
        <w:jc w:val="both"/>
        <w:rPr>
          <w:rFonts w:asciiTheme="majorHAnsi" w:eastAsia="Times New Roman" w:hAnsiTheme="majorHAnsi" w:cs="Times New Roman"/>
          <w:sz w:val="24"/>
          <w:szCs w:val="24"/>
          <w:lang w:val="ro-MD"/>
        </w:rPr>
      </w:pPr>
      <w:r w:rsidRPr="00E9422F">
        <w:rPr>
          <w:rFonts w:asciiTheme="majorHAnsi" w:eastAsia="Times New Roman" w:hAnsiTheme="majorHAnsi" w:cs="Times New Roman"/>
          <w:i/>
          <w:sz w:val="24"/>
          <w:szCs w:val="24"/>
          <w:lang w:val="ro-MD"/>
        </w:rPr>
        <w:t>la plăți</w:t>
      </w:r>
      <w:r w:rsidR="0003704D">
        <w:rPr>
          <w:rFonts w:asciiTheme="majorHAnsi" w:eastAsia="Times New Roman" w:hAnsiTheme="majorHAnsi" w:cs="Times New Roman"/>
          <w:i/>
          <w:sz w:val="24"/>
          <w:szCs w:val="24"/>
          <w:lang w:val="ro-MD"/>
        </w:rPr>
        <w:t>le</w:t>
      </w:r>
      <w:r w:rsidRPr="00E9422F">
        <w:rPr>
          <w:rFonts w:asciiTheme="majorHAnsi" w:eastAsia="Times New Roman" w:hAnsiTheme="majorHAnsi" w:cs="Times New Roman"/>
          <w:i/>
          <w:sz w:val="24"/>
          <w:szCs w:val="24"/>
          <w:lang w:val="ro-MD"/>
        </w:rPr>
        <w:t xml:space="preserve"> pentru poluarea mediului (-30,9 mil. </w:t>
      </w:r>
      <w:r w:rsidR="007160B9">
        <w:rPr>
          <w:rFonts w:asciiTheme="majorHAnsi" w:eastAsia="Times New Roman" w:hAnsiTheme="majorHAnsi" w:cs="Times New Roman"/>
          <w:i/>
          <w:sz w:val="24"/>
          <w:szCs w:val="24"/>
          <w:lang w:val="ro-MD"/>
        </w:rPr>
        <w:t>MDL</w:t>
      </w:r>
      <w:r w:rsidRPr="00E9422F">
        <w:rPr>
          <w:rFonts w:asciiTheme="majorHAnsi" w:eastAsia="Times New Roman" w:hAnsiTheme="majorHAnsi" w:cs="Times New Roman"/>
          <w:i/>
          <w:sz w:val="24"/>
          <w:szCs w:val="24"/>
          <w:lang w:val="ro-MD"/>
        </w:rPr>
        <w:t>),</w:t>
      </w:r>
      <w:r w:rsidRPr="00E9422F">
        <w:rPr>
          <w:rFonts w:asciiTheme="majorHAnsi" w:eastAsia="Times New Roman" w:hAnsiTheme="majorHAnsi" w:cs="Times New Roman"/>
          <w:sz w:val="24"/>
          <w:szCs w:val="24"/>
          <w:lang w:val="ro-MD"/>
        </w:rPr>
        <w:t xml:space="preserve"> diminuarea încasărilor a fost condiționată de modificările legislative, care stabilesc ca obiect al impunerii cu taxa respectivă a ambalajului primar și introducerea unui șir de scutiri</w:t>
      </w:r>
      <w:r>
        <w:rPr>
          <w:rFonts w:asciiTheme="majorHAnsi" w:eastAsia="Times New Roman" w:hAnsiTheme="majorHAnsi" w:cs="Times New Roman"/>
          <w:sz w:val="24"/>
          <w:szCs w:val="24"/>
          <w:lang w:val="ro-MD"/>
        </w:rPr>
        <w:t xml:space="preserve"> care au influențat diminuarea obligației fiscale</w:t>
      </w:r>
      <w:r w:rsidRPr="00E9422F">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Termenul de achitare și declarare a plăților pentru emisiile de poluanți a fost schimbat</w:t>
      </w:r>
      <w:r w:rsidR="000256D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din lunar în anual, până la data de 25 a lunii februarie a anului de gestiune etc.</w:t>
      </w:r>
    </w:p>
    <w:p w:rsidR="00E00DCC" w:rsidRPr="00541102" w:rsidRDefault="00E00DCC" w:rsidP="00A5492F">
      <w:pPr>
        <w:spacing w:after="0" w:line="276" w:lineRule="auto"/>
        <w:ind w:firstLine="709"/>
        <w:jc w:val="both"/>
        <w:rPr>
          <w:rFonts w:asciiTheme="majorHAnsi" w:eastAsia="Times New Roman" w:hAnsiTheme="majorHAnsi" w:cstheme="majorHAnsi"/>
          <w:sz w:val="24"/>
          <w:szCs w:val="24"/>
          <w:lang w:val="ro-MD"/>
        </w:rPr>
      </w:pPr>
      <w:r>
        <w:rPr>
          <w:rFonts w:asciiTheme="majorHAnsi" w:hAnsiTheme="majorHAnsi" w:cstheme="majorHAnsi"/>
          <w:color w:val="000000"/>
          <w:sz w:val="24"/>
          <w:szCs w:val="24"/>
          <w:lang w:eastAsia="ro-RO" w:bidi="ro-RO"/>
        </w:rPr>
        <w:t>P</w:t>
      </w:r>
      <w:r w:rsidRPr="00997D20">
        <w:rPr>
          <w:rFonts w:asciiTheme="majorHAnsi" w:hAnsiTheme="majorHAnsi" w:cstheme="majorHAnsi"/>
          <w:color w:val="000000"/>
          <w:sz w:val="24"/>
          <w:szCs w:val="24"/>
          <w:lang w:eastAsia="ro-RO" w:bidi="ro-RO"/>
        </w:rPr>
        <w:t>e parcursul anului 2018</w:t>
      </w:r>
      <w:r>
        <w:rPr>
          <w:rFonts w:asciiTheme="majorHAnsi" w:hAnsiTheme="majorHAnsi" w:cstheme="majorHAnsi"/>
          <w:color w:val="000000"/>
          <w:sz w:val="24"/>
          <w:szCs w:val="24"/>
          <w:lang w:eastAsia="ro-RO" w:bidi="ro-RO"/>
        </w:rPr>
        <w:t>,</w:t>
      </w:r>
      <w:r w:rsidRPr="00997D20">
        <w:rPr>
          <w:rFonts w:asciiTheme="majorHAnsi" w:hAnsiTheme="majorHAnsi" w:cstheme="majorHAnsi"/>
          <w:color w:val="000000"/>
          <w:sz w:val="24"/>
          <w:szCs w:val="24"/>
          <w:lang w:eastAsia="ro-RO" w:bidi="ro-RO"/>
        </w:rPr>
        <w:t xml:space="preserve"> au fost aprobate o serie de Hotărâri de Guvern cu privire la reorgani</w:t>
      </w:r>
      <w:r>
        <w:rPr>
          <w:rFonts w:asciiTheme="majorHAnsi" w:hAnsiTheme="majorHAnsi" w:cstheme="majorHAnsi"/>
          <w:color w:val="000000"/>
          <w:sz w:val="24"/>
          <w:szCs w:val="24"/>
          <w:lang w:eastAsia="ro-RO" w:bidi="ro-RO"/>
        </w:rPr>
        <w:t xml:space="preserve">zarea întreprinderilor de stat și </w:t>
      </w:r>
      <w:r w:rsidRPr="00997D20">
        <w:rPr>
          <w:rFonts w:asciiTheme="majorHAnsi" w:hAnsiTheme="majorHAnsi" w:cstheme="majorHAnsi"/>
          <w:color w:val="000000"/>
          <w:sz w:val="24"/>
          <w:szCs w:val="24"/>
          <w:lang w:eastAsia="ro-RO" w:bidi="ro-RO"/>
        </w:rPr>
        <w:t>societăților pe acțiuni în alte forme juridice de organizare.</w:t>
      </w:r>
      <w:r>
        <w:rPr>
          <w:rFonts w:asciiTheme="majorHAnsi" w:hAnsiTheme="majorHAnsi" w:cstheme="majorHAnsi"/>
          <w:color w:val="000000"/>
          <w:sz w:val="24"/>
          <w:szCs w:val="24"/>
          <w:lang w:eastAsia="ro-RO" w:bidi="ro-RO"/>
        </w:rPr>
        <w:t xml:space="preserve"> MF</w:t>
      </w:r>
      <w:r w:rsidRPr="00541102">
        <w:rPr>
          <w:rFonts w:asciiTheme="majorHAnsi" w:hAnsiTheme="majorHAnsi" w:cstheme="majorHAnsi"/>
          <w:color w:val="000000"/>
          <w:sz w:val="24"/>
          <w:szCs w:val="24"/>
          <w:lang w:eastAsia="ro-RO" w:bidi="ro-RO"/>
        </w:rPr>
        <w:t xml:space="preserve"> efectuează </w:t>
      </w:r>
      <w:proofErr w:type="spellStart"/>
      <w:r w:rsidRPr="00541102">
        <w:rPr>
          <w:rFonts w:asciiTheme="majorHAnsi" w:hAnsiTheme="majorHAnsi" w:cstheme="majorHAnsi"/>
          <w:color w:val="000000"/>
          <w:sz w:val="24"/>
          <w:szCs w:val="24"/>
          <w:lang w:eastAsia="ro-RO" w:bidi="ro-RO"/>
        </w:rPr>
        <w:t>monitoringul</w:t>
      </w:r>
      <w:proofErr w:type="spellEnd"/>
      <w:r w:rsidRPr="00541102">
        <w:rPr>
          <w:rFonts w:asciiTheme="majorHAnsi" w:hAnsiTheme="majorHAnsi" w:cstheme="majorHAnsi"/>
          <w:color w:val="000000"/>
          <w:sz w:val="24"/>
          <w:szCs w:val="24"/>
          <w:lang w:eastAsia="ro-RO" w:bidi="ro-RO"/>
        </w:rPr>
        <w:t xml:space="preserve"> financiar al activității </w:t>
      </w:r>
      <w:proofErr w:type="spellStart"/>
      <w:r w:rsidRPr="00541102">
        <w:rPr>
          <w:rFonts w:asciiTheme="majorHAnsi" w:hAnsiTheme="majorHAnsi" w:cstheme="majorHAnsi"/>
          <w:color w:val="000000"/>
          <w:sz w:val="24"/>
          <w:szCs w:val="24"/>
          <w:lang w:eastAsia="ro-RO" w:bidi="ro-RO"/>
        </w:rPr>
        <w:t>economico</w:t>
      </w:r>
      <w:proofErr w:type="spellEnd"/>
      <w:r w:rsidRPr="00541102">
        <w:rPr>
          <w:rFonts w:asciiTheme="majorHAnsi" w:hAnsiTheme="majorHAnsi" w:cstheme="majorHAnsi"/>
          <w:color w:val="000000"/>
          <w:sz w:val="24"/>
          <w:szCs w:val="24"/>
          <w:lang w:eastAsia="ro-RO" w:bidi="ro-RO"/>
        </w:rPr>
        <w:t xml:space="preserve">-financiare a întreprinderilor de stat și societăților comerciale cu capital integral sau majoritar de stat, în vederea obținerii unei imagini pertinente cu privire la situația </w:t>
      </w:r>
      <w:proofErr w:type="spellStart"/>
      <w:r w:rsidRPr="00541102">
        <w:rPr>
          <w:rFonts w:asciiTheme="majorHAnsi" w:hAnsiTheme="majorHAnsi" w:cstheme="majorHAnsi"/>
          <w:color w:val="000000"/>
          <w:sz w:val="24"/>
          <w:szCs w:val="24"/>
          <w:lang w:eastAsia="ro-RO" w:bidi="ro-RO"/>
        </w:rPr>
        <w:t>economico</w:t>
      </w:r>
      <w:proofErr w:type="spellEnd"/>
      <w:r w:rsidRPr="00541102">
        <w:rPr>
          <w:rFonts w:asciiTheme="majorHAnsi" w:hAnsiTheme="majorHAnsi" w:cstheme="majorHAnsi"/>
          <w:color w:val="000000"/>
          <w:sz w:val="24"/>
          <w:szCs w:val="24"/>
          <w:lang w:eastAsia="ro-RO" w:bidi="ro-RO"/>
        </w:rPr>
        <w:t>-financiară a entităților cu capital de stat, precum și cu privire la riscurile bugetar-fiscale aferente activității acestora.</w:t>
      </w:r>
      <w:r w:rsidRPr="00997D20">
        <w:rPr>
          <w:rFonts w:ascii="Times New Roman" w:eastAsia="Times New Roman" w:hAnsi="Times New Roman" w:cs="Times New Roman"/>
          <w:color w:val="000000"/>
          <w:sz w:val="28"/>
          <w:szCs w:val="28"/>
          <w:lang w:eastAsia="ro-RO" w:bidi="ro-RO"/>
        </w:rPr>
        <w:t xml:space="preserve"> </w:t>
      </w:r>
    </w:p>
    <w:p w:rsidR="00E00DCC" w:rsidRDefault="00E00DCC" w:rsidP="00E00DCC">
      <w:pPr>
        <w:spacing w:after="0" w:line="276" w:lineRule="auto"/>
        <w:ind w:firstLine="709"/>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În anul 2018, s</w:t>
      </w:r>
      <w:r w:rsidRPr="00C4398E">
        <w:rPr>
          <w:rFonts w:asciiTheme="majorHAnsi" w:eastAsia="Times New Roman" w:hAnsiTheme="majorHAnsi" w:cstheme="majorHAnsi"/>
          <w:sz w:val="24"/>
          <w:szCs w:val="24"/>
          <w:lang w:val="ro-MD"/>
        </w:rPr>
        <w:t xml:space="preserve">ocietățile pe acțiuni și întreprinderile de stat au transferat la BS </w:t>
      </w:r>
      <w:r>
        <w:rPr>
          <w:rFonts w:asciiTheme="majorHAnsi" w:eastAsia="Times New Roman" w:hAnsiTheme="majorHAnsi" w:cstheme="majorHAnsi"/>
          <w:sz w:val="24"/>
          <w:szCs w:val="24"/>
          <w:lang w:val="ro-MD"/>
        </w:rPr>
        <w:t xml:space="preserve">dividende în valoare de 152,6 mil. </w:t>
      </w:r>
      <w:r w:rsidR="007160B9">
        <w:rPr>
          <w:rFonts w:asciiTheme="majorHAnsi" w:eastAsia="Times New Roman" w:hAnsiTheme="majorHAnsi" w:cstheme="majorHAnsi"/>
          <w:sz w:val="24"/>
          <w:szCs w:val="24"/>
          <w:lang w:val="ro-MD"/>
        </w:rPr>
        <w:t>MDL</w:t>
      </w:r>
      <w:r>
        <w:rPr>
          <w:rFonts w:asciiTheme="majorHAnsi" w:eastAsia="Times New Roman" w:hAnsiTheme="majorHAnsi" w:cstheme="majorHAnsi"/>
          <w:sz w:val="24"/>
          <w:szCs w:val="24"/>
          <w:lang w:val="ro-MD"/>
        </w:rPr>
        <w:t xml:space="preserve"> și defalcări a</w:t>
      </w:r>
      <w:r w:rsidR="000256DC">
        <w:rPr>
          <w:rFonts w:asciiTheme="majorHAnsi" w:eastAsia="Times New Roman" w:hAnsiTheme="majorHAnsi" w:cstheme="majorHAnsi"/>
          <w:sz w:val="24"/>
          <w:szCs w:val="24"/>
          <w:lang w:val="ro-MD"/>
        </w:rPr>
        <w:t>le</w:t>
      </w:r>
      <w:r>
        <w:rPr>
          <w:rFonts w:asciiTheme="majorHAnsi" w:eastAsia="Times New Roman" w:hAnsiTheme="majorHAnsi" w:cstheme="majorHAnsi"/>
          <w:sz w:val="24"/>
          <w:szCs w:val="24"/>
          <w:lang w:val="ro-MD"/>
        </w:rPr>
        <w:t xml:space="preserve"> profitului net</w:t>
      </w:r>
      <w:r w:rsidR="00793C62">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în sumă de 50,0 mil. </w:t>
      </w:r>
      <w:r w:rsidR="007160B9">
        <w:rPr>
          <w:rFonts w:asciiTheme="majorHAnsi" w:eastAsia="Times New Roman" w:hAnsiTheme="majorHAnsi" w:cstheme="majorHAnsi"/>
          <w:sz w:val="24"/>
          <w:szCs w:val="24"/>
          <w:lang w:val="ro-MD"/>
        </w:rPr>
        <w:t>MDL</w:t>
      </w:r>
      <w:r w:rsidRPr="00C4398E">
        <w:rPr>
          <w:rFonts w:asciiTheme="majorHAnsi" w:eastAsia="Times New Roman" w:hAnsiTheme="majorHAnsi" w:cstheme="majorHAnsi"/>
          <w:sz w:val="24"/>
          <w:szCs w:val="24"/>
          <w:lang w:val="ro-MD"/>
        </w:rPr>
        <w:t xml:space="preserve">, conform deciziilor luate de consiliile de administrare. </w:t>
      </w:r>
    </w:p>
    <w:p w:rsidR="00E00DCC" w:rsidRPr="00C4398E" w:rsidRDefault="00E00DCC" w:rsidP="00E00DCC">
      <w:pPr>
        <w:spacing w:after="0" w:line="276" w:lineRule="auto"/>
        <w:ind w:firstLine="709"/>
        <w:jc w:val="both"/>
        <w:rPr>
          <w:rFonts w:asciiTheme="majorHAnsi" w:eastAsia="Times New Roman" w:hAnsiTheme="majorHAnsi" w:cstheme="majorHAnsi"/>
          <w:sz w:val="24"/>
          <w:szCs w:val="24"/>
          <w:lang w:val="ro-MD"/>
        </w:rPr>
      </w:pPr>
      <w:r w:rsidRPr="00C4398E">
        <w:rPr>
          <w:rFonts w:asciiTheme="majorHAnsi" w:eastAsia="Times New Roman" w:hAnsiTheme="majorHAnsi" w:cstheme="majorHAnsi"/>
          <w:sz w:val="24"/>
          <w:szCs w:val="24"/>
          <w:lang w:val="ro-MD"/>
        </w:rPr>
        <w:t>Indicatorii raportați la executarea mijloacelor provenite din dividendele primite de la cota</w:t>
      </w:r>
      <w:r w:rsidR="000256DC">
        <w:rPr>
          <w:rFonts w:asciiTheme="majorHAnsi" w:eastAsia="Times New Roman" w:hAnsiTheme="majorHAnsi" w:cstheme="majorHAnsi"/>
          <w:sz w:val="24"/>
          <w:szCs w:val="24"/>
          <w:lang w:val="ro-MD"/>
        </w:rPr>
        <w:t>-</w:t>
      </w:r>
      <w:r w:rsidRPr="00C4398E">
        <w:rPr>
          <w:rFonts w:asciiTheme="majorHAnsi" w:eastAsia="Times New Roman" w:hAnsiTheme="majorHAnsi" w:cstheme="majorHAnsi"/>
          <w:sz w:val="24"/>
          <w:szCs w:val="24"/>
          <w:lang w:val="ro-MD"/>
        </w:rPr>
        <w:t xml:space="preserve"> parte a proprietății publice în societățile pe acțiuni (cod 141221) relevă </w:t>
      </w:r>
      <w:proofErr w:type="spellStart"/>
      <w:r w:rsidRPr="00C4398E">
        <w:rPr>
          <w:rFonts w:asciiTheme="majorHAnsi" w:eastAsia="Times New Roman" w:hAnsiTheme="majorHAnsi" w:cstheme="majorHAnsi"/>
          <w:sz w:val="24"/>
          <w:szCs w:val="24"/>
          <w:lang w:val="ro-MD"/>
        </w:rPr>
        <w:t>supraîncasarea</w:t>
      </w:r>
      <w:proofErr w:type="spellEnd"/>
      <w:r w:rsidRPr="00C4398E">
        <w:rPr>
          <w:rFonts w:asciiTheme="majorHAnsi" w:eastAsia="Times New Roman" w:hAnsiTheme="majorHAnsi" w:cstheme="majorHAnsi"/>
          <w:sz w:val="24"/>
          <w:szCs w:val="24"/>
          <w:lang w:val="ro-MD"/>
        </w:rPr>
        <w:t xml:space="preserve"> cu 97,6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C4398E">
        <w:rPr>
          <w:rFonts w:asciiTheme="majorHAnsi" w:eastAsia="Times New Roman" w:hAnsiTheme="majorHAnsi" w:cstheme="majorHAnsi"/>
          <w:sz w:val="24"/>
          <w:szCs w:val="24"/>
          <w:lang w:val="ro-MD"/>
        </w:rPr>
        <w:t xml:space="preserve"> (+277,5%)</w:t>
      </w:r>
      <w:r w:rsidR="000256DC">
        <w:rPr>
          <w:rFonts w:asciiTheme="majorHAnsi" w:eastAsia="Times New Roman" w:hAnsiTheme="majorHAnsi" w:cstheme="majorHAnsi"/>
          <w:sz w:val="24"/>
          <w:szCs w:val="24"/>
          <w:lang w:val="ro-MD"/>
        </w:rPr>
        <w:t xml:space="preserve">. </w:t>
      </w:r>
      <w:r w:rsidR="00000D21">
        <w:rPr>
          <w:rFonts w:asciiTheme="majorHAnsi" w:eastAsia="Times New Roman" w:hAnsiTheme="majorHAnsi" w:cstheme="majorHAnsi"/>
          <w:sz w:val="24"/>
          <w:szCs w:val="24"/>
          <w:lang w:val="ro-MD"/>
        </w:rPr>
        <w:t>La fel</w:t>
      </w:r>
      <w:r w:rsidRPr="00C4398E">
        <w:rPr>
          <w:rFonts w:asciiTheme="majorHAnsi" w:eastAsia="Times New Roman" w:hAnsiTheme="majorHAnsi" w:cstheme="majorHAnsi"/>
          <w:sz w:val="24"/>
          <w:szCs w:val="24"/>
          <w:lang w:val="ro-MD"/>
        </w:rPr>
        <w:t xml:space="preserve">, </w:t>
      </w:r>
      <w:r w:rsidR="00000D21">
        <w:rPr>
          <w:rFonts w:asciiTheme="majorHAnsi" w:eastAsia="Times New Roman" w:hAnsiTheme="majorHAnsi" w:cstheme="majorHAnsi"/>
          <w:sz w:val="24"/>
          <w:szCs w:val="24"/>
          <w:lang w:val="ro-MD"/>
        </w:rPr>
        <w:t xml:space="preserve">și </w:t>
      </w:r>
      <w:r w:rsidRPr="00C4398E">
        <w:rPr>
          <w:rFonts w:asciiTheme="majorHAnsi" w:eastAsia="Times New Roman" w:hAnsiTheme="majorHAnsi" w:cstheme="majorHAnsi"/>
          <w:sz w:val="24"/>
          <w:szCs w:val="24"/>
          <w:lang w:val="ro-MD"/>
        </w:rPr>
        <w:t>la defalcările din profitul net al întreprinderilor de stat (cod 141231) s-au încasat cu 33,5 mil.</w:t>
      </w:r>
      <w:r w:rsidR="00000D21">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C4398E">
        <w:rPr>
          <w:rFonts w:asciiTheme="majorHAnsi" w:eastAsia="Times New Roman" w:hAnsiTheme="majorHAnsi" w:cstheme="majorHAnsi"/>
          <w:sz w:val="24"/>
          <w:szCs w:val="24"/>
          <w:lang w:val="ro-MD"/>
        </w:rPr>
        <w:t xml:space="preserve"> (+303,3%) mai mult decât nivelul precizat (16,5 mil. </w:t>
      </w:r>
      <w:r w:rsidR="007160B9">
        <w:rPr>
          <w:rFonts w:asciiTheme="majorHAnsi" w:eastAsia="Times New Roman" w:hAnsiTheme="majorHAnsi" w:cstheme="majorHAnsi"/>
          <w:sz w:val="24"/>
          <w:szCs w:val="24"/>
          <w:lang w:val="ro-MD"/>
        </w:rPr>
        <w:t>MDL</w:t>
      </w:r>
      <w:r w:rsidRPr="00C4398E">
        <w:rPr>
          <w:rFonts w:asciiTheme="majorHAnsi" w:eastAsia="Times New Roman" w:hAnsiTheme="majorHAnsi" w:cstheme="majorHAnsi"/>
          <w:sz w:val="24"/>
          <w:szCs w:val="24"/>
          <w:lang w:val="ro-MD"/>
        </w:rPr>
        <w:t xml:space="preserve">). Verificările auditului referitor la precizia indicatorilor estimați și conformitatea raportării nivelului de execuție </w:t>
      </w:r>
      <w:r>
        <w:rPr>
          <w:rFonts w:asciiTheme="majorHAnsi" w:eastAsia="Times New Roman" w:hAnsiTheme="majorHAnsi" w:cstheme="majorHAnsi"/>
          <w:sz w:val="24"/>
          <w:szCs w:val="24"/>
          <w:lang w:val="ro-MD"/>
        </w:rPr>
        <w:t xml:space="preserve">la aceste 2 tipuri de venituri </w:t>
      </w:r>
      <w:r w:rsidRPr="00C4398E">
        <w:rPr>
          <w:rFonts w:asciiTheme="majorHAnsi" w:eastAsia="Times New Roman" w:hAnsiTheme="majorHAnsi" w:cstheme="majorHAnsi"/>
          <w:sz w:val="24"/>
          <w:szCs w:val="24"/>
          <w:lang w:val="ro-MD"/>
        </w:rPr>
        <w:t xml:space="preserve">remarcă că estimările sumelor aferente dividendelor și defalcărilor din profitul net incluse în </w:t>
      </w:r>
      <w:r>
        <w:rPr>
          <w:rFonts w:asciiTheme="majorHAnsi" w:eastAsia="Times New Roman" w:hAnsiTheme="majorHAnsi" w:cstheme="majorHAnsi"/>
          <w:sz w:val="24"/>
          <w:szCs w:val="24"/>
          <w:lang w:val="ro-MD"/>
        </w:rPr>
        <w:t>BS</w:t>
      </w:r>
      <w:r w:rsidR="00AD2D43">
        <w:rPr>
          <w:rFonts w:asciiTheme="majorHAnsi" w:eastAsia="Times New Roman" w:hAnsiTheme="majorHAnsi" w:cstheme="majorHAnsi"/>
          <w:sz w:val="24"/>
          <w:szCs w:val="24"/>
          <w:lang w:val="ro-MD"/>
        </w:rPr>
        <w:t xml:space="preserve"> su</w:t>
      </w:r>
      <w:r w:rsidRPr="00C4398E">
        <w:rPr>
          <w:rFonts w:asciiTheme="majorHAnsi" w:eastAsia="Times New Roman" w:hAnsiTheme="majorHAnsi" w:cstheme="majorHAnsi"/>
          <w:sz w:val="24"/>
          <w:szCs w:val="24"/>
          <w:lang w:val="ro-MD"/>
        </w:rPr>
        <w:t xml:space="preserve">nt prezentate de către </w:t>
      </w:r>
      <w:r w:rsidR="00AD2D43">
        <w:rPr>
          <w:rFonts w:asciiTheme="majorHAnsi" w:eastAsia="Times New Roman" w:hAnsiTheme="majorHAnsi" w:cstheme="majorHAnsi"/>
          <w:sz w:val="24"/>
          <w:szCs w:val="24"/>
          <w:lang w:val="ro-MD"/>
        </w:rPr>
        <w:t>MEI</w:t>
      </w:r>
      <w:r>
        <w:rPr>
          <w:rFonts w:asciiTheme="majorHAnsi" w:eastAsia="Times New Roman" w:hAnsiTheme="majorHAnsi" w:cstheme="majorHAnsi"/>
          <w:sz w:val="24"/>
          <w:szCs w:val="24"/>
          <w:lang w:val="ro-MD"/>
        </w:rPr>
        <w:t xml:space="preserve"> fără a fi luată în</w:t>
      </w:r>
      <w:r w:rsidRPr="00C4398E">
        <w:rPr>
          <w:rFonts w:asciiTheme="majorHAnsi" w:eastAsia="Times New Roman" w:hAnsiTheme="majorHAnsi" w:cstheme="majorHAnsi"/>
          <w:sz w:val="24"/>
          <w:szCs w:val="24"/>
          <w:lang w:val="ro-MD"/>
        </w:rPr>
        <w:t xml:space="preserve"> considerare suma</w:t>
      </w:r>
      <w:r>
        <w:rPr>
          <w:rFonts w:asciiTheme="majorHAnsi" w:eastAsia="Times New Roman" w:hAnsiTheme="majorHAnsi" w:cstheme="majorHAnsi"/>
          <w:sz w:val="24"/>
          <w:szCs w:val="24"/>
          <w:lang w:val="ro-MD"/>
        </w:rPr>
        <w:t xml:space="preserve"> executată în anul precedent. </w:t>
      </w:r>
      <w:r w:rsidR="002D7B9F">
        <w:rPr>
          <w:rFonts w:asciiTheme="majorHAnsi" w:eastAsia="Times New Roman" w:hAnsiTheme="majorHAnsi" w:cstheme="majorHAnsi"/>
          <w:sz w:val="24"/>
          <w:szCs w:val="24"/>
          <w:lang w:val="ro-MD"/>
        </w:rPr>
        <w:t>De asemenea, s</w:t>
      </w:r>
      <w:r>
        <w:rPr>
          <w:rFonts w:asciiTheme="majorHAnsi" w:eastAsia="Times New Roman" w:hAnsiTheme="majorHAnsi" w:cstheme="majorHAnsi"/>
          <w:sz w:val="24"/>
          <w:szCs w:val="24"/>
          <w:lang w:val="ro-MD"/>
        </w:rPr>
        <w:t xml:space="preserve">e atestă că acesta </w:t>
      </w:r>
      <w:r w:rsidRPr="00C4398E">
        <w:rPr>
          <w:rFonts w:asciiTheme="majorHAnsi" w:eastAsia="Times New Roman" w:hAnsiTheme="majorHAnsi" w:cstheme="majorHAnsi"/>
          <w:sz w:val="24"/>
          <w:szCs w:val="24"/>
          <w:lang w:val="ro-MD"/>
        </w:rPr>
        <w:t>nu a monitorizat suficient situația aferentă defalcărilor din pr</w:t>
      </w:r>
      <w:r>
        <w:rPr>
          <w:rFonts w:asciiTheme="majorHAnsi" w:eastAsia="Times New Roman" w:hAnsiTheme="majorHAnsi" w:cstheme="majorHAnsi"/>
          <w:sz w:val="24"/>
          <w:szCs w:val="24"/>
          <w:lang w:val="ro-MD"/>
        </w:rPr>
        <w:t>ofitul net și dividendelor, fapt care</w:t>
      </w:r>
      <w:r w:rsidRPr="00C4398E">
        <w:rPr>
          <w:rFonts w:asciiTheme="majorHAnsi" w:eastAsia="Times New Roman" w:hAnsiTheme="majorHAnsi" w:cstheme="majorHAnsi"/>
          <w:sz w:val="24"/>
          <w:szCs w:val="24"/>
          <w:lang w:val="ro-MD"/>
        </w:rPr>
        <w:t xml:space="preserve"> a determinat aprobarea prognozelor nereale la aceste 2 tipuri de venituri. </w:t>
      </w:r>
    </w:p>
    <w:p w:rsidR="00E00DCC" w:rsidRDefault="00E00DCC" w:rsidP="00E00DCC">
      <w:pPr>
        <w:spacing w:after="0" w:line="276" w:lineRule="auto"/>
        <w:ind w:firstLine="709"/>
        <w:jc w:val="both"/>
        <w:rPr>
          <w:rFonts w:asciiTheme="majorHAnsi" w:eastAsia="Times New Roman" w:hAnsiTheme="majorHAnsi" w:cstheme="majorHAnsi"/>
          <w:sz w:val="24"/>
          <w:szCs w:val="24"/>
          <w:lang w:val="ro-MD"/>
        </w:rPr>
      </w:pPr>
      <w:r w:rsidRPr="00C4398E">
        <w:rPr>
          <w:rFonts w:asciiTheme="majorHAnsi" w:eastAsia="Times New Roman" w:hAnsiTheme="majorHAnsi" w:cstheme="majorHAnsi"/>
          <w:sz w:val="24"/>
          <w:szCs w:val="24"/>
          <w:lang w:val="ro-MD"/>
        </w:rPr>
        <w:t xml:space="preserve">Auditul a analizat </w:t>
      </w:r>
      <w:r w:rsidR="00000D21">
        <w:rPr>
          <w:rFonts w:asciiTheme="majorHAnsi" w:eastAsia="Times New Roman" w:hAnsiTheme="majorHAnsi" w:cstheme="majorHAnsi"/>
          <w:sz w:val="24"/>
          <w:szCs w:val="24"/>
          <w:lang w:val="ro-MD"/>
        </w:rPr>
        <w:t xml:space="preserve">și </w:t>
      </w:r>
      <w:r w:rsidRPr="00C4398E">
        <w:rPr>
          <w:rFonts w:asciiTheme="majorHAnsi" w:eastAsia="Times New Roman" w:hAnsiTheme="majorHAnsi" w:cstheme="majorHAnsi"/>
          <w:sz w:val="24"/>
          <w:szCs w:val="24"/>
          <w:lang w:val="ro-MD"/>
        </w:rPr>
        <w:t>informațiile</w:t>
      </w:r>
      <w:r w:rsidR="00000D21">
        <w:rPr>
          <w:rFonts w:asciiTheme="majorHAnsi" w:eastAsia="Times New Roman" w:hAnsiTheme="majorHAnsi" w:cstheme="majorHAnsi"/>
          <w:sz w:val="24"/>
          <w:szCs w:val="24"/>
          <w:lang w:val="ro-MD"/>
        </w:rPr>
        <w:t>,</w:t>
      </w:r>
      <w:r w:rsidRPr="00C4398E">
        <w:rPr>
          <w:rFonts w:asciiTheme="majorHAnsi" w:eastAsia="Times New Roman" w:hAnsiTheme="majorHAnsi" w:cstheme="majorHAnsi"/>
          <w:sz w:val="24"/>
          <w:szCs w:val="24"/>
          <w:lang w:val="ro-MD"/>
        </w:rPr>
        <w:t xml:space="preserve"> prezentate de către SFS la MF, cu privire la sumele calculate, stinse (achitate) și restante aferente SA și ÎS pentru anul precedent, și relevă că au fost achitate plăți în plus (avansuri) în sumă totală de 3,9 mil. </w:t>
      </w:r>
      <w:r w:rsidR="007160B9">
        <w:rPr>
          <w:rFonts w:asciiTheme="majorHAnsi" w:eastAsia="Times New Roman" w:hAnsiTheme="majorHAnsi" w:cstheme="majorHAnsi"/>
          <w:sz w:val="24"/>
          <w:szCs w:val="24"/>
          <w:lang w:val="ro-MD"/>
        </w:rPr>
        <w:t>MDL</w:t>
      </w:r>
      <w:r w:rsidR="006A7CDF">
        <w:rPr>
          <w:rFonts w:asciiTheme="majorHAnsi" w:eastAsia="Times New Roman" w:hAnsiTheme="majorHAnsi" w:cstheme="majorHAnsi"/>
          <w:sz w:val="24"/>
          <w:szCs w:val="24"/>
          <w:lang w:val="ro-MD"/>
        </w:rPr>
        <w:t>,</w:t>
      </w:r>
      <w:r w:rsidRPr="00C4398E">
        <w:rPr>
          <w:rFonts w:asciiTheme="majorHAnsi" w:eastAsia="Times New Roman" w:hAnsiTheme="majorHAnsi" w:cstheme="majorHAnsi"/>
          <w:sz w:val="24"/>
          <w:szCs w:val="24"/>
          <w:lang w:val="ro-MD"/>
        </w:rPr>
        <w:t xml:space="preserve"> din care </w:t>
      </w:r>
      <w:r w:rsidR="006B3E58">
        <w:rPr>
          <w:rFonts w:asciiTheme="majorHAnsi" w:eastAsia="Times New Roman" w:hAnsiTheme="majorHAnsi" w:cstheme="majorHAnsi"/>
          <w:sz w:val="24"/>
          <w:szCs w:val="24"/>
          <w:lang w:val="ro-MD"/>
        </w:rPr>
        <w:t xml:space="preserve">aferente </w:t>
      </w:r>
      <w:r w:rsidRPr="001E5620">
        <w:rPr>
          <w:rFonts w:asciiTheme="majorHAnsi" w:eastAsia="Times New Roman" w:hAnsiTheme="majorHAnsi" w:cstheme="majorHAnsi"/>
          <w:sz w:val="24"/>
          <w:szCs w:val="24"/>
          <w:lang w:val="ro-MD"/>
        </w:rPr>
        <w:t>SA</w:t>
      </w:r>
      <w:r>
        <w:rPr>
          <w:rFonts w:asciiTheme="majorHAnsi" w:eastAsia="Times New Roman" w:hAnsiTheme="majorHAnsi" w:cstheme="majorHAnsi"/>
          <w:sz w:val="24"/>
          <w:szCs w:val="24"/>
          <w:lang w:val="ro-MD"/>
        </w:rPr>
        <w:t xml:space="preserve"> (15 SA)</w:t>
      </w:r>
      <w:r w:rsidRPr="001E5620">
        <w:rPr>
          <w:rFonts w:asciiTheme="majorHAnsi" w:eastAsia="Times New Roman" w:hAnsiTheme="majorHAnsi" w:cstheme="majorHAnsi"/>
          <w:sz w:val="24"/>
          <w:szCs w:val="24"/>
          <w:lang w:val="ro-MD"/>
        </w:rPr>
        <w:t xml:space="preserve"> </w:t>
      </w:r>
      <w:r w:rsidR="006A7CDF">
        <w:rPr>
          <w:rFonts w:asciiTheme="majorHAnsi" w:eastAsia="Times New Roman" w:hAnsiTheme="majorHAnsi" w:cstheme="majorHAnsi"/>
          <w:sz w:val="24"/>
          <w:szCs w:val="24"/>
          <w:lang w:val="ro-MD"/>
        </w:rPr>
        <w:t xml:space="preserve">– </w:t>
      </w:r>
      <w:r w:rsidRPr="001E5620">
        <w:rPr>
          <w:rFonts w:asciiTheme="majorHAnsi" w:eastAsia="Times New Roman" w:hAnsiTheme="majorHAnsi" w:cstheme="majorHAnsi"/>
          <w:sz w:val="24"/>
          <w:szCs w:val="24"/>
          <w:lang w:val="ro-MD"/>
        </w:rPr>
        <w:t>în</w:t>
      </w:r>
      <w:r w:rsidRPr="00C4398E">
        <w:rPr>
          <w:rFonts w:asciiTheme="majorHAnsi" w:eastAsia="Times New Roman" w:hAnsiTheme="majorHAnsi" w:cstheme="majorHAnsi"/>
          <w:sz w:val="24"/>
          <w:szCs w:val="24"/>
          <w:lang w:val="ro-MD"/>
        </w:rPr>
        <w:t xml:space="preserve"> sumă de 2,4 mil. </w:t>
      </w:r>
      <w:r w:rsidR="007160B9">
        <w:rPr>
          <w:rFonts w:asciiTheme="majorHAnsi" w:eastAsia="Times New Roman" w:hAnsiTheme="majorHAnsi" w:cstheme="majorHAnsi"/>
          <w:sz w:val="24"/>
          <w:szCs w:val="24"/>
          <w:lang w:val="ro-MD"/>
        </w:rPr>
        <w:t>MDL</w:t>
      </w:r>
      <w:r w:rsidR="006A7CDF">
        <w:rPr>
          <w:rFonts w:asciiTheme="majorHAnsi" w:eastAsia="Times New Roman" w:hAnsiTheme="majorHAnsi" w:cstheme="majorHAnsi"/>
          <w:sz w:val="24"/>
          <w:szCs w:val="24"/>
          <w:lang w:val="ro-MD"/>
        </w:rPr>
        <w:t>,</w:t>
      </w:r>
      <w:r w:rsidRPr="00C4398E">
        <w:rPr>
          <w:rFonts w:asciiTheme="majorHAnsi" w:eastAsia="Times New Roman" w:hAnsiTheme="majorHAnsi" w:cstheme="majorHAnsi"/>
          <w:sz w:val="24"/>
          <w:szCs w:val="24"/>
          <w:lang w:val="ro-MD"/>
        </w:rPr>
        <w:t xml:space="preserve"> iar ÎS</w:t>
      </w:r>
      <w:r>
        <w:rPr>
          <w:rFonts w:asciiTheme="majorHAnsi" w:eastAsia="Times New Roman" w:hAnsiTheme="majorHAnsi" w:cstheme="majorHAnsi"/>
          <w:sz w:val="24"/>
          <w:szCs w:val="24"/>
          <w:lang w:val="ro-MD"/>
        </w:rPr>
        <w:t xml:space="preserve"> (19 ÎS)</w:t>
      </w:r>
      <w:r w:rsidRPr="00C4398E">
        <w:rPr>
          <w:rFonts w:asciiTheme="majorHAnsi" w:eastAsia="Times New Roman" w:hAnsiTheme="majorHAnsi" w:cstheme="majorHAnsi"/>
          <w:sz w:val="24"/>
          <w:szCs w:val="24"/>
          <w:lang w:val="ro-MD"/>
        </w:rPr>
        <w:t xml:space="preserve"> – </w:t>
      </w:r>
      <w:r w:rsidR="002D7B9F">
        <w:rPr>
          <w:rFonts w:asciiTheme="majorHAnsi" w:eastAsia="Times New Roman" w:hAnsiTheme="majorHAnsi" w:cstheme="majorHAnsi"/>
          <w:sz w:val="24"/>
          <w:szCs w:val="24"/>
          <w:lang w:val="ro-MD"/>
        </w:rPr>
        <w:t xml:space="preserve">de </w:t>
      </w:r>
      <w:r w:rsidRPr="00C4398E">
        <w:rPr>
          <w:rFonts w:asciiTheme="majorHAnsi" w:eastAsia="Times New Roman" w:hAnsiTheme="majorHAnsi" w:cstheme="majorHAnsi"/>
          <w:sz w:val="24"/>
          <w:szCs w:val="24"/>
          <w:lang w:val="ro-MD"/>
        </w:rPr>
        <w:t xml:space="preserve">1,5 mil. </w:t>
      </w:r>
      <w:r w:rsidR="007160B9">
        <w:rPr>
          <w:rFonts w:asciiTheme="majorHAnsi" w:eastAsia="Times New Roman" w:hAnsiTheme="majorHAnsi" w:cstheme="majorHAnsi"/>
          <w:sz w:val="24"/>
          <w:szCs w:val="24"/>
          <w:lang w:val="ro-MD"/>
        </w:rPr>
        <w:t>MDL</w:t>
      </w:r>
      <w:r w:rsidRPr="00C4398E">
        <w:rPr>
          <w:rFonts w:asciiTheme="majorHAnsi" w:eastAsia="Times New Roman" w:hAnsiTheme="majorHAnsi" w:cstheme="majorHAnsi"/>
          <w:sz w:val="24"/>
          <w:szCs w:val="24"/>
          <w:lang w:val="ro-MD"/>
        </w:rPr>
        <w:t>.</w:t>
      </w:r>
      <w:r>
        <w:rPr>
          <w:rFonts w:asciiTheme="majorHAnsi" w:eastAsia="Times New Roman" w:hAnsiTheme="majorHAnsi" w:cstheme="majorHAnsi"/>
          <w:sz w:val="24"/>
          <w:szCs w:val="24"/>
          <w:lang w:val="ro-MD"/>
        </w:rPr>
        <w:t xml:space="preserve"> Totodată, la situația din 31.12.2018, ÎS au înregistrat restanțe față de buget în sumă de 287,6 mii </w:t>
      </w:r>
      <w:r w:rsidR="007160B9">
        <w:rPr>
          <w:rFonts w:asciiTheme="majorHAnsi" w:eastAsia="Times New Roman" w:hAnsiTheme="majorHAnsi" w:cstheme="majorHAnsi"/>
          <w:sz w:val="24"/>
          <w:szCs w:val="24"/>
          <w:lang w:val="ro-MD"/>
        </w:rPr>
        <w:t>MDL</w:t>
      </w:r>
      <w:r>
        <w:rPr>
          <w:rFonts w:asciiTheme="majorHAnsi" w:eastAsia="Times New Roman" w:hAnsiTheme="majorHAnsi" w:cstheme="majorHAnsi"/>
          <w:sz w:val="24"/>
          <w:szCs w:val="24"/>
          <w:lang w:val="ro-MD"/>
        </w:rPr>
        <w:t>, iar SA nu au înregistrat restanțe.</w:t>
      </w:r>
    </w:p>
    <w:p w:rsidR="001E5A2A" w:rsidRDefault="001E5A2A" w:rsidP="00E00DCC">
      <w:pPr>
        <w:spacing w:after="0" w:line="276" w:lineRule="auto"/>
        <w:contextualSpacing/>
        <w:jc w:val="both"/>
        <w:rPr>
          <w:rFonts w:asciiTheme="majorHAnsi" w:hAnsiTheme="majorHAnsi" w:cstheme="majorHAnsi"/>
          <w:color w:val="FF0000"/>
          <w:sz w:val="24"/>
          <w:szCs w:val="24"/>
          <w:lang w:val="ro-MD"/>
        </w:rPr>
      </w:pPr>
    </w:p>
    <w:p w:rsidR="001E5A2A" w:rsidRPr="00350318" w:rsidRDefault="00A251BC" w:rsidP="001E5A2A">
      <w:pPr>
        <w:pStyle w:val="ListParagraph"/>
        <w:tabs>
          <w:tab w:val="left" w:pos="993"/>
        </w:tabs>
        <w:spacing w:after="0" w:line="276" w:lineRule="auto"/>
        <w:ind w:left="0"/>
        <w:jc w:val="both"/>
        <w:outlineLvl w:val="2"/>
        <w:rPr>
          <w:rFonts w:asciiTheme="majorHAnsi" w:hAnsiTheme="majorHAnsi" w:cstheme="majorHAnsi"/>
          <w:b/>
          <w:sz w:val="24"/>
          <w:szCs w:val="24"/>
          <w:lang w:val="ro-MD"/>
        </w:rPr>
      </w:pPr>
      <w:bookmarkStart w:id="23" w:name="_Toc10126094"/>
      <w:r>
        <w:rPr>
          <w:rFonts w:asciiTheme="majorHAnsi" w:hAnsiTheme="majorHAnsi" w:cstheme="majorHAnsi"/>
          <w:b/>
          <w:sz w:val="24"/>
          <w:szCs w:val="24"/>
          <w:lang w:val="ro-MD"/>
        </w:rPr>
        <w:t>3.3</w:t>
      </w:r>
      <w:r w:rsidR="001E5A2A" w:rsidRPr="00035AE1">
        <w:rPr>
          <w:rFonts w:asciiTheme="majorHAnsi" w:hAnsiTheme="majorHAnsi" w:cstheme="majorHAnsi"/>
          <w:b/>
          <w:sz w:val="24"/>
          <w:szCs w:val="24"/>
          <w:lang w:val="ro-MD"/>
        </w:rPr>
        <w:t xml:space="preserve">.3 Nivelul </w:t>
      </w:r>
      <w:r w:rsidR="001C384F">
        <w:rPr>
          <w:rFonts w:asciiTheme="majorHAnsi" w:hAnsiTheme="majorHAnsi" w:cstheme="majorHAnsi"/>
          <w:b/>
          <w:sz w:val="24"/>
          <w:szCs w:val="24"/>
          <w:lang w:val="ro-MD"/>
        </w:rPr>
        <w:t>de colectare în aspectul tipurilor de venituri variază și denotă rezerve la programarea bugetară și colectarea restanțelor.</w:t>
      </w:r>
      <w:bookmarkEnd w:id="23"/>
    </w:p>
    <w:p w:rsidR="001E5A2A" w:rsidRPr="00350318" w:rsidRDefault="00160BB8" w:rsidP="001E5A2A">
      <w:pPr>
        <w:spacing w:after="0" w:line="276" w:lineRule="auto"/>
        <w:jc w:val="both"/>
        <w:rPr>
          <w:rFonts w:asciiTheme="majorHAnsi" w:hAnsiTheme="majorHAnsi"/>
          <w:sz w:val="24"/>
          <w:szCs w:val="24"/>
        </w:rPr>
      </w:pPr>
      <w:r>
        <w:rPr>
          <w:rFonts w:asciiTheme="majorHAnsi" w:hAnsiTheme="majorHAnsi"/>
          <w:i/>
          <w:sz w:val="24"/>
          <w:szCs w:val="24"/>
        </w:rPr>
        <w:t xml:space="preserve"> </w:t>
      </w:r>
      <w:r w:rsidR="000049CF">
        <w:rPr>
          <w:rFonts w:asciiTheme="majorHAnsi" w:hAnsiTheme="majorHAnsi"/>
          <w:i/>
          <w:sz w:val="24"/>
          <w:szCs w:val="24"/>
        </w:rPr>
        <w:tab/>
      </w:r>
      <w:r w:rsidR="001E5A2A" w:rsidRPr="00350318">
        <w:rPr>
          <w:rFonts w:asciiTheme="majorHAnsi" w:hAnsiTheme="majorHAnsi"/>
          <w:i/>
          <w:sz w:val="24"/>
          <w:szCs w:val="24"/>
        </w:rPr>
        <w:t>Principalii administratori ai veniturilor publice în BPN, potrivit cadrului legal</w:t>
      </w:r>
      <w:r w:rsidR="001E5A2A" w:rsidRPr="00350318">
        <w:rPr>
          <w:rStyle w:val="FootnoteReference"/>
          <w:rFonts w:asciiTheme="majorHAnsi" w:hAnsiTheme="majorHAnsi"/>
          <w:i/>
          <w:sz w:val="24"/>
          <w:szCs w:val="24"/>
        </w:rPr>
        <w:footnoteReference w:id="49"/>
      </w:r>
      <w:r w:rsidR="001E5A2A" w:rsidRPr="00350318">
        <w:rPr>
          <w:rFonts w:asciiTheme="majorHAnsi" w:hAnsiTheme="majorHAnsi"/>
          <w:i/>
          <w:sz w:val="24"/>
          <w:szCs w:val="24"/>
        </w:rPr>
        <w:t xml:space="preserve">, sunt: SFS (administrează veniturile: BS, BUAT; o parte din veniturile FAOAM și ale BASS); SV (administrează veniturile BS); serviciile de colectare a impozitelor și taxelor locale din cadrul primăriilor, precum și alți </w:t>
      </w:r>
      <w:r w:rsidR="001E5A2A" w:rsidRPr="00350318">
        <w:rPr>
          <w:rFonts w:asciiTheme="majorHAnsi" w:hAnsiTheme="majorHAnsi"/>
          <w:i/>
          <w:sz w:val="24"/>
          <w:szCs w:val="24"/>
        </w:rPr>
        <w:lastRenderedPageBreak/>
        <w:t>administratori de venituri publice. Totodată, instituția statului cu sarcina de gestionare și asigurare a nivelului optim al resurselor BPN este Ministerul Finanțelor.</w:t>
      </w:r>
    </w:p>
    <w:p w:rsidR="001E5A2A" w:rsidRPr="007C0A17" w:rsidRDefault="001E5A2A" w:rsidP="001E5A2A">
      <w:pPr>
        <w:spacing w:after="0" w:line="276" w:lineRule="auto"/>
        <w:ind w:firstLine="709"/>
        <w:jc w:val="both"/>
        <w:rPr>
          <w:rFonts w:asciiTheme="majorHAnsi" w:hAnsiTheme="majorHAnsi"/>
          <w:sz w:val="24"/>
          <w:szCs w:val="24"/>
        </w:rPr>
      </w:pPr>
      <w:r w:rsidRPr="004D3408">
        <w:rPr>
          <w:rFonts w:asciiTheme="majorHAnsi" w:hAnsiTheme="majorHAnsi"/>
          <w:sz w:val="24"/>
          <w:szCs w:val="24"/>
        </w:rPr>
        <w:t>Analiza</w:t>
      </w:r>
      <w:r w:rsidRPr="00350318">
        <w:rPr>
          <w:rFonts w:asciiTheme="majorHAnsi" w:hAnsiTheme="majorHAnsi"/>
          <w:sz w:val="24"/>
          <w:szCs w:val="24"/>
        </w:rPr>
        <w:t xml:space="preserve"> comparativă a încasărilor executate la </w:t>
      </w:r>
      <w:r w:rsidR="00216666">
        <w:rPr>
          <w:rFonts w:asciiTheme="majorHAnsi" w:hAnsiTheme="majorHAnsi"/>
          <w:sz w:val="24"/>
          <w:szCs w:val="24"/>
        </w:rPr>
        <w:t>BS</w:t>
      </w:r>
      <w:r w:rsidRPr="00350318">
        <w:rPr>
          <w:rFonts w:asciiTheme="majorHAnsi" w:hAnsiTheme="majorHAnsi"/>
          <w:sz w:val="24"/>
          <w:szCs w:val="24"/>
        </w:rPr>
        <w:t xml:space="preserve"> de către principalii administratori de venituri în perioada auditată denotă următoarele.</w:t>
      </w:r>
    </w:p>
    <w:p w:rsidR="001E5A2A" w:rsidRDefault="001E5A2A" w:rsidP="001E5A2A">
      <w:pPr>
        <w:tabs>
          <w:tab w:val="left" w:pos="851"/>
        </w:tabs>
        <w:spacing w:after="0" w:line="276" w:lineRule="auto"/>
        <w:ind w:firstLine="709"/>
        <w:jc w:val="both"/>
        <w:rPr>
          <w:rFonts w:asciiTheme="majorHAnsi" w:hAnsiTheme="majorHAnsi"/>
          <w:sz w:val="24"/>
          <w:szCs w:val="24"/>
        </w:rPr>
      </w:pPr>
      <w:r w:rsidRPr="007C0A17">
        <w:rPr>
          <w:rFonts w:asciiTheme="majorHAnsi" w:hAnsiTheme="majorHAnsi"/>
          <w:sz w:val="24"/>
          <w:szCs w:val="24"/>
        </w:rPr>
        <w:t>Sarcina de cole</w:t>
      </w:r>
      <w:r>
        <w:rPr>
          <w:rFonts w:asciiTheme="majorHAnsi" w:hAnsiTheme="majorHAnsi"/>
          <w:sz w:val="24"/>
          <w:szCs w:val="24"/>
        </w:rPr>
        <w:t>ctare a veniturilor în anul 2018</w:t>
      </w:r>
      <w:r w:rsidRPr="007C0A17">
        <w:rPr>
          <w:rFonts w:asciiTheme="majorHAnsi" w:hAnsiTheme="majorHAnsi"/>
          <w:sz w:val="24"/>
          <w:szCs w:val="24"/>
        </w:rPr>
        <w:t xml:space="preserve"> a fost realizată de SFS la nivel de </w:t>
      </w:r>
      <w:r>
        <w:rPr>
          <w:rFonts w:asciiTheme="majorHAnsi" w:hAnsiTheme="majorHAnsi"/>
          <w:sz w:val="24"/>
          <w:szCs w:val="24"/>
        </w:rPr>
        <w:t>107,0</w:t>
      </w:r>
      <w:r w:rsidRPr="007C0A17">
        <w:rPr>
          <w:rFonts w:asciiTheme="majorHAnsi" w:hAnsiTheme="majorHAnsi"/>
          <w:sz w:val="24"/>
          <w:szCs w:val="24"/>
        </w:rPr>
        <w:t xml:space="preserve">% la BS, fiind peste nivelul planificat cu </w:t>
      </w:r>
      <w:r>
        <w:rPr>
          <w:rFonts w:asciiTheme="majorHAnsi" w:hAnsiTheme="majorHAnsi"/>
          <w:sz w:val="24"/>
          <w:szCs w:val="24"/>
        </w:rPr>
        <w:t>1 081,2</w:t>
      </w:r>
      <w:r w:rsidRPr="007C0A17">
        <w:rPr>
          <w:rFonts w:asciiTheme="majorHAnsi" w:hAnsiTheme="majorHAnsi"/>
          <w:sz w:val="24"/>
          <w:szCs w:val="24"/>
        </w:rPr>
        <w:t xml:space="preserve"> mil.</w:t>
      </w:r>
      <w:r>
        <w:rPr>
          <w:rFonts w:asciiTheme="majorHAnsi" w:hAnsiTheme="majorHAnsi"/>
          <w:sz w:val="24"/>
          <w:szCs w:val="24"/>
        </w:rPr>
        <w:t xml:space="preserve"> </w:t>
      </w:r>
      <w:r w:rsidR="007160B9">
        <w:rPr>
          <w:rFonts w:asciiTheme="majorHAnsi" w:hAnsiTheme="majorHAnsi"/>
          <w:sz w:val="24"/>
          <w:szCs w:val="24"/>
        </w:rPr>
        <w:t>MDL</w:t>
      </w:r>
      <w:r w:rsidRPr="007C0A17">
        <w:rPr>
          <w:rFonts w:asciiTheme="majorHAnsi" w:hAnsiTheme="majorHAnsi"/>
          <w:sz w:val="24"/>
          <w:szCs w:val="24"/>
        </w:rPr>
        <w:t xml:space="preserve">. Totodată, auditul atestă că sarcina stabilită </w:t>
      </w:r>
      <w:r w:rsidRPr="00D207FB">
        <w:rPr>
          <w:rFonts w:asciiTheme="majorHAnsi" w:hAnsiTheme="majorHAnsi"/>
          <w:sz w:val="24"/>
          <w:szCs w:val="24"/>
        </w:rPr>
        <w:t xml:space="preserve">la </w:t>
      </w:r>
      <w:r>
        <w:rPr>
          <w:rFonts w:asciiTheme="majorHAnsi" w:hAnsiTheme="majorHAnsi"/>
          <w:sz w:val="24"/>
          <w:szCs w:val="24"/>
        </w:rPr>
        <w:t>21</w:t>
      </w:r>
      <w:r w:rsidRPr="00D207FB">
        <w:rPr>
          <w:rFonts w:asciiTheme="majorHAnsi" w:hAnsiTheme="majorHAnsi"/>
          <w:sz w:val="24"/>
          <w:szCs w:val="24"/>
        </w:rPr>
        <w:t xml:space="preserve"> tipuri</w:t>
      </w:r>
      <w:r w:rsidRPr="007C0A17">
        <w:rPr>
          <w:rFonts w:asciiTheme="majorHAnsi" w:hAnsiTheme="majorHAnsi"/>
          <w:sz w:val="24"/>
          <w:szCs w:val="24"/>
        </w:rPr>
        <w:t xml:space="preserve"> de impozite, taxe și plăți nu a fost atinsă cu suma de </w:t>
      </w:r>
      <w:r>
        <w:rPr>
          <w:rFonts w:asciiTheme="majorHAnsi" w:hAnsiTheme="majorHAnsi"/>
          <w:sz w:val="24"/>
          <w:szCs w:val="24"/>
        </w:rPr>
        <w:t>170,0</w:t>
      </w:r>
      <w:r w:rsidRPr="007C0A17">
        <w:rPr>
          <w:rFonts w:asciiTheme="majorHAnsi" w:hAnsiTheme="majorHAnsi"/>
          <w:sz w:val="24"/>
          <w:szCs w:val="24"/>
        </w:rPr>
        <w:t xml:space="preserve"> mil.</w:t>
      </w:r>
      <w:r>
        <w:rPr>
          <w:rFonts w:asciiTheme="majorHAnsi" w:hAnsiTheme="majorHAnsi"/>
          <w:sz w:val="24"/>
          <w:szCs w:val="24"/>
        </w:rPr>
        <w:t xml:space="preserve"> </w:t>
      </w:r>
      <w:r w:rsidR="007160B9">
        <w:rPr>
          <w:rFonts w:asciiTheme="majorHAnsi" w:hAnsiTheme="majorHAnsi"/>
          <w:sz w:val="24"/>
          <w:szCs w:val="24"/>
        </w:rPr>
        <w:t>MDL</w:t>
      </w:r>
      <w:r w:rsidRPr="007C0A17">
        <w:rPr>
          <w:rFonts w:asciiTheme="majorHAnsi" w:hAnsiTheme="majorHAnsi"/>
          <w:sz w:val="24"/>
          <w:szCs w:val="24"/>
        </w:rPr>
        <w:t xml:space="preserve">, din care: </w:t>
      </w:r>
      <w:r>
        <w:rPr>
          <w:rFonts w:asciiTheme="majorHAnsi" w:hAnsiTheme="majorHAnsi"/>
          <w:sz w:val="24"/>
          <w:szCs w:val="24"/>
        </w:rPr>
        <w:t>impozitul pe venitul reținut din salariu – (-15,1</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impozitul pe avere – (-10,6</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accize la berea produsă pe teritoriul RM – (</w:t>
      </w:r>
      <w:r w:rsidR="00BF27BA">
        <w:rPr>
          <w:rFonts w:asciiTheme="majorHAnsi" w:hAnsiTheme="majorHAnsi"/>
          <w:sz w:val="24"/>
          <w:szCs w:val="24"/>
        </w:rPr>
        <w:t>-</w:t>
      </w:r>
      <w:r>
        <w:rPr>
          <w:rFonts w:asciiTheme="majorHAnsi" w:hAnsiTheme="majorHAnsi"/>
          <w:sz w:val="24"/>
          <w:szCs w:val="24"/>
        </w:rPr>
        <w:t>20,3</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accize la produsele din tutun produse pe teritoriul RM – (</w:t>
      </w:r>
      <w:r w:rsidR="00BF27BA">
        <w:rPr>
          <w:rFonts w:asciiTheme="majorHAnsi" w:hAnsiTheme="majorHAnsi"/>
          <w:sz w:val="24"/>
          <w:szCs w:val="24"/>
        </w:rPr>
        <w:t>-</w:t>
      </w:r>
      <w:r>
        <w:rPr>
          <w:rFonts w:asciiTheme="majorHAnsi" w:hAnsiTheme="majorHAnsi"/>
          <w:sz w:val="24"/>
          <w:szCs w:val="24"/>
        </w:rPr>
        <w:t>67,3</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taxa de licență pentru anumite genuri de activitate – (-7,0</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taxa pentru mărfurile care în procesul utilizării cauzează poluarea mediului – (-19,5</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xml:space="preserve">, </w:t>
      </w:r>
      <w:r w:rsidRPr="007C0A17">
        <w:rPr>
          <w:rFonts w:asciiTheme="majorHAnsi" w:hAnsiTheme="majorHAnsi"/>
          <w:sz w:val="24"/>
          <w:szCs w:val="24"/>
        </w:rPr>
        <w:t>taxa pentru folosirea drumurilor de către autovehiculele înmatriculate în RM</w:t>
      </w:r>
      <w:r>
        <w:rPr>
          <w:rFonts w:asciiTheme="majorHAnsi" w:hAnsiTheme="majorHAnsi"/>
          <w:sz w:val="24"/>
          <w:szCs w:val="24"/>
        </w:rPr>
        <w:t xml:space="preserve"> – (-12,2</w:t>
      </w:r>
      <w:r w:rsidR="00BF27BA">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xml:space="preserve"> etc.</w:t>
      </w:r>
    </w:p>
    <w:p w:rsidR="001E5A2A" w:rsidRDefault="001E5A2A" w:rsidP="001E5A2A">
      <w:pPr>
        <w:tabs>
          <w:tab w:val="left" w:pos="851"/>
        </w:tabs>
        <w:spacing w:after="0" w:line="276" w:lineRule="auto"/>
        <w:ind w:firstLine="709"/>
        <w:jc w:val="both"/>
        <w:rPr>
          <w:rFonts w:asciiTheme="majorHAnsi" w:hAnsiTheme="majorHAnsi"/>
          <w:sz w:val="24"/>
          <w:szCs w:val="24"/>
        </w:rPr>
      </w:pPr>
      <w:r w:rsidRPr="004F049B">
        <w:rPr>
          <w:rFonts w:asciiTheme="majorHAnsi" w:hAnsiTheme="majorHAnsi"/>
          <w:sz w:val="24"/>
          <w:szCs w:val="24"/>
        </w:rPr>
        <w:t>Sarcina stabilită pentru încasarea veniturilor a fost executată de</w:t>
      </w:r>
      <w:r>
        <w:rPr>
          <w:rFonts w:asciiTheme="majorHAnsi" w:hAnsiTheme="majorHAnsi"/>
          <w:sz w:val="24"/>
          <w:szCs w:val="24"/>
        </w:rPr>
        <w:t xml:space="preserve"> SV la nivel de 100</w:t>
      </w:r>
      <w:r w:rsidRPr="004F049B">
        <w:rPr>
          <w:rFonts w:asciiTheme="majorHAnsi" w:hAnsiTheme="majorHAnsi"/>
          <w:sz w:val="24"/>
          <w:szCs w:val="24"/>
        </w:rPr>
        <w:t>,0%. Audi</w:t>
      </w:r>
      <w:r>
        <w:rPr>
          <w:rFonts w:asciiTheme="majorHAnsi" w:hAnsiTheme="majorHAnsi"/>
          <w:sz w:val="24"/>
          <w:szCs w:val="24"/>
        </w:rPr>
        <w:t>tul denotă că, deși în anul 2018</w:t>
      </w:r>
      <w:r w:rsidRPr="004F049B">
        <w:rPr>
          <w:rFonts w:asciiTheme="majorHAnsi" w:hAnsiTheme="majorHAnsi"/>
          <w:sz w:val="24"/>
          <w:szCs w:val="24"/>
        </w:rPr>
        <w:t xml:space="preserve"> veniturile administrate de SV au fost încasate în </w:t>
      </w:r>
      <w:r>
        <w:rPr>
          <w:rFonts w:asciiTheme="majorHAnsi" w:hAnsiTheme="majorHAnsi"/>
          <w:sz w:val="24"/>
          <w:szCs w:val="24"/>
        </w:rPr>
        <w:t>sumă de</w:t>
      </w:r>
      <w:r w:rsidRPr="004F049B">
        <w:rPr>
          <w:rFonts w:asciiTheme="majorHAnsi" w:hAnsiTheme="majorHAnsi"/>
          <w:sz w:val="24"/>
          <w:szCs w:val="24"/>
        </w:rPr>
        <w:t xml:space="preserve"> </w:t>
      </w:r>
      <w:r>
        <w:rPr>
          <w:rFonts w:asciiTheme="majorHAnsi" w:hAnsiTheme="majorHAnsi"/>
          <w:sz w:val="24"/>
          <w:szCs w:val="24"/>
        </w:rPr>
        <w:t>21 410,3</w:t>
      </w:r>
      <w:r w:rsidRPr="004F049B">
        <w:rPr>
          <w:rFonts w:asciiTheme="majorHAnsi" w:hAnsiTheme="majorHAnsi"/>
          <w:sz w:val="24"/>
          <w:szCs w:val="24"/>
        </w:rPr>
        <w:t xml:space="preserve"> mil.</w:t>
      </w:r>
      <w:r>
        <w:rPr>
          <w:rFonts w:asciiTheme="majorHAnsi" w:hAnsiTheme="majorHAnsi"/>
          <w:sz w:val="24"/>
          <w:szCs w:val="24"/>
        </w:rPr>
        <w:t xml:space="preserve"> </w:t>
      </w:r>
      <w:r w:rsidR="007160B9">
        <w:rPr>
          <w:rFonts w:asciiTheme="majorHAnsi" w:hAnsiTheme="majorHAnsi"/>
          <w:sz w:val="24"/>
          <w:szCs w:val="24"/>
        </w:rPr>
        <w:t>MDL</w:t>
      </w:r>
      <w:r w:rsidRPr="004F049B">
        <w:rPr>
          <w:rFonts w:asciiTheme="majorHAnsi" w:hAnsiTheme="majorHAnsi"/>
          <w:sz w:val="24"/>
          <w:szCs w:val="24"/>
        </w:rPr>
        <w:t xml:space="preserve"> </w:t>
      </w:r>
      <w:r>
        <w:rPr>
          <w:rFonts w:asciiTheme="majorHAnsi" w:hAnsiTheme="majorHAnsi"/>
          <w:sz w:val="24"/>
          <w:szCs w:val="24"/>
        </w:rPr>
        <w:t>(</w:t>
      </w:r>
      <w:r w:rsidRPr="004F049B">
        <w:rPr>
          <w:rFonts w:asciiTheme="majorHAnsi" w:hAnsiTheme="majorHAnsi"/>
          <w:sz w:val="24"/>
          <w:szCs w:val="24"/>
        </w:rPr>
        <w:t>nivelul stabilit</w:t>
      </w:r>
      <w:r>
        <w:rPr>
          <w:rFonts w:asciiTheme="majorHAnsi" w:hAnsiTheme="majorHAnsi"/>
          <w:sz w:val="24"/>
          <w:szCs w:val="24"/>
        </w:rPr>
        <w:t xml:space="preserve"> fiind de 21 410,2 mil. </w:t>
      </w:r>
      <w:r w:rsidR="007160B9">
        <w:rPr>
          <w:rFonts w:asciiTheme="majorHAnsi" w:hAnsiTheme="majorHAnsi"/>
          <w:sz w:val="24"/>
          <w:szCs w:val="24"/>
        </w:rPr>
        <w:t>MDL</w:t>
      </w:r>
      <w:r>
        <w:rPr>
          <w:rFonts w:asciiTheme="majorHAnsi" w:hAnsiTheme="majorHAnsi"/>
          <w:sz w:val="24"/>
          <w:szCs w:val="24"/>
        </w:rPr>
        <w:t xml:space="preserve">), </w:t>
      </w:r>
      <w:r w:rsidR="000049CF">
        <w:rPr>
          <w:rFonts w:asciiTheme="majorHAnsi" w:hAnsiTheme="majorHAnsi"/>
          <w:sz w:val="24"/>
          <w:szCs w:val="24"/>
        </w:rPr>
        <w:t>la</w:t>
      </w:r>
      <w:r>
        <w:rPr>
          <w:rFonts w:asciiTheme="majorHAnsi" w:hAnsiTheme="majorHAnsi"/>
          <w:sz w:val="24"/>
          <w:szCs w:val="24"/>
        </w:rPr>
        <w:t xml:space="preserve"> 4</w:t>
      </w:r>
      <w:r w:rsidRPr="004F049B">
        <w:rPr>
          <w:rFonts w:asciiTheme="majorHAnsi" w:hAnsiTheme="majorHAnsi"/>
          <w:sz w:val="24"/>
          <w:szCs w:val="24"/>
        </w:rPr>
        <w:t xml:space="preserve"> tipuri de venituri încasările au fost realizate sub nivelul stabilit, cu</w:t>
      </w:r>
      <w:r>
        <w:rPr>
          <w:rFonts w:asciiTheme="majorHAnsi" w:hAnsiTheme="majorHAnsi"/>
          <w:sz w:val="24"/>
          <w:szCs w:val="24"/>
        </w:rPr>
        <w:t xml:space="preserve"> 533,0 mil. </w:t>
      </w:r>
      <w:r w:rsidR="007160B9">
        <w:rPr>
          <w:rFonts w:asciiTheme="majorHAnsi" w:hAnsiTheme="majorHAnsi"/>
          <w:sz w:val="24"/>
          <w:szCs w:val="24"/>
        </w:rPr>
        <w:t>MDL</w:t>
      </w:r>
      <w:r>
        <w:rPr>
          <w:rFonts w:asciiTheme="majorHAnsi" w:hAnsiTheme="majorHAnsi"/>
          <w:sz w:val="24"/>
          <w:szCs w:val="24"/>
        </w:rPr>
        <w:t>, din care: accize la produsele din tutun importate – (-394,5</w:t>
      </w:r>
      <w:r w:rsidR="00704AFF">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accize la produsele petroliere importate – (-73,3</w:t>
      </w:r>
      <w:r w:rsidR="00704AFF">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accize la gazele lichefiate importate – (-8,5</w:t>
      </w:r>
      <w:r w:rsidR="00704AFF">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 taxa vamală – (-56,6</w:t>
      </w:r>
      <w:r w:rsidR="00704AFF">
        <w:rPr>
          <w:rFonts w:asciiTheme="majorHAnsi" w:hAnsiTheme="majorHAnsi"/>
          <w:sz w:val="24"/>
          <w:szCs w:val="24"/>
        </w:rPr>
        <w:t>)</w:t>
      </w:r>
      <w:r>
        <w:rPr>
          <w:rFonts w:asciiTheme="majorHAnsi" w:hAnsiTheme="majorHAnsi"/>
          <w:sz w:val="24"/>
          <w:szCs w:val="24"/>
        </w:rPr>
        <w:t xml:space="preserve"> mil. </w:t>
      </w:r>
      <w:r w:rsidR="007160B9">
        <w:rPr>
          <w:rFonts w:asciiTheme="majorHAnsi" w:hAnsiTheme="majorHAnsi"/>
          <w:sz w:val="24"/>
          <w:szCs w:val="24"/>
        </w:rPr>
        <w:t>MDL</w:t>
      </w:r>
      <w:r>
        <w:rPr>
          <w:rFonts w:asciiTheme="majorHAnsi" w:hAnsiTheme="majorHAnsi"/>
          <w:sz w:val="24"/>
          <w:szCs w:val="24"/>
        </w:rPr>
        <w:t>.</w:t>
      </w:r>
    </w:p>
    <w:p w:rsidR="001E5A2A" w:rsidRPr="00600766" w:rsidRDefault="001E5A2A" w:rsidP="00600766">
      <w:pPr>
        <w:tabs>
          <w:tab w:val="left" w:pos="851"/>
        </w:tabs>
        <w:spacing w:after="0" w:line="276" w:lineRule="auto"/>
        <w:ind w:firstLine="709"/>
        <w:jc w:val="both"/>
        <w:rPr>
          <w:rFonts w:asciiTheme="majorHAnsi" w:hAnsiTheme="majorHAnsi"/>
          <w:sz w:val="24"/>
          <w:szCs w:val="24"/>
          <w:lang w:val="ro-MD"/>
        </w:rPr>
      </w:pPr>
      <w:r w:rsidRPr="00600766">
        <w:rPr>
          <w:rFonts w:asciiTheme="majorHAnsi" w:hAnsiTheme="majorHAnsi"/>
          <w:sz w:val="24"/>
          <w:szCs w:val="24"/>
          <w:lang w:val="ro-MD"/>
        </w:rPr>
        <w:t xml:space="preserve">Examinările auditului relevă că exercițiul bugetar 2018 a fost finalizat cu restanțe la bugetul de stat (inclusiv plăți de bază, amenzi și penalități) în valoare de 1 621,5 mil. </w:t>
      </w:r>
      <w:r w:rsidR="007160B9">
        <w:rPr>
          <w:rFonts w:asciiTheme="majorHAnsi" w:hAnsiTheme="majorHAnsi"/>
          <w:sz w:val="24"/>
          <w:szCs w:val="24"/>
          <w:lang w:val="ro-MD"/>
        </w:rPr>
        <w:t>MDL</w:t>
      </w:r>
      <w:r w:rsidRPr="00600766">
        <w:rPr>
          <w:rFonts w:asciiTheme="majorHAnsi" w:hAnsiTheme="majorHAnsi"/>
          <w:sz w:val="24"/>
          <w:szCs w:val="24"/>
          <w:lang w:val="ro-MD"/>
        </w:rPr>
        <w:t>, inclusiv administrate de SFS – 1 143,3 mil.</w:t>
      </w:r>
      <w:r w:rsidR="001B61B5" w:rsidRPr="00600766">
        <w:rPr>
          <w:rFonts w:asciiTheme="majorHAnsi" w:hAnsiTheme="majorHAnsi"/>
          <w:sz w:val="24"/>
          <w:szCs w:val="24"/>
          <w:lang w:val="ro-MD"/>
        </w:rPr>
        <w:t xml:space="preserve"> </w:t>
      </w:r>
      <w:r w:rsidR="007160B9">
        <w:rPr>
          <w:rFonts w:asciiTheme="majorHAnsi" w:hAnsiTheme="majorHAnsi"/>
          <w:sz w:val="24"/>
          <w:szCs w:val="24"/>
          <w:lang w:val="ro-MD"/>
        </w:rPr>
        <w:t>MDL</w:t>
      </w:r>
      <w:r w:rsidRPr="00600766">
        <w:rPr>
          <w:rFonts w:asciiTheme="majorHAnsi" w:hAnsiTheme="majorHAnsi"/>
          <w:sz w:val="24"/>
          <w:szCs w:val="24"/>
          <w:lang w:val="ro-MD"/>
        </w:rPr>
        <w:t>, și de SV – 478,2 mil.</w:t>
      </w:r>
      <w:r w:rsidR="001B61B5" w:rsidRPr="00600766">
        <w:rPr>
          <w:rFonts w:asciiTheme="majorHAnsi" w:hAnsiTheme="majorHAnsi"/>
          <w:sz w:val="24"/>
          <w:szCs w:val="24"/>
          <w:lang w:val="ro-MD"/>
        </w:rPr>
        <w:t xml:space="preserve"> </w:t>
      </w:r>
      <w:r w:rsidR="007160B9">
        <w:rPr>
          <w:rFonts w:asciiTheme="majorHAnsi" w:hAnsiTheme="majorHAnsi"/>
          <w:sz w:val="24"/>
          <w:szCs w:val="24"/>
          <w:lang w:val="ro-MD"/>
        </w:rPr>
        <w:t>MDL</w:t>
      </w:r>
      <w:r w:rsidRPr="00600766">
        <w:rPr>
          <w:rFonts w:asciiTheme="majorHAnsi" w:hAnsiTheme="majorHAnsi"/>
          <w:sz w:val="24"/>
          <w:szCs w:val="24"/>
          <w:lang w:val="ro-MD"/>
        </w:rPr>
        <w:t>.</w:t>
      </w:r>
      <w:r w:rsidRPr="008E5DD1">
        <w:rPr>
          <w:rFonts w:asciiTheme="majorHAnsi" w:hAnsiTheme="majorHAnsi"/>
          <w:sz w:val="24"/>
          <w:szCs w:val="24"/>
          <w:lang w:val="ro-MD"/>
        </w:rPr>
        <w:t xml:space="preserve"> </w:t>
      </w:r>
      <w:r w:rsidRPr="008E5DD1">
        <w:rPr>
          <w:rFonts w:asciiTheme="majorHAnsi" w:hAnsiTheme="majorHAnsi"/>
          <w:i/>
          <w:sz w:val="24"/>
          <w:szCs w:val="24"/>
          <w:lang w:val="ro-MD"/>
        </w:rPr>
        <w:t>Informația det</w:t>
      </w:r>
      <w:r w:rsidR="005A73DE">
        <w:rPr>
          <w:rFonts w:asciiTheme="majorHAnsi" w:hAnsiTheme="majorHAnsi"/>
          <w:i/>
          <w:sz w:val="24"/>
          <w:szCs w:val="24"/>
          <w:lang w:val="ro-MD"/>
        </w:rPr>
        <w:t>aliată se prezintă în Anexa nr.8</w:t>
      </w:r>
      <w:r w:rsidRPr="008E5DD1">
        <w:rPr>
          <w:rFonts w:asciiTheme="majorHAnsi" w:hAnsiTheme="majorHAnsi"/>
          <w:i/>
          <w:sz w:val="24"/>
          <w:szCs w:val="24"/>
          <w:lang w:val="ro-MD"/>
        </w:rPr>
        <w:t xml:space="preserve"> la </w:t>
      </w:r>
      <w:r>
        <w:rPr>
          <w:rFonts w:asciiTheme="majorHAnsi" w:hAnsiTheme="majorHAnsi"/>
          <w:i/>
          <w:sz w:val="24"/>
          <w:szCs w:val="24"/>
          <w:lang w:val="ro-MD"/>
        </w:rPr>
        <w:t>prezentul Raport de audit.</w:t>
      </w:r>
      <w:r w:rsidR="00793C62">
        <w:rPr>
          <w:rFonts w:asciiTheme="majorHAnsi" w:hAnsiTheme="majorHAnsi"/>
          <w:i/>
          <w:sz w:val="24"/>
          <w:szCs w:val="24"/>
          <w:lang w:val="ro-MD"/>
        </w:rPr>
        <w:t xml:space="preserve"> </w:t>
      </w:r>
      <w:r w:rsidR="004D3408">
        <w:rPr>
          <w:rFonts w:asciiTheme="majorHAnsi" w:eastAsia="Times New Roman" w:hAnsiTheme="majorHAnsi" w:cs="Times New Roman"/>
          <w:sz w:val="24"/>
          <w:szCs w:val="24"/>
        </w:rPr>
        <w:t>Analiza</w:t>
      </w:r>
      <w:r w:rsidRPr="00843982">
        <w:rPr>
          <w:rFonts w:asciiTheme="majorHAnsi" w:eastAsia="Times New Roman" w:hAnsiTheme="majorHAnsi" w:cs="Times New Roman"/>
          <w:sz w:val="24"/>
          <w:szCs w:val="24"/>
        </w:rPr>
        <w:t xml:space="preserve"> </w:t>
      </w:r>
      <w:r w:rsidR="004D3408">
        <w:rPr>
          <w:rFonts w:asciiTheme="majorHAnsi" w:eastAsia="Times New Roman" w:hAnsiTheme="majorHAnsi" w:cs="Times New Roman"/>
          <w:sz w:val="24"/>
          <w:szCs w:val="24"/>
        </w:rPr>
        <w:t>restanțelor față de BS</w:t>
      </w:r>
      <w:r w:rsidR="000049CF">
        <w:rPr>
          <w:rFonts w:asciiTheme="majorHAnsi" w:eastAsia="Times New Roman" w:hAnsiTheme="majorHAnsi" w:cs="Times New Roman"/>
          <w:sz w:val="24"/>
          <w:szCs w:val="24"/>
        </w:rPr>
        <w:t>,</w:t>
      </w:r>
      <w:r w:rsidR="00793C62">
        <w:rPr>
          <w:rFonts w:asciiTheme="majorHAnsi" w:eastAsia="Times New Roman" w:hAnsiTheme="majorHAnsi" w:cs="Times New Roman"/>
          <w:sz w:val="24"/>
          <w:szCs w:val="24"/>
        </w:rPr>
        <w:t xml:space="preserve"> </w:t>
      </w:r>
      <w:r w:rsidR="004D3408">
        <w:rPr>
          <w:rFonts w:asciiTheme="majorHAnsi" w:eastAsia="Times New Roman" w:hAnsiTheme="majorHAnsi" w:cs="Times New Roman"/>
          <w:sz w:val="24"/>
          <w:szCs w:val="24"/>
        </w:rPr>
        <w:t xml:space="preserve">în </w:t>
      </w:r>
      <w:r>
        <w:rPr>
          <w:rFonts w:asciiTheme="majorHAnsi" w:eastAsia="Times New Roman" w:hAnsiTheme="majorHAnsi" w:cs="Times New Roman"/>
          <w:sz w:val="24"/>
          <w:szCs w:val="24"/>
        </w:rPr>
        <w:t>di</w:t>
      </w:r>
      <w:r w:rsidR="004D3408">
        <w:rPr>
          <w:rFonts w:asciiTheme="majorHAnsi" w:eastAsia="Times New Roman" w:hAnsiTheme="majorHAnsi" w:cs="Times New Roman"/>
          <w:sz w:val="24"/>
          <w:szCs w:val="24"/>
        </w:rPr>
        <w:t xml:space="preserve">namica </w:t>
      </w:r>
      <w:r w:rsidR="003F62D8">
        <w:rPr>
          <w:rFonts w:asciiTheme="majorHAnsi" w:eastAsia="Times New Roman" w:hAnsiTheme="majorHAnsi" w:cs="Times New Roman"/>
          <w:sz w:val="24"/>
          <w:szCs w:val="24"/>
        </w:rPr>
        <w:t>anilor</w:t>
      </w:r>
      <w:r w:rsidR="004D3408">
        <w:rPr>
          <w:rFonts w:asciiTheme="majorHAnsi" w:eastAsia="Times New Roman" w:hAnsiTheme="majorHAnsi" w:cs="Times New Roman"/>
          <w:sz w:val="24"/>
          <w:szCs w:val="24"/>
        </w:rPr>
        <w:t xml:space="preserve"> 2016</w:t>
      </w:r>
      <w:r>
        <w:rPr>
          <w:rFonts w:asciiTheme="majorHAnsi" w:eastAsia="Times New Roman" w:hAnsiTheme="majorHAnsi" w:cs="Times New Roman"/>
          <w:sz w:val="24"/>
          <w:szCs w:val="24"/>
        </w:rPr>
        <w:t>-2018</w:t>
      </w:r>
      <w:r w:rsidR="000049CF">
        <w:rPr>
          <w:rFonts w:asciiTheme="majorHAnsi" w:eastAsia="Times New Roman" w:hAnsiTheme="majorHAnsi" w:cs="Times New Roman"/>
          <w:sz w:val="24"/>
          <w:szCs w:val="24"/>
        </w:rPr>
        <w:t>,</w:t>
      </w:r>
      <w:r w:rsidRPr="00843982">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se prezintă</w:t>
      </w:r>
      <w:r w:rsidRPr="00843982">
        <w:rPr>
          <w:rFonts w:asciiTheme="majorHAnsi" w:eastAsia="Times New Roman" w:hAnsiTheme="majorHAnsi" w:cs="Times New Roman"/>
          <w:sz w:val="24"/>
          <w:szCs w:val="24"/>
        </w:rPr>
        <w:t xml:space="preserve"> în </w:t>
      </w:r>
      <w:r w:rsidRPr="00D939AA">
        <w:rPr>
          <w:rFonts w:asciiTheme="majorHAnsi" w:eastAsia="Times New Roman" w:hAnsiTheme="majorHAnsi" w:cs="Times New Roman"/>
          <w:b/>
          <w:i/>
          <w:sz w:val="24"/>
          <w:szCs w:val="24"/>
        </w:rPr>
        <w:t>Diagrama nr.</w:t>
      </w:r>
      <w:r w:rsidR="008C396F" w:rsidRPr="00D939AA">
        <w:rPr>
          <w:rFonts w:asciiTheme="majorHAnsi" w:eastAsia="Times New Roman" w:hAnsiTheme="majorHAnsi" w:cs="Times New Roman"/>
          <w:b/>
          <w:i/>
          <w:sz w:val="24"/>
          <w:szCs w:val="24"/>
        </w:rPr>
        <w:t>7</w:t>
      </w:r>
      <w:r w:rsidRPr="00D939AA">
        <w:rPr>
          <w:rFonts w:asciiTheme="majorHAnsi" w:eastAsia="Times New Roman" w:hAnsiTheme="majorHAnsi" w:cs="Times New Roman"/>
          <w:b/>
          <w:i/>
          <w:sz w:val="24"/>
          <w:szCs w:val="24"/>
        </w:rPr>
        <w:t>.</w:t>
      </w:r>
    </w:p>
    <w:p w:rsidR="001E5A2A" w:rsidRPr="005C64A2" w:rsidRDefault="001E5A2A" w:rsidP="001E5A2A">
      <w:pPr>
        <w:tabs>
          <w:tab w:val="left" w:pos="8931"/>
        </w:tabs>
        <w:spacing w:after="0" w:line="276" w:lineRule="auto"/>
        <w:contextualSpacing/>
        <w:jc w:val="right"/>
        <w:rPr>
          <w:rFonts w:asciiTheme="majorHAnsi" w:hAnsiTheme="majorHAnsi" w:cs="Times New Roman"/>
          <w:i/>
          <w:sz w:val="24"/>
          <w:szCs w:val="24"/>
        </w:rPr>
      </w:pPr>
      <w:r w:rsidRPr="005C64A2">
        <w:rPr>
          <w:rFonts w:asciiTheme="majorHAnsi" w:hAnsiTheme="majorHAnsi" w:cs="Times New Roman"/>
          <w:i/>
          <w:sz w:val="24"/>
          <w:szCs w:val="24"/>
          <w:shd w:val="clear" w:color="auto" w:fill="FFFFFF" w:themeFill="background1"/>
        </w:rPr>
        <w:t>Diagrama</w:t>
      </w:r>
      <w:r w:rsidR="008C396F" w:rsidRPr="005C64A2">
        <w:rPr>
          <w:rFonts w:asciiTheme="majorHAnsi" w:hAnsiTheme="majorHAnsi" w:cs="Times New Roman"/>
          <w:i/>
          <w:sz w:val="24"/>
          <w:szCs w:val="24"/>
        </w:rPr>
        <w:t xml:space="preserve"> nr.7</w:t>
      </w:r>
    </w:p>
    <w:p w:rsidR="001E5A2A" w:rsidRPr="00843982" w:rsidRDefault="001E5A2A" w:rsidP="001E5A2A">
      <w:pPr>
        <w:tabs>
          <w:tab w:val="left" w:pos="8931"/>
        </w:tabs>
        <w:spacing w:after="0" w:line="276" w:lineRule="auto"/>
        <w:jc w:val="center"/>
        <w:rPr>
          <w:rFonts w:asciiTheme="majorHAnsi" w:hAnsiTheme="majorHAnsi" w:cs="Times New Roman"/>
          <w:b/>
          <w:bCs/>
          <w:sz w:val="24"/>
          <w:szCs w:val="24"/>
        </w:rPr>
      </w:pPr>
      <w:r w:rsidRPr="00843982">
        <w:rPr>
          <w:rFonts w:asciiTheme="majorHAnsi" w:hAnsiTheme="majorHAnsi" w:cs="Times New Roman"/>
          <w:b/>
          <w:bCs/>
          <w:sz w:val="24"/>
          <w:szCs w:val="24"/>
        </w:rPr>
        <w:t>Dinamica restanțelor față de bugetul de stat administrat</w:t>
      </w:r>
      <w:r>
        <w:rPr>
          <w:rFonts w:asciiTheme="majorHAnsi" w:hAnsiTheme="majorHAnsi" w:cs="Times New Roman"/>
          <w:b/>
          <w:bCs/>
          <w:sz w:val="24"/>
          <w:szCs w:val="24"/>
        </w:rPr>
        <w:t>e de SFS și SV în anii 2015-2018</w:t>
      </w:r>
    </w:p>
    <w:p w:rsidR="001E5A2A" w:rsidRPr="00BE2086" w:rsidRDefault="001E5A2A" w:rsidP="001E5A2A">
      <w:pPr>
        <w:tabs>
          <w:tab w:val="left" w:pos="8931"/>
        </w:tabs>
        <w:spacing w:after="0" w:line="276" w:lineRule="auto"/>
        <w:ind w:right="425"/>
        <w:jc w:val="right"/>
        <w:rPr>
          <w:rFonts w:asciiTheme="majorHAnsi" w:hAnsiTheme="majorHAnsi" w:cs="Times New Roman"/>
          <w:b/>
          <w:bCs/>
          <w:sz w:val="24"/>
          <w:szCs w:val="24"/>
        </w:rPr>
      </w:pPr>
      <w:r w:rsidRPr="00843982">
        <w:rPr>
          <w:rFonts w:asciiTheme="majorHAnsi" w:hAnsiTheme="majorHAnsi" w:cs="Times New Roman"/>
          <w:b/>
          <w:bCs/>
          <w:sz w:val="24"/>
          <w:szCs w:val="24"/>
        </w:rPr>
        <w:t>(mil.</w:t>
      </w:r>
      <w:r>
        <w:rPr>
          <w:rFonts w:asciiTheme="majorHAnsi" w:hAnsiTheme="majorHAnsi" w:cs="Times New Roman"/>
          <w:b/>
          <w:bCs/>
          <w:sz w:val="24"/>
          <w:szCs w:val="24"/>
        </w:rPr>
        <w:t xml:space="preserve"> </w:t>
      </w:r>
      <w:r w:rsidR="007160B9">
        <w:rPr>
          <w:rFonts w:asciiTheme="majorHAnsi" w:hAnsiTheme="majorHAnsi" w:cs="Times New Roman"/>
          <w:b/>
          <w:bCs/>
          <w:sz w:val="24"/>
          <w:szCs w:val="24"/>
        </w:rPr>
        <w:t>MDL</w:t>
      </w:r>
      <w:r w:rsidRPr="00843982">
        <w:rPr>
          <w:rFonts w:asciiTheme="majorHAnsi" w:hAnsiTheme="majorHAnsi" w:cs="Times New Roman"/>
          <w:b/>
          <w:bCs/>
          <w:sz w:val="24"/>
          <w:szCs w:val="24"/>
        </w:rPr>
        <w:t>)</w:t>
      </w:r>
    </w:p>
    <w:p w:rsidR="001E5A2A" w:rsidRDefault="001E5A2A" w:rsidP="001E5A2A">
      <w:pPr>
        <w:tabs>
          <w:tab w:val="left" w:pos="8931"/>
        </w:tabs>
        <w:spacing w:after="0" w:line="276" w:lineRule="auto"/>
        <w:ind w:right="49"/>
        <w:jc w:val="center"/>
        <w:rPr>
          <w:rFonts w:ascii="Times New Roman" w:hAnsi="Times New Roman" w:cs="Times New Roman"/>
          <w:bCs/>
          <w:sz w:val="24"/>
        </w:rPr>
      </w:pPr>
      <w:r w:rsidRPr="007E4DF8">
        <w:rPr>
          <w:noProof/>
          <w:lang w:val="en-US"/>
        </w:rPr>
        <w:drawing>
          <wp:inline distT="0" distB="0" distL="0" distR="0" wp14:anchorId="380034FF" wp14:editId="7AFDE8C9">
            <wp:extent cx="5669280" cy="2194560"/>
            <wp:effectExtent l="114300" t="114300" r="140970" b="129540"/>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5A2A" w:rsidRPr="00FB186A" w:rsidRDefault="001E5A2A" w:rsidP="001E5A2A">
      <w:pPr>
        <w:tabs>
          <w:tab w:val="left" w:pos="8931"/>
        </w:tabs>
        <w:spacing w:after="0" w:line="276" w:lineRule="auto"/>
        <w:ind w:right="425"/>
        <w:jc w:val="right"/>
        <w:rPr>
          <w:rFonts w:asciiTheme="majorHAnsi" w:hAnsiTheme="majorHAnsi" w:cstheme="majorHAnsi"/>
          <w:bCs/>
          <w:sz w:val="24"/>
        </w:rPr>
      </w:pPr>
      <w:r w:rsidRPr="00FB186A">
        <w:rPr>
          <w:rFonts w:asciiTheme="majorHAnsi" w:hAnsiTheme="majorHAnsi" w:cstheme="majorHAnsi"/>
          <w:b/>
          <w:i/>
          <w:sz w:val="20"/>
          <w:szCs w:val="20"/>
        </w:rPr>
        <w:t xml:space="preserve">Sursă: </w:t>
      </w:r>
      <w:r w:rsidRPr="00FB186A">
        <w:rPr>
          <w:rFonts w:asciiTheme="majorHAnsi" w:hAnsiTheme="majorHAnsi" w:cstheme="majorHAnsi"/>
          <w:i/>
          <w:color w:val="000000"/>
          <w:spacing w:val="-1"/>
          <w:sz w:val="20"/>
          <w:szCs w:val="20"/>
        </w:rPr>
        <w:t>Informații generalizate de echipa de audit potrivit datelor prezentate de</w:t>
      </w:r>
      <w:r w:rsidRPr="00FB186A">
        <w:rPr>
          <w:rFonts w:asciiTheme="majorHAnsi" w:hAnsiTheme="majorHAnsi" w:cstheme="majorHAnsi"/>
          <w:color w:val="000000"/>
          <w:spacing w:val="-1"/>
          <w:sz w:val="20"/>
          <w:szCs w:val="20"/>
        </w:rPr>
        <w:t xml:space="preserve"> </w:t>
      </w:r>
      <w:r w:rsidR="004D3408" w:rsidRPr="00FB186A">
        <w:rPr>
          <w:rFonts w:asciiTheme="majorHAnsi" w:hAnsiTheme="majorHAnsi" w:cstheme="majorHAnsi"/>
          <w:i/>
          <w:sz w:val="20"/>
          <w:szCs w:val="20"/>
        </w:rPr>
        <w:t>SFS și SV pentru anii 2016</w:t>
      </w:r>
      <w:r w:rsidRPr="00FB186A">
        <w:rPr>
          <w:rFonts w:asciiTheme="majorHAnsi" w:hAnsiTheme="majorHAnsi" w:cstheme="majorHAnsi"/>
          <w:i/>
          <w:sz w:val="20"/>
          <w:szCs w:val="20"/>
        </w:rPr>
        <w:t>-2018.</w:t>
      </w:r>
    </w:p>
    <w:p w:rsidR="001E5A2A" w:rsidRDefault="001E5A2A" w:rsidP="001E5A2A">
      <w:pPr>
        <w:tabs>
          <w:tab w:val="left" w:pos="8931"/>
        </w:tabs>
        <w:spacing w:after="0" w:line="276" w:lineRule="auto"/>
        <w:ind w:right="425"/>
        <w:jc w:val="right"/>
        <w:rPr>
          <w:rFonts w:ascii="Times New Roman" w:hAnsi="Times New Roman" w:cs="Times New Roman"/>
          <w:bCs/>
          <w:sz w:val="24"/>
        </w:rPr>
      </w:pPr>
    </w:p>
    <w:p w:rsidR="001E5A2A" w:rsidRDefault="001E5A2A" w:rsidP="00EE541F">
      <w:pPr>
        <w:tabs>
          <w:tab w:val="left" w:pos="851"/>
        </w:tabs>
        <w:spacing w:after="0" w:line="276" w:lineRule="auto"/>
        <w:ind w:firstLine="709"/>
        <w:jc w:val="both"/>
        <w:rPr>
          <w:rFonts w:asciiTheme="majorHAnsi" w:hAnsiTheme="majorHAnsi"/>
          <w:sz w:val="24"/>
          <w:szCs w:val="24"/>
          <w:lang w:val="ro-MD"/>
        </w:rPr>
      </w:pPr>
      <w:r>
        <w:rPr>
          <w:rFonts w:asciiTheme="majorHAnsi" w:hAnsiTheme="majorHAnsi"/>
          <w:sz w:val="24"/>
          <w:szCs w:val="24"/>
          <w:lang w:val="ro-MD"/>
        </w:rPr>
        <w:lastRenderedPageBreak/>
        <w:t>D</w:t>
      </w:r>
      <w:r w:rsidRPr="008E5DD1">
        <w:rPr>
          <w:rFonts w:asciiTheme="majorHAnsi" w:hAnsiTheme="majorHAnsi"/>
          <w:sz w:val="24"/>
          <w:szCs w:val="24"/>
          <w:lang w:val="ro-MD"/>
        </w:rPr>
        <w:t xml:space="preserve">in totalul restanțelor la venituri </w:t>
      </w:r>
      <w:r>
        <w:rPr>
          <w:rFonts w:asciiTheme="majorHAnsi" w:hAnsiTheme="majorHAnsi"/>
          <w:sz w:val="24"/>
          <w:szCs w:val="24"/>
          <w:lang w:val="ro-MD"/>
        </w:rPr>
        <w:t xml:space="preserve">raportate de SFS </w:t>
      </w:r>
      <w:r w:rsidRPr="008E5DD1">
        <w:rPr>
          <w:rFonts w:asciiTheme="majorHAnsi" w:hAnsiTheme="majorHAnsi"/>
          <w:sz w:val="24"/>
          <w:szCs w:val="24"/>
          <w:lang w:val="ro-MD"/>
        </w:rPr>
        <w:t>în anul 2018, restanțele de bază constituie 631,6 mil.</w:t>
      </w:r>
      <w:r w:rsidR="000049CF">
        <w:rPr>
          <w:rFonts w:asciiTheme="majorHAnsi" w:hAnsiTheme="majorHAnsi"/>
          <w:sz w:val="24"/>
          <w:szCs w:val="24"/>
          <w:lang w:val="ro-MD"/>
        </w:rPr>
        <w:t xml:space="preserve"> </w:t>
      </w:r>
      <w:r w:rsidR="007160B9">
        <w:rPr>
          <w:rFonts w:asciiTheme="majorHAnsi" w:hAnsiTheme="majorHAnsi"/>
          <w:sz w:val="24"/>
          <w:szCs w:val="24"/>
          <w:lang w:val="ro-MD"/>
        </w:rPr>
        <w:t>MDL</w:t>
      </w:r>
      <w:r w:rsidRPr="008E5DD1">
        <w:rPr>
          <w:rFonts w:asciiTheme="majorHAnsi" w:hAnsiTheme="majorHAnsi"/>
          <w:sz w:val="24"/>
          <w:szCs w:val="24"/>
          <w:lang w:val="ro-MD"/>
        </w:rPr>
        <w:t xml:space="preserve"> (55,2%), amenzile – </w:t>
      </w:r>
      <w:r w:rsidR="00EE541F">
        <w:rPr>
          <w:rFonts w:asciiTheme="majorHAnsi" w:hAnsiTheme="majorHAnsi"/>
          <w:sz w:val="24"/>
          <w:szCs w:val="24"/>
          <w:lang w:val="ro-MD"/>
        </w:rPr>
        <w:t xml:space="preserve">228,3 mil. MDL (20,0%) </w:t>
      </w:r>
      <w:r w:rsidRPr="008E5DD1">
        <w:rPr>
          <w:rFonts w:asciiTheme="majorHAnsi" w:hAnsiTheme="majorHAnsi"/>
          <w:sz w:val="24"/>
          <w:szCs w:val="24"/>
          <w:lang w:val="ro-MD"/>
        </w:rPr>
        <w:t>și penali</w:t>
      </w:r>
      <w:r>
        <w:rPr>
          <w:rFonts w:asciiTheme="majorHAnsi" w:hAnsiTheme="majorHAnsi"/>
          <w:sz w:val="24"/>
          <w:szCs w:val="24"/>
          <w:lang w:val="ro-MD"/>
        </w:rPr>
        <w:t xml:space="preserve">tățile – </w:t>
      </w:r>
      <w:r w:rsidR="00EE541F" w:rsidRPr="008E5DD1">
        <w:rPr>
          <w:rFonts w:asciiTheme="majorHAnsi" w:hAnsiTheme="majorHAnsi"/>
          <w:sz w:val="24"/>
          <w:szCs w:val="24"/>
          <w:lang w:val="ro-MD"/>
        </w:rPr>
        <w:t>283,4 mil.</w:t>
      </w:r>
      <w:r w:rsidR="00EE541F">
        <w:rPr>
          <w:rFonts w:asciiTheme="majorHAnsi" w:hAnsiTheme="majorHAnsi"/>
          <w:sz w:val="24"/>
          <w:szCs w:val="24"/>
          <w:lang w:val="ro-MD"/>
        </w:rPr>
        <w:t xml:space="preserve"> MDL (24,8%).</w:t>
      </w:r>
    </w:p>
    <w:p w:rsidR="001E5A2A" w:rsidRPr="002E03A0" w:rsidRDefault="001E5A2A" w:rsidP="001E5A2A">
      <w:pPr>
        <w:tabs>
          <w:tab w:val="left" w:pos="8931"/>
        </w:tabs>
        <w:spacing w:after="0" w:line="276" w:lineRule="auto"/>
        <w:ind w:right="49" w:firstLine="709"/>
        <w:jc w:val="both"/>
        <w:rPr>
          <w:rFonts w:ascii="Times New Roman" w:hAnsi="Times New Roman" w:cs="Times New Roman"/>
          <w:bCs/>
          <w:sz w:val="24"/>
        </w:rPr>
      </w:pPr>
      <w:r w:rsidRPr="008E5DD1">
        <w:rPr>
          <w:rFonts w:asciiTheme="majorHAnsi" w:hAnsiTheme="majorHAnsi"/>
          <w:sz w:val="24"/>
          <w:szCs w:val="24"/>
          <w:lang w:val="ro-MD"/>
        </w:rPr>
        <w:t xml:space="preserve">În anul 2018 </w:t>
      </w:r>
      <w:r w:rsidRPr="00D43075">
        <w:rPr>
          <w:rFonts w:asciiTheme="majorHAnsi" w:hAnsiTheme="majorHAnsi"/>
          <w:b/>
          <w:i/>
          <w:sz w:val="24"/>
          <w:szCs w:val="24"/>
          <w:lang w:val="ro-MD"/>
        </w:rPr>
        <w:t>a fost aprobat procesul de stimulare fiscală</w:t>
      </w:r>
      <w:r w:rsidR="000049CF" w:rsidRPr="00FB186A">
        <w:rPr>
          <w:rFonts w:asciiTheme="majorHAnsi" w:hAnsiTheme="majorHAnsi"/>
          <w:sz w:val="24"/>
          <w:szCs w:val="24"/>
          <w:lang w:val="ro-MD"/>
        </w:rPr>
        <w:t>,</w:t>
      </w:r>
      <w:r w:rsidRPr="008E5DD1">
        <w:rPr>
          <w:rFonts w:asciiTheme="majorHAnsi" w:hAnsiTheme="majorHAnsi"/>
          <w:sz w:val="24"/>
          <w:szCs w:val="24"/>
          <w:lang w:val="ro-MD"/>
        </w:rPr>
        <w:t xml:space="preserve"> efectuat conform prevederilor Legii nr.180 din 26.07.2018</w:t>
      </w:r>
      <w:r w:rsidRPr="008E5DD1">
        <w:rPr>
          <w:rFonts w:asciiTheme="majorHAnsi" w:hAnsiTheme="majorHAnsi"/>
          <w:sz w:val="24"/>
          <w:szCs w:val="24"/>
          <w:vertAlign w:val="superscript"/>
          <w:lang w:val="ro-MD"/>
        </w:rPr>
        <w:footnoteReference w:id="50"/>
      </w:r>
      <w:r w:rsidRPr="008E5DD1">
        <w:rPr>
          <w:rFonts w:asciiTheme="majorHAnsi" w:hAnsiTheme="majorHAnsi"/>
          <w:sz w:val="24"/>
          <w:szCs w:val="24"/>
          <w:lang w:val="ro-MD"/>
        </w:rPr>
        <w:t xml:space="preserve">. </w:t>
      </w:r>
      <w:r>
        <w:rPr>
          <w:rFonts w:asciiTheme="majorHAnsi" w:hAnsiTheme="majorHAnsi"/>
          <w:sz w:val="24"/>
          <w:szCs w:val="24"/>
          <w:lang w:val="ro-MD"/>
        </w:rPr>
        <w:t>Examinările auditului la acest capitol denotă că, l</w:t>
      </w:r>
      <w:r w:rsidRPr="008E5DD1">
        <w:rPr>
          <w:rFonts w:asciiTheme="majorHAnsi" w:hAnsiTheme="majorHAnsi"/>
          <w:sz w:val="24"/>
          <w:szCs w:val="24"/>
          <w:lang w:val="ro-MD"/>
        </w:rPr>
        <w:t>a situația din 17 august 2018</w:t>
      </w:r>
      <w:r w:rsidR="000049CF">
        <w:rPr>
          <w:rFonts w:asciiTheme="majorHAnsi" w:hAnsiTheme="majorHAnsi"/>
          <w:sz w:val="24"/>
          <w:szCs w:val="24"/>
          <w:lang w:val="ro-MD"/>
        </w:rPr>
        <w:t>,</w:t>
      </w:r>
      <w:r w:rsidRPr="008E5DD1">
        <w:rPr>
          <w:rFonts w:asciiTheme="majorHAnsi" w:hAnsiTheme="majorHAnsi"/>
          <w:sz w:val="24"/>
          <w:szCs w:val="24"/>
          <w:lang w:val="ro-MD"/>
        </w:rPr>
        <w:t xml:space="preserve"> </w:t>
      </w:r>
      <w:r w:rsidR="000756FC">
        <w:rPr>
          <w:rFonts w:asciiTheme="majorHAnsi" w:hAnsiTheme="majorHAnsi"/>
          <w:sz w:val="24"/>
          <w:szCs w:val="24"/>
          <w:lang w:val="ro-MD"/>
        </w:rPr>
        <w:t xml:space="preserve">se </w:t>
      </w:r>
      <w:r w:rsidRPr="008E5DD1">
        <w:rPr>
          <w:rFonts w:asciiTheme="majorHAnsi" w:hAnsiTheme="majorHAnsi"/>
          <w:sz w:val="24"/>
          <w:szCs w:val="24"/>
          <w:lang w:val="ro-MD"/>
        </w:rPr>
        <w:t xml:space="preserve">înregistrau restanțe pasibile </w:t>
      </w:r>
      <w:r w:rsidR="000049CF">
        <w:rPr>
          <w:rFonts w:asciiTheme="majorHAnsi" w:hAnsiTheme="majorHAnsi"/>
          <w:sz w:val="24"/>
          <w:szCs w:val="24"/>
          <w:lang w:val="ro-MD"/>
        </w:rPr>
        <w:t>de</w:t>
      </w:r>
      <w:r w:rsidRPr="008E5DD1">
        <w:rPr>
          <w:rFonts w:asciiTheme="majorHAnsi" w:hAnsiTheme="majorHAnsi"/>
          <w:sz w:val="24"/>
          <w:szCs w:val="24"/>
          <w:lang w:val="ro-MD"/>
        </w:rPr>
        <w:t xml:space="preserve"> anula</w:t>
      </w:r>
      <w:r w:rsidR="000049CF">
        <w:rPr>
          <w:rFonts w:asciiTheme="majorHAnsi" w:hAnsiTheme="majorHAnsi"/>
          <w:sz w:val="24"/>
          <w:szCs w:val="24"/>
          <w:lang w:val="ro-MD"/>
        </w:rPr>
        <w:t>r</w:t>
      </w:r>
      <w:r w:rsidRPr="008E5DD1">
        <w:rPr>
          <w:rFonts w:asciiTheme="majorHAnsi" w:hAnsiTheme="majorHAnsi"/>
          <w:sz w:val="24"/>
          <w:szCs w:val="24"/>
          <w:lang w:val="ro-MD"/>
        </w:rPr>
        <w:t xml:space="preserve">e </w:t>
      </w:r>
      <w:r w:rsidR="007E0A82">
        <w:rPr>
          <w:rFonts w:asciiTheme="majorHAnsi" w:hAnsiTheme="majorHAnsi"/>
          <w:sz w:val="24"/>
          <w:szCs w:val="24"/>
          <w:lang w:val="ro-MD"/>
        </w:rPr>
        <w:t xml:space="preserve">la </w:t>
      </w:r>
      <w:r w:rsidRPr="008E5DD1">
        <w:rPr>
          <w:rFonts w:asciiTheme="majorHAnsi" w:hAnsiTheme="majorHAnsi"/>
          <w:sz w:val="24"/>
          <w:szCs w:val="24"/>
          <w:lang w:val="ro-MD"/>
        </w:rPr>
        <w:t>131</w:t>
      </w:r>
      <w:r w:rsidR="000049CF">
        <w:rPr>
          <w:rFonts w:asciiTheme="majorHAnsi" w:hAnsiTheme="majorHAnsi"/>
          <w:sz w:val="24"/>
          <w:szCs w:val="24"/>
          <w:lang w:val="ro-MD"/>
        </w:rPr>
        <w:t xml:space="preserve"> </w:t>
      </w:r>
      <w:r w:rsidRPr="008E5DD1">
        <w:rPr>
          <w:rFonts w:asciiTheme="majorHAnsi" w:hAnsiTheme="majorHAnsi"/>
          <w:sz w:val="24"/>
          <w:szCs w:val="24"/>
          <w:lang w:val="ro-MD"/>
        </w:rPr>
        <w:t>301 contribuabili, în sumă de 782,3 mil</w:t>
      </w:r>
      <w:r>
        <w:rPr>
          <w:rFonts w:asciiTheme="majorHAnsi" w:hAnsiTheme="majorHAnsi"/>
          <w:sz w:val="24"/>
          <w:szCs w:val="24"/>
          <w:lang w:val="ro-MD"/>
        </w:rPr>
        <w:t>.</w:t>
      </w:r>
      <w:r w:rsidRPr="008E5DD1">
        <w:rPr>
          <w:rFonts w:asciiTheme="majorHAnsi" w:hAnsiTheme="majorHAnsi"/>
          <w:sz w:val="24"/>
          <w:szCs w:val="24"/>
          <w:lang w:val="ro-MD"/>
        </w:rPr>
        <w:t xml:space="preserve"> </w:t>
      </w:r>
      <w:r w:rsidR="007160B9">
        <w:rPr>
          <w:rFonts w:asciiTheme="majorHAnsi" w:hAnsiTheme="majorHAnsi"/>
          <w:sz w:val="24"/>
          <w:szCs w:val="24"/>
          <w:lang w:val="ro-MD"/>
        </w:rPr>
        <w:t>MDL</w:t>
      </w:r>
      <w:r w:rsidRPr="008E5DD1">
        <w:rPr>
          <w:rFonts w:asciiTheme="majorHAnsi" w:hAnsiTheme="majorHAnsi"/>
          <w:sz w:val="24"/>
          <w:szCs w:val="24"/>
          <w:lang w:val="ro-MD"/>
        </w:rPr>
        <w:t xml:space="preserve">, inclusiv penalități </w:t>
      </w:r>
      <w:r w:rsidR="000049CF">
        <w:rPr>
          <w:rFonts w:asciiTheme="majorHAnsi" w:hAnsiTheme="majorHAnsi"/>
          <w:sz w:val="24"/>
          <w:szCs w:val="24"/>
          <w:lang w:val="ro-MD"/>
        </w:rPr>
        <w:t xml:space="preserve">de </w:t>
      </w:r>
      <w:r w:rsidR="000049CF" w:rsidRPr="008E5DD1">
        <w:rPr>
          <w:rFonts w:asciiTheme="majorHAnsi" w:hAnsiTheme="majorHAnsi"/>
          <w:sz w:val="24"/>
          <w:szCs w:val="24"/>
          <w:lang w:val="ro-MD"/>
        </w:rPr>
        <w:t xml:space="preserve">401,2 mil. </w:t>
      </w:r>
      <w:r w:rsidR="000049CF">
        <w:rPr>
          <w:rFonts w:asciiTheme="majorHAnsi" w:hAnsiTheme="majorHAnsi"/>
          <w:sz w:val="24"/>
          <w:szCs w:val="24"/>
          <w:lang w:val="ro-MD"/>
        </w:rPr>
        <w:t>MDL</w:t>
      </w:r>
      <w:r w:rsidR="000049CF" w:rsidRPr="008E5DD1">
        <w:rPr>
          <w:rFonts w:asciiTheme="majorHAnsi" w:hAnsiTheme="majorHAnsi"/>
          <w:sz w:val="24"/>
          <w:szCs w:val="24"/>
          <w:lang w:val="ro-MD"/>
        </w:rPr>
        <w:t xml:space="preserve"> </w:t>
      </w:r>
      <w:r w:rsidRPr="008E5DD1">
        <w:rPr>
          <w:rFonts w:asciiTheme="majorHAnsi" w:hAnsiTheme="majorHAnsi"/>
          <w:sz w:val="24"/>
          <w:szCs w:val="24"/>
          <w:lang w:val="ro-MD"/>
        </w:rPr>
        <w:t xml:space="preserve">și </w:t>
      </w:r>
      <w:r w:rsidR="000049CF">
        <w:rPr>
          <w:rFonts w:asciiTheme="majorHAnsi" w:hAnsiTheme="majorHAnsi"/>
          <w:sz w:val="24"/>
          <w:szCs w:val="24"/>
          <w:lang w:val="ro-MD"/>
        </w:rPr>
        <w:t xml:space="preserve">amenzi de </w:t>
      </w:r>
      <w:r w:rsidRPr="008E5DD1">
        <w:rPr>
          <w:rFonts w:asciiTheme="majorHAnsi" w:hAnsiTheme="majorHAnsi"/>
          <w:sz w:val="24"/>
          <w:szCs w:val="24"/>
          <w:lang w:val="ro-MD"/>
        </w:rPr>
        <w:t xml:space="preserve">381,0 mil. </w:t>
      </w:r>
      <w:r w:rsidR="007160B9">
        <w:rPr>
          <w:rFonts w:asciiTheme="majorHAnsi" w:hAnsiTheme="majorHAnsi"/>
          <w:sz w:val="24"/>
          <w:szCs w:val="24"/>
          <w:lang w:val="ro-MD"/>
        </w:rPr>
        <w:t>MD</w:t>
      </w:r>
      <w:r w:rsidR="000756FC">
        <w:rPr>
          <w:rFonts w:asciiTheme="majorHAnsi" w:hAnsiTheme="majorHAnsi"/>
          <w:sz w:val="24"/>
          <w:szCs w:val="24"/>
          <w:lang w:val="ro-MD"/>
        </w:rPr>
        <w:t>L</w:t>
      </w:r>
      <w:r w:rsidRPr="008E5DD1">
        <w:rPr>
          <w:rFonts w:asciiTheme="majorHAnsi" w:hAnsiTheme="majorHAnsi"/>
          <w:sz w:val="24"/>
          <w:szCs w:val="24"/>
          <w:lang w:val="ro-MD"/>
        </w:rPr>
        <w:t>.</w:t>
      </w:r>
    </w:p>
    <w:p w:rsidR="001E5A2A" w:rsidRPr="008E5DD1" w:rsidRDefault="001E5A2A" w:rsidP="001E5A2A">
      <w:pPr>
        <w:tabs>
          <w:tab w:val="left" w:pos="851"/>
        </w:tabs>
        <w:spacing w:after="0" w:line="276" w:lineRule="auto"/>
        <w:ind w:firstLine="709"/>
        <w:jc w:val="both"/>
        <w:rPr>
          <w:rFonts w:asciiTheme="majorHAnsi" w:hAnsiTheme="majorHAnsi"/>
          <w:sz w:val="24"/>
          <w:szCs w:val="24"/>
          <w:lang w:val="ro-MD"/>
        </w:rPr>
      </w:pPr>
      <w:r w:rsidRPr="008E5DD1">
        <w:rPr>
          <w:rFonts w:asciiTheme="majorHAnsi" w:hAnsiTheme="majorHAnsi"/>
          <w:sz w:val="24"/>
          <w:szCs w:val="24"/>
          <w:lang w:val="ro-MD"/>
        </w:rPr>
        <w:t xml:space="preserve">Astfel, </w:t>
      </w:r>
      <w:r w:rsidR="00C1160E">
        <w:rPr>
          <w:rFonts w:asciiTheme="majorHAnsi" w:hAnsiTheme="majorHAnsi"/>
          <w:sz w:val="24"/>
          <w:szCs w:val="24"/>
          <w:lang w:val="ro-MD"/>
        </w:rPr>
        <w:t>până la situația din 31.12.2018,</w:t>
      </w:r>
      <w:r w:rsidR="00600766">
        <w:rPr>
          <w:rFonts w:asciiTheme="majorHAnsi" w:hAnsiTheme="majorHAnsi"/>
          <w:sz w:val="24"/>
          <w:szCs w:val="24"/>
          <w:lang w:val="ro-MD"/>
        </w:rPr>
        <w:t xml:space="preserve"> </w:t>
      </w:r>
      <w:r w:rsidRPr="008E5DD1">
        <w:rPr>
          <w:rFonts w:asciiTheme="majorHAnsi" w:hAnsiTheme="majorHAnsi"/>
          <w:sz w:val="24"/>
          <w:szCs w:val="24"/>
          <w:lang w:val="ro-MD"/>
        </w:rPr>
        <w:t xml:space="preserve">conform art.15 din Legea menționată, suma amenzilor și majorărilor de întârziere anulată din sistemul informațional al SFS </w:t>
      </w:r>
      <w:r>
        <w:rPr>
          <w:rFonts w:asciiTheme="majorHAnsi" w:hAnsiTheme="majorHAnsi"/>
          <w:sz w:val="24"/>
          <w:szCs w:val="24"/>
          <w:lang w:val="ro-MD"/>
        </w:rPr>
        <w:t>a constituit</w:t>
      </w:r>
      <w:r w:rsidRPr="008E5DD1">
        <w:rPr>
          <w:rFonts w:asciiTheme="majorHAnsi" w:hAnsiTheme="majorHAnsi"/>
          <w:sz w:val="24"/>
          <w:szCs w:val="24"/>
          <w:lang w:val="ro-MD"/>
        </w:rPr>
        <w:t xml:space="preserve"> 194,1 mil. </w:t>
      </w:r>
      <w:r w:rsidR="007160B9">
        <w:rPr>
          <w:rFonts w:asciiTheme="majorHAnsi" w:hAnsiTheme="majorHAnsi"/>
          <w:sz w:val="24"/>
          <w:szCs w:val="24"/>
          <w:lang w:val="ro-MD"/>
        </w:rPr>
        <w:t>MDL</w:t>
      </w:r>
      <w:r w:rsidR="000049CF">
        <w:rPr>
          <w:rFonts w:asciiTheme="majorHAnsi" w:hAnsiTheme="majorHAnsi"/>
          <w:sz w:val="24"/>
          <w:szCs w:val="24"/>
          <w:lang w:val="ro-MD"/>
        </w:rPr>
        <w:t>,</w:t>
      </w:r>
      <w:r w:rsidR="007160B9">
        <w:rPr>
          <w:rFonts w:asciiTheme="majorHAnsi" w:hAnsiTheme="majorHAnsi"/>
          <w:sz w:val="24"/>
          <w:szCs w:val="24"/>
          <w:lang w:val="ro-MD"/>
        </w:rPr>
        <w:t xml:space="preserve"> </w:t>
      </w:r>
      <w:r w:rsidRPr="008E5DD1">
        <w:rPr>
          <w:rFonts w:asciiTheme="majorHAnsi" w:hAnsiTheme="majorHAnsi"/>
          <w:sz w:val="24"/>
          <w:szCs w:val="24"/>
          <w:lang w:val="ro-MD"/>
        </w:rPr>
        <w:t xml:space="preserve"> sau </w:t>
      </w:r>
      <w:r w:rsidR="00841C84">
        <w:rPr>
          <w:rFonts w:asciiTheme="majorHAnsi" w:hAnsiTheme="majorHAnsi"/>
          <w:sz w:val="24"/>
          <w:szCs w:val="24"/>
          <w:lang w:val="ro-MD"/>
        </w:rPr>
        <w:t>25,0</w:t>
      </w:r>
      <w:r w:rsidRPr="008E5DD1">
        <w:rPr>
          <w:rFonts w:asciiTheme="majorHAnsi" w:hAnsiTheme="majorHAnsi"/>
          <w:sz w:val="24"/>
          <w:szCs w:val="24"/>
          <w:lang w:val="ro-MD"/>
        </w:rPr>
        <w:t>%</w:t>
      </w:r>
      <w:r w:rsidR="00841C84">
        <w:rPr>
          <w:rFonts w:asciiTheme="majorHAnsi" w:hAnsiTheme="majorHAnsi"/>
          <w:sz w:val="24"/>
          <w:szCs w:val="24"/>
          <w:lang w:val="ro-MD"/>
        </w:rPr>
        <w:t xml:space="preserve"> din </w:t>
      </w:r>
      <w:r w:rsidR="00841C84" w:rsidRPr="005C64A2">
        <w:rPr>
          <w:rFonts w:asciiTheme="majorHAnsi" w:hAnsiTheme="majorHAnsi"/>
          <w:sz w:val="24"/>
          <w:szCs w:val="24"/>
          <w:lang w:val="ro-MD"/>
        </w:rPr>
        <w:t>totalul p</w:t>
      </w:r>
      <w:r w:rsidR="000049CF" w:rsidRPr="005C64A2">
        <w:rPr>
          <w:rFonts w:asciiTheme="majorHAnsi" w:hAnsiTheme="majorHAnsi"/>
          <w:sz w:val="24"/>
          <w:szCs w:val="24"/>
          <w:lang w:val="ro-MD"/>
        </w:rPr>
        <w:t>a</w:t>
      </w:r>
      <w:r w:rsidR="00841C84" w:rsidRPr="005C64A2">
        <w:rPr>
          <w:rFonts w:asciiTheme="majorHAnsi" w:hAnsiTheme="majorHAnsi"/>
          <w:sz w:val="24"/>
          <w:szCs w:val="24"/>
          <w:lang w:val="ro-MD"/>
        </w:rPr>
        <w:t>sibil</w:t>
      </w:r>
      <w:r w:rsidR="00841C84">
        <w:rPr>
          <w:rFonts w:asciiTheme="majorHAnsi" w:hAnsiTheme="majorHAnsi"/>
          <w:sz w:val="24"/>
          <w:szCs w:val="24"/>
          <w:lang w:val="ro-MD"/>
        </w:rPr>
        <w:t xml:space="preserve"> anulării</w:t>
      </w:r>
      <w:r w:rsidRPr="008E5DD1">
        <w:rPr>
          <w:rFonts w:asciiTheme="majorHAnsi" w:hAnsiTheme="majorHAnsi"/>
          <w:sz w:val="24"/>
          <w:szCs w:val="24"/>
          <w:lang w:val="ro-MD"/>
        </w:rPr>
        <w:t xml:space="preserve"> (BS </w:t>
      </w:r>
      <w:r w:rsidR="000049CF">
        <w:rPr>
          <w:rFonts w:asciiTheme="majorHAnsi" w:hAnsiTheme="majorHAnsi"/>
          <w:sz w:val="24"/>
          <w:szCs w:val="24"/>
          <w:lang w:val="ro-MD"/>
        </w:rPr>
        <w:t>–</w:t>
      </w:r>
      <w:r w:rsidRPr="008E5DD1">
        <w:rPr>
          <w:rFonts w:asciiTheme="majorHAnsi" w:hAnsiTheme="majorHAnsi"/>
          <w:sz w:val="24"/>
          <w:szCs w:val="24"/>
          <w:lang w:val="ro-MD"/>
        </w:rPr>
        <w:t xml:space="preserve"> 187,4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FAOAM – 6,7 mil. </w:t>
      </w:r>
      <w:r w:rsidR="007160B9">
        <w:rPr>
          <w:rFonts w:asciiTheme="majorHAnsi" w:hAnsiTheme="majorHAnsi"/>
          <w:sz w:val="24"/>
          <w:szCs w:val="24"/>
          <w:lang w:val="ro-MD"/>
        </w:rPr>
        <w:t>MDL</w:t>
      </w:r>
      <w:r w:rsidRPr="008E5DD1">
        <w:rPr>
          <w:rFonts w:asciiTheme="majorHAnsi" w:hAnsiTheme="majorHAnsi"/>
          <w:sz w:val="24"/>
          <w:szCs w:val="24"/>
          <w:lang w:val="ro-MD"/>
        </w:rPr>
        <w:t>)</w:t>
      </w:r>
      <w:r w:rsidR="000049CF">
        <w:rPr>
          <w:rFonts w:asciiTheme="majorHAnsi" w:hAnsiTheme="majorHAnsi"/>
          <w:sz w:val="24"/>
          <w:szCs w:val="24"/>
          <w:lang w:val="ro-MD"/>
        </w:rPr>
        <w:t>,</w:t>
      </w:r>
      <w:r w:rsidRPr="008E5DD1">
        <w:rPr>
          <w:rFonts w:asciiTheme="majorHAnsi" w:hAnsiTheme="majorHAnsi"/>
          <w:sz w:val="24"/>
          <w:szCs w:val="24"/>
          <w:lang w:val="ro-MD"/>
        </w:rPr>
        <w:t xml:space="preserve"> inclusiv 42,7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w:t>
      </w:r>
      <w:r w:rsidR="005B6538">
        <w:rPr>
          <w:rFonts w:asciiTheme="majorHAnsi" w:hAnsiTheme="majorHAnsi"/>
          <w:sz w:val="24"/>
          <w:szCs w:val="24"/>
          <w:lang w:val="ro-MD"/>
        </w:rPr>
        <w:t xml:space="preserve">– </w:t>
      </w:r>
      <w:r w:rsidRPr="008E5DD1">
        <w:rPr>
          <w:rFonts w:asciiTheme="majorHAnsi" w:hAnsiTheme="majorHAnsi"/>
          <w:sz w:val="24"/>
          <w:szCs w:val="24"/>
          <w:lang w:val="ro-MD"/>
        </w:rPr>
        <w:t>majorări de întârziere</w:t>
      </w:r>
      <w:r w:rsidR="00793C62">
        <w:rPr>
          <w:rFonts w:asciiTheme="majorHAnsi" w:hAnsiTheme="majorHAnsi"/>
          <w:sz w:val="24"/>
          <w:szCs w:val="24"/>
          <w:lang w:val="ro-MD"/>
        </w:rPr>
        <w:t xml:space="preserve"> </w:t>
      </w:r>
      <w:r w:rsidRPr="008E5DD1">
        <w:rPr>
          <w:rFonts w:asciiTheme="majorHAnsi" w:hAnsiTheme="majorHAnsi"/>
          <w:sz w:val="24"/>
          <w:szCs w:val="24"/>
          <w:lang w:val="ro-MD"/>
        </w:rPr>
        <w:t xml:space="preserve">(BS – 36,7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FAOAM – 6,0 mil. </w:t>
      </w:r>
      <w:r w:rsidR="007160B9">
        <w:rPr>
          <w:rFonts w:asciiTheme="majorHAnsi" w:hAnsiTheme="majorHAnsi"/>
          <w:sz w:val="24"/>
          <w:szCs w:val="24"/>
          <w:lang w:val="ro-MD"/>
        </w:rPr>
        <w:t>MDL</w:t>
      </w:r>
      <w:r w:rsidRPr="008E5DD1">
        <w:rPr>
          <w:rFonts w:asciiTheme="majorHAnsi" w:hAnsiTheme="majorHAnsi"/>
          <w:sz w:val="24"/>
          <w:szCs w:val="24"/>
          <w:lang w:val="ro-MD"/>
        </w:rPr>
        <w:t>)</w:t>
      </w:r>
      <w:r w:rsidR="000756FC">
        <w:rPr>
          <w:rFonts w:asciiTheme="majorHAnsi" w:hAnsiTheme="majorHAnsi"/>
          <w:sz w:val="24"/>
          <w:szCs w:val="24"/>
          <w:lang w:val="ro-MD"/>
        </w:rPr>
        <w:t>,</w:t>
      </w:r>
      <w:r w:rsidRPr="008E5DD1">
        <w:rPr>
          <w:rFonts w:asciiTheme="majorHAnsi" w:hAnsiTheme="majorHAnsi"/>
          <w:sz w:val="24"/>
          <w:szCs w:val="24"/>
          <w:lang w:val="ro-MD"/>
        </w:rPr>
        <w:t xml:space="preserve"> și 151,4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w:t>
      </w:r>
      <w:r w:rsidR="005B6538">
        <w:rPr>
          <w:rFonts w:asciiTheme="majorHAnsi" w:hAnsiTheme="majorHAnsi"/>
          <w:sz w:val="24"/>
          <w:szCs w:val="24"/>
          <w:lang w:val="ro-MD"/>
        </w:rPr>
        <w:t xml:space="preserve">– </w:t>
      </w:r>
      <w:r w:rsidRPr="008E5DD1">
        <w:rPr>
          <w:rFonts w:asciiTheme="majorHAnsi" w:hAnsiTheme="majorHAnsi"/>
          <w:sz w:val="24"/>
          <w:szCs w:val="24"/>
          <w:lang w:val="ro-MD"/>
        </w:rPr>
        <w:t xml:space="preserve">amenzi (BS – 150,6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FAOAM – 0,7 mil. </w:t>
      </w:r>
      <w:r w:rsidR="007160B9">
        <w:rPr>
          <w:rFonts w:asciiTheme="majorHAnsi" w:hAnsiTheme="majorHAnsi"/>
          <w:sz w:val="24"/>
          <w:szCs w:val="24"/>
          <w:lang w:val="ro-MD"/>
        </w:rPr>
        <w:t>MDL</w:t>
      </w:r>
      <w:r w:rsidRPr="008E5DD1">
        <w:rPr>
          <w:rFonts w:asciiTheme="majorHAnsi" w:hAnsiTheme="majorHAnsi"/>
          <w:sz w:val="24"/>
          <w:szCs w:val="24"/>
          <w:lang w:val="ro-MD"/>
        </w:rPr>
        <w:t>)</w:t>
      </w:r>
      <w:r w:rsidRPr="008E5DD1">
        <w:rPr>
          <w:rFonts w:asciiTheme="majorHAnsi" w:hAnsiTheme="majorHAnsi"/>
          <w:sz w:val="24"/>
          <w:szCs w:val="24"/>
          <w:vertAlign w:val="superscript"/>
          <w:lang w:val="ro-MD"/>
        </w:rPr>
        <w:t xml:space="preserve"> </w:t>
      </w:r>
      <w:r w:rsidRPr="008E5DD1">
        <w:rPr>
          <w:rFonts w:asciiTheme="majorHAnsi" w:hAnsiTheme="majorHAnsi"/>
          <w:sz w:val="24"/>
          <w:szCs w:val="24"/>
          <w:vertAlign w:val="superscript"/>
          <w:lang w:val="ro-MD"/>
        </w:rPr>
        <w:footnoteReference w:id="51"/>
      </w:r>
      <w:r w:rsidR="006772A9">
        <w:rPr>
          <w:rFonts w:asciiTheme="majorHAnsi" w:hAnsiTheme="majorHAnsi"/>
          <w:sz w:val="24"/>
          <w:szCs w:val="24"/>
          <w:lang w:val="ro-MD"/>
        </w:rPr>
        <w:t>, care a</w:t>
      </w:r>
      <w:r w:rsidR="005B6538">
        <w:rPr>
          <w:rFonts w:asciiTheme="majorHAnsi" w:hAnsiTheme="majorHAnsi"/>
          <w:sz w:val="24"/>
          <w:szCs w:val="24"/>
          <w:lang w:val="ro-MD"/>
        </w:rPr>
        <w:t>u</w:t>
      </w:r>
      <w:r w:rsidR="006772A9">
        <w:rPr>
          <w:rFonts w:asciiTheme="majorHAnsi" w:hAnsiTheme="majorHAnsi"/>
          <w:sz w:val="24"/>
          <w:szCs w:val="24"/>
          <w:lang w:val="ro-MD"/>
        </w:rPr>
        <w:t xml:space="preserve"> influențat reducerea restanțelor în comparație cu anii precedenți.</w:t>
      </w:r>
    </w:p>
    <w:p w:rsidR="001E5A2A" w:rsidRPr="008E5DD1" w:rsidRDefault="001E5A2A" w:rsidP="001E5A2A">
      <w:pPr>
        <w:tabs>
          <w:tab w:val="left" w:pos="851"/>
        </w:tabs>
        <w:spacing w:after="0" w:line="276" w:lineRule="auto"/>
        <w:ind w:firstLine="709"/>
        <w:jc w:val="both"/>
        <w:rPr>
          <w:rFonts w:asciiTheme="majorHAnsi" w:hAnsiTheme="majorHAnsi"/>
          <w:b/>
          <w:sz w:val="24"/>
          <w:szCs w:val="24"/>
          <w:lang w:val="ro-MD"/>
        </w:rPr>
      </w:pPr>
      <w:r w:rsidRPr="008E5DD1">
        <w:rPr>
          <w:rFonts w:asciiTheme="majorHAnsi" w:hAnsiTheme="majorHAnsi"/>
          <w:sz w:val="24"/>
          <w:szCs w:val="24"/>
          <w:lang w:val="ro-MD"/>
        </w:rPr>
        <w:t>De</w:t>
      </w:r>
      <w:r w:rsidR="005B6538">
        <w:rPr>
          <w:rFonts w:asciiTheme="majorHAnsi" w:hAnsiTheme="majorHAnsi"/>
          <w:sz w:val="24"/>
          <w:szCs w:val="24"/>
          <w:lang w:val="ro-MD"/>
        </w:rPr>
        <w:t xml:space="preserve"> </w:t>
      </w:r>
      <w:r w:rsidRPr="008E5DD1">
        <w:rPr>
          <w:rFonts w:asciiTheme="majorHAnsi" w:hAnsiTheme="majorHAnsi"/>
          <w:sz w:val="24"/>
          <w:szCs w:val="24"/>
          <w:lang w:val="ro-MD"/>
        </w:rPr>
        <w:t>asemenea</w:t>
      </w:r>
      <w:r w:rsidR="00604188">
        <w:rPr>
          <w:rFonts w:asciiTheme="majorHAnsi" w:hAnsiTheme="majorHAnsi"/>
          <w:sz w:val="24"/>
          <w:szCs w:val="24"/>
          <w:lang w:val="ro-MD"/>
        </w:rPr>
        <w:t>,</w:t>
      </w:r>
      <w:r w:rsidRPr="008E5DD1">
        <w:rPr>
          <w:rFonts w:asciiTheme="majorHAnsi" w:hAnsiTheme="majorHAnsi"/>
          <w:sz w:val="24"/>
          <w:szCs w:val="24"/>
          <w:lang w:val="ro-MD"/>
        </w:rPr>
        <w:t xml:space="preserve"> în conformitate cu art.4 </w:t>
      </w:r>
      <w:proofErr w:type="spellStart"/>
      <w:r w:rsidRPr="008E5DD1">
        <w:rPr>
          <w:rFonts w:asciiTheme="majorHAnsi" w:hAnsiTheme="majorHAnsi"/>
          <w:sz w:val="24"/>
          <w:szCs w:val="24"/>
          <w:lang w:val="ro-MD"/>
        </w:rPr>
        <w:t>lit.a</w:t>
      </w:r>
      <w:proofErr w:type="spellEnd"/>
      <w:r w:rsidRPr="008E5DD1">
        <w:rPr>
          <w:rFonts w:asciiTheme="majorHAnsi" w:hAnsiTheme="majorHAnsi"/>
          <w:sz w:val="24"/>
          <w:szCs w:val="24"/>
          <w:lang w:val="ro-MD"/>
        </w:rPr>
        <w:t>) din Lege</w:t>
      </w:r>
      <w:r w:rsidR="00604188">
        <w:rPr>
          <w:rFonts w:asciiTheme="majorHAnsi" w:hAnsiTheme="majorHAnsi"/>
          <w:sz w:val="24"/>
          <w:szCs w:val="24"/>
          <w:lang w:val="ro-MD"/>
        </w:rPr>
        <w:t>a menționată</w:t>
      </w:r>
      <w:r w:rsidRPr="008E5DD1">
        <w:rPr>
          <w:rFonts w:asciiTheme="majorHAnsi" w:hAnsiTheme="majorHAnsi"/>
          <w:sz w:val="24"/>
          <w:szCs w:val="24"/>
          <w:lang w:val="ro-MD"/>
        </w:rPr>
        <w:t>, în scopul beneficierii de stimulare fiscală, din 47</w:t>
      </w:r>
      <w:r w:rsidR="005B6538">
        <w:rPr>
          <w:rFonts w:asciiTheme="majorHAnsi" w:hAnsiTheme="majorHAnsi"/>
          <w:sz w:val="24"/>
          <w:szCs w:val="24"/>
          <w:lang w:val="ro-MD"/>
        </w:rPr>
        <w:t xml:space="preserve"> </w:t>
      </w:r>
      <w:r w:rsidRPr="008E5DD1">
        <w:rPr>
          <w:rFonts w:asciiTheme="majorHAnsi" w:hAnsiTheme="majorHAnsi"/>
          <w:sz w:val="24"/>
          <w:szCs w:val="24"/>
          <w:lang w:val="ro-MD"/>
        </w:rPr>
        <w:t xml:space="preserve">028 </w:t>
      </w:r>
      <w:r w:rsidR="005B6538">
        <w:rPr>
          <w:rFonts w:asciiTheme="majorHAnsi" w:hAnsiTheme="majorHAnsi"/>
          <w:sz w:val="24"/>
          <w:szCs w:val="24"/>
          <w:lang w:val="ro-MD"/>
        </w:rPr>
        <w:t xml:space="preserve">de </w:t>
      </w:r>
      <w:r w:rsidRPr="008E5DD1">
        <w:rPr>
          <w:rFonts w:asciiTheme="majorHAnsi" w:hAnsiTheme="majorHAnsi"/>
          <w:sz w:val="24"/>
          <w:szCs w:val="24"/>
          <w:lang w:val="ro-MD"/>
        </w:rPr>
        <w:t>contribuabili care înregistrau restanț</w:t>
      </w:r>
      <w:r w:rsidR="005B6538">
        <w:rPr>
          <w:rFonts w:asciiTheme="majorHAnsi" w:hAnsiTheme="majorHAnsi"/>
          <w:sz w:val="24"/>
          <w:szCs w:val="24"/>
          <w:lang w:val="ro-MD"/>
        </w:rPr>
        <w:t>e</w:t>
      </w:r>
      <w:r w:rsidRPr="008E5DD1">
        <w:rPr>
          <w:rFonts w:asciiTheme="majorHAnsi" w:hAnsiTheme="majorHAnsi"/>
          <w:sz w:val="24"/>
          <w:szCs w:val="24"/>
          <w:lang w:val="ro-MD"/>
        </w:rPr>
        <w:t xml:space="preserve"> la plăți</w:t>
      </w:r>
      <w:r w:rsidR="005B6538">
        <w:rPr>
          <w:rFonts w:asciiTheme="majorHAnsi" w:hAnsiTheme="majorHAnsi"/>
          <w:sz w:val="24"/>
          <w:szCs w:val="24"/>
          <w:lang w:val="ro-MD"/>
        </w:rPr>
        <w:t>le</w:t>
      </w:r>
      <w:r w:rsidRPr="008E5DD1">
        <w:rPr>
          <w:rFonts w:asciiTheme="majorHAnsi" w:hAnsiTheme="majorHAnsi"/>
          <w:sz w:val="24"/>
          <w:szCs w:val="24"/>
          <w:lang w:val="ro-MD"/>
        </w:rPr>
        <w:t xml:space="preserve"> de bază la situația din 17.08.2018, au stins restanța </w:t>
      </w:r>
      <w:r w:rsidR="005B6538">
        <w:rPr>
          <w:rFonts w:asciiTheme="majorHAnsi" w:hAnsiTheme="majorHAnsi"/>
          <w:sz w:val="24"/>
          <w:szCs w:val="24"/>
          <w:lang w:val="ro-MD"/>
        </w:rPr>
        <w:t xml:space="preserve">respectivă </w:t>
      </w:r>
      <w:r w:rsidRPr="008E5DD1">
        <w:rPr>
          <w:rFonts w:asciiTheme="majorHAnsi" w:hAnsiTheme="majorHAnsi"/>
          <w:sz w:val="24"/>
          <w:szCs w:val="24"/>
          <w:lang w:val="ro-MD"/>
        </w:rPr>
        <w:t>17</w:t>
      </w:r>
      <w:r w:rsidR="005B6538">
        <w:rPr>
          <w:rFonts w:asciiTheme="majorHAnsi" w:hAnsiTheme="majorHAnsi"/>
          <w:sz w:val="24"/>
          <w:szCs w:val="24"/>
          <w:lang w:val="ro-MD"/>
        </w:rPr>
        <w:t xml:space="preserve"> </w:t>
      </w:r>
      <w:r w:rsidRPr="008E5DD1">
        <w:rPr>
          <w:rFonts w:asciiTheme="majorHAnsi" w:hAnsiTheme="majorHAnsi"/>
          <w:sz w:val="24"/>
          <w:szCs w:val="24"/>
          <w:lang w:val="ro-MD"/>
        </w:rPr>
        <w:t xml:space="preserve">746 </w:t>
      </w:r>
      <w:r w:rsidR="005B6538">
        <w:rPr>
          <w:rFonts w:asciiTheme="majorHAnsi" w:hAnsiTheme="majorHAnsi"/>
          <w:sz w:val="24"/>
          <w:szCs w:val="24"/>
          <w:lang w:val="ro-MD"/>
        </w:rPr>
        <w:t xml:space="preserve">de </w:t>
      </w:r>
      <w:r w:rsidRPr="008E5DD1">
        <w:rPr>
          <w:rFonts w:asciiTheme="majorHAnsi" w:hAnsiTheme="majorHAnsi"/>
          <w:sz w:val="24"/>
          <w:szCs w:val="24"/>
          <w:lang w:val="ro-MD"/>
        </w:rPr>
        <w:t>contribuabili</w:t>
      </w:r>
      <w:r w:rsidR="005B6538">
        <w:rPr>
          <w:rFonts w:asciiTheme="majorHAnsi" w:hAnsiTheme="majorHAnsi"/>
          <w:sz w:val="24"/>
          <w:szCs w:val="24"/>
          <w:lang w:val="ro-MD"/>
        </w:rPr>
        <w:t>,</w:t>
      </w:r>
      <w:r w:rsidRPr="008E5DD1">
        <w:rPr>
          <w:rFonts w:asciiTheme="majorHAnsi" w:hAnsiTheme="majorHAnsi"/>
          <w:sz w:val="24"/>
          <w:szCs w:val="24"/>
          <w:lang w:val="ro-MD"/>
        </w:rPr>
        <w:t xml:space="preserve"> în sumă totală de 82,9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inclusiv 75,4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la </w:t>
      </w:r>
      <w:r w:rsidR="00E20CC7">
        <w:rPr>
          <w:rFonts w:asciiTheme="majorHAnsi" w:hAnsiTheme="majorHAnsi"/>
          <w:sz w:val="24"/>
          <w:szCs w:val="24"/>
          <w:lang w:val="ro-MD"/>
        </w:rPr>
        <w:t>BS</w:t>
      </w:r>
      <w:r w:rsidRPr="008E5DD1">
        <w:rPr>
          <w:rFonts w:asciiTheme="majorHAnsi" w:hAnsiTheme="majorHAnsi"/>
          <w:sz w:val="24"/>
          <w:szCs w:val="24"/>
          <w:lang w:val="ro-MD"/>
        </w:rPr>
        <w:t xml:space="preserve"> și 7,5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la FAOAM. </w:t>
      </w:r>
    </w:p>
    <w:p w:rsidR="001E5A2A" w:rsidRPr="008E5DD1" w:rsidRDefault="001E5A2A" w:rsidP="001E5A2A">
      <w:pPr>
        <w:tabs>
          <w:tab w:val="left" w:pos="851"/>
        </w:tabs>
        <w:spacing w:after="0" w:line="276" w:lineRule="auto"/>
        <w:ind w:firstLine="709"/>
        <w:jc w:val="both"/>
        <w:rPr>
          <w:rFonts w:asciiTheme="majorHAnsi" w:hAnsiTheme="majorHAnsi"/>
          <w:b/>
          <w:sz w:val="24"/>
          <w:szCs w:val="24"/>
        </w:rPr>
      </w:pPr>
      <w:r>
        <w:rPr>
          <w:rFonts w:asciiTheme="majorHAnsi" w:hAnsiTheme="majorHAnsi"/>
          <w:sz w:val="24"/>
          <w:szCs w:val="24"/>
          <w:lang w:val="ro-MD"/>
        </w:rPr>
        <w:t>Totodată, restanțele administrate și raportate de</w:t>
      </w:r>
      <w:r w:rsidRPr="008E5DD1">
        <w:rPr>
          <w:rFonts w:asciiTheme="majorHAnsi" w:hAnsiTheme="majorHAnsi"/>
          <w:sz w:val="24"/>
          <w:szCs w:val="24"/>
          <w:lang w:val="ro-MD"/>
        </w:rPr>
        <w:t xml:space="preserve"> SV, </w:t>
      </w:r>
      <w:r>
        <w:rPr>
          <w:rFonts w:asciiTheme="majorHAnsi" w:hAnsiTheme="majorHAnsi"/>
          <w:sz w:val="24"/>
          <w:szCs w:val="24"/>
          <w:lang w:val="ro-MD"/>
        </w:rPr>
        <w:t xml:space="preserve">la </w:t>
      </w:r>
      <w:r w:rsidRPr="008E5DD1">
        <w:rPr>
          <w:rFonts w:asciiTheme="majorHAnsi" w:hAnsiTheme="majorHAnsi"/>
          <w:sz w:val="24"/>
          <w:szCs w:val="24"/>
          <w:lang w:val="ro-MD"/>
        </w:rPr>
        <w:t>plățile de bază constitui</w:t>
      </w:r>
      <w:r w:rsidR="0060385A">
        <w:rPr>
          <w:rFonts w:asciiTheme="majorHAnsi" w:hAnsiTheme="majorHAnsi"/>
          <w:sz w:val="24"/>
          <w:szCs w:val="24"/>
          <w:lang w:val="ro-MD"/>
        </w:rPr>
        <w:t>nd</w:t>
      </w:r>
      <w:r w:rsidRPr="008E5DD1">
        <w:rPr>
          <w:rFonts w:asciiTheme="majorHAnsi" w:hAnsiTheme="majorHAnsi"/>
          <w:sz w:val="24"/>
          <w:szCs w:val="24"/>
          <w:lang w:val="ro-MD"/>
        </w:rPr>
        <w:t xml:space="preserve"> 259,6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(54,3%), </w:t>
      </w:r>
      <w:r w:rsidR="005B6538">
        <w:rPr>
          <w:rFonts w:asciiTheme="majorHAnsi" w:hAnsiTheme="majorHAnsi"/>
          <w:sz w:val="24"/>
          <w:szCs w:val="24"/>
          <w:lang w:val="ro-MD"/>
        </w:rPr>
        <w:t xml:space="preserve">la </w:t>
      </w:r>
      <w:r w:rsidRPr="008E5DD1">
        <w:rPr>
          <w:rFonts w:asciiTheme="majorHAnsi" w:hAnsiTheme="majorHAnsi"/>
          <w:sz w:val="24"/>
          <w:szCs w:val="24"/>
          <w:lang w:val="ro-MD"/>
        </w:rPr>
        <w:t xml:space="preserve">amenzi – 74,7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(30,1%)</w:t>
      </w:r>
      <w:r w:rsidR="005B6538">
        <w:rPr>
          <w:rFonts w:asciiTheme="majorHAnsi" w:hAnsiTheme="majorHAnsi"/>
          <w:sz w:val="24"/>
          <w:szCs w:val="24"/>
          <w:lang w:val="ro-MD"/>
        </w:rPr>
        <w:t>,</w:t>
      </w:r>
      <w:r w:rsidRPr="008E5DD1">
        <w:rPr>
          <w:rFonts w:asciiTheme="majorHAnsi" w:hAnsiTheme="majorHAnsi"/>
          <w:sz w:val="24"/>
          <w:szCs w:val="24"/>
          <w:lang w:val="ro-MD"/>
        </w:rPr>
        <w:t xml:space="preserve"> și </w:t>
      </w:r>
      <w:r w:rsidR="005B6538">
        <w:rPr>
          <w:rFonts w:asciiTheme="majorHAnsi" w:hAnsiTheme="majorHAnsi"/>
          <w:sz w:val="24"/>
          <w:szCs w:val="24"/>
          <w:lang w:val="ro-MD"/>
        </w:rPr>
        <w:t xml:space="preserve">la </w:t>
      </w:r>
      <w:r w:rsidRPr="008E5DD1">
        <w:rPr>
          <w:rFonts w:asciiTheme="majorHAnsi" w:hAnsiTheme="majorHAnsi"/>
          <w:sz w:val="24"/>
          <w:szCs w:val="24"/>
          <w:lang w:val="ro-MD"/>
        </w:rPr>
        <w:t xml:space="preserve">penalități – 143,9 mil. </w:t>
      </w:r>
      <w:r w:rsidR="007160B9">
        <w:rPr>
          <w:rFonts w:asciiTheme="majorHAnsi" w:hAnsiTheme="majorHAnsi"/>
          <w:sz w:val="24"/>
          <w:szCs w:val="24"/>
          <w:lang w:val="ro-MD"/>
        </w:rPr>
        <w:t>MDL</w:t>
      </w:r>
      <w:r w:rsidRPr="008E5DD1">
        <w:rPr>
          <w:rFonts w:asciiTheme="majorHAnsi" w:hAnsiTheme="majorHAnsi"/>
          <w:sz w:val="24"/>
          <w:szCs w:val="24"/>
          <w:lang w:val="ro-MD"/>
        </w:rPr>
        <w:t xml:space="preserve"> (15,6%)</w:t>
      </w:r>
      <w:r w:rsidR="005B6538">
        <w:rPr>
          <w:rFonts w:asciiTheme="majorHAnsi" w:hAnsiTheme="majorHAnsi"/>
          <w:sz w:val="24"/>
          <w:szCs w:val="24"/>
          <w:lang w:val="ro-MD"/>
        </w:rPr>
        <w:t>,</w:t>
      </w:r>
      <w:r w:rsidRPr="008E5DD1">
        <w:rPr>
          <w:rFonts w:asciiTheme="majorHAnsi" w:hAnsiTheme="majorHAnsi"/>
          <w:sz w:val="24"/>
          <w:szCs w:val="24"/>
          <w:lang w:val="ro-MD"/>
        </w:rPr>
        <w:t xml:space="preserve"> </w:t>
      </w:r>
      <w:r w:rsidR="005B6538">
        <w:rPr>
          <w:rFonts w:asciiTheme="majorHAnsi" w:hAnsiTheme="majorHAnsi"/>
          <w:sz w:val="24"/>
          <w:szCs w:val="24"/>
          <w:lang w:val="ro-MD"/>
        </w:rPr>
        <w:t xml:space="preserve">au fost </w:t>
      </w:r>
      <w:r w:rsidRPr="008E5DD1">
        <w:rPr>
          <w:rFonts w:asciiTheme="majorHAnsi" w:hAnsiTheme="majorHAnsi"/>
          <w:sz w:val="24"/>
          <w:szCs w:val="24"/>
          <w:lang w:val="ro-MD"/>
        </w:rPr>
        <w:t xml:space="preserve">calculate în sistem până în anul 2015, ulterior unele </w:t>
      </w:r>
      <w:r w:rsidR="005B6538">
        <w:rPr>
          <w:rFonts w:asciiTheme="majorHAnsi" w:hAnsiTheme="majorHAnsi"/>
          <w:sz w:val="24"/>
          <w:szCs w:val="24"/>
          <w:lang w:val="ro-MD"/>
        </w:rPr>
        <w:t xml:space="preserve">fiind </w:t>
      </w:r>
      <w:r w:rsidRPr="008E5DD1">
        <w:rPr>
          <w:rFonts w:asciiTheme="majorHAnsi" w:hAnsiTheme="majorHAnsi"/>
          <w:sz w:val="24"/>
          <w:szCs w:val="24"/>
          <w:lang w:val="ro-MD"/>
        </w:rPr>
        <w:t xml:space="preserve">calculate și introduse </w:t>
      </w:r>
      <w:r w:rsidR="0060385A" w:rsidRPr="008E5DD1">
        <w:rPr>
          <w:rFonts w:asciiTheme="majorHAnsi" w:hAnsiTheme="majorHAnsi"/>
          <w:sz w:val="24"/>
          <w:szCs w:val="24"/>
          <w:lang w:val="ro-MD"/>
        </w:rPr>
        <w:t xml:space="preserve">manual </w:t>
      </w:r>
      <w:r w:rsidRPr="008E5DD1">
        <w:rPr>
          <w:rFonts w:asciiTheme="majorHAnsi" w:hAnsiTheme="majorHAnsi"/>
          <w:sz w:val="24"/>
          <w:szCs w:val="24"/>
          <w:lang w:val="ro-MD"/>
        </w:rPr>
        <w:t xml:space="preserve">în sistem. Deși conform HCC nr.20 din 26.05.2017, Curtea de Conturi a înaintat </w:t>
      </w:r>
      <w:r w:rsidR="005B6538">
        <w:rPr>
          <w:rFonts w:asciiTheme="majorHAnsi" w:hAnsiTheme="majorHAnsi"/>
          <w:sz w:val="24"/>
          <w:szCs w:val="24"/>
          <w:lang w:val="ro-MD"/>
        </w:rPr>
        <w:t xml:space="preserve">SV </w:t>
      </w:r>
      <w:r w:rsidRPr="008E5DD1">
        <w:rPr>
          <w:rFonts w:asciiTheme="majorHAnsi" w:hAnsiTheme="majorHAnsi"/>
          <w:sz w:val="24"/>
          <w:szCs w:val="24"/>
          <w:lang w:val="ro-MD"/>
        </w:rPr>
        <w:t>recomandare</w:t>
      </w:r>
      <w:r w:rsidR="005B6538">
        <w:rPr>
          <w:rFonts w:asciiTheme="majorHAnsi" w:hAnsiTheme="majorHAnsi"/>
          <w:sz w:val="24"/>
          <w:szCs w:val="24"/>
          <w:lang w:val="ro-MD"/>
        </w:rPr>
        <w:t>a</w:t>
      </w:r>
      <w:r w:rsidRPr="008E5DD1">
        <w:rPr>
          <w:rFonts w:asciiTheme="majorHAnsi" w:hAnsiTheme="majorHAnsi"/>
          <w:sz w:val="24"/>
          <w:szCs w:val="24"/>
          <w:lang w:val="ro-MD"/>
        </w:rPr>
        <w:t xml:space="preserve"> </w:t>
      </w:r>
      <w:r w:rsidR="005B6538">
        <w:rPr>
          <w:rFonts w:asciiTheme="majorHAnsi" w:hAnsiTheme="majorHAnsi"/>
          <w:i/>
          <w:sz w:val="24"/>
          <w:szCs w:val="24"/>
          <w:lang w:val="ro-MD"/>
        </w:rPr>
        <w:t>„</w:t>
      </w:r>
      <w:r w:rsidRPr="008E5DD1">
        <w:rPr>
          <w:rFonts w:asciiTheme="majorHAnsi" w:hAnsiTheme="majorHAnsi"/>
          <w:i/>
          <w:sz w:val="24"/>
          <w:szCs w:val="24"/>
          <w:lang w:val="ro-MD"/>
        </w:rPr>
        <w:t>Să asigure soluționarea problemei de calculare a penalităților la obligațiile vamale în SIA al Serviciului Vamal, efectuând înregistrarea, evidența și raportarea către Ministerul Finanțelor a restanței reale administrate în aspectul plăților de bază și penalităților”</w:t>
      </w:r>
      <w:r w:rsidRPr="008E5DD1">
        <w:rPr>
          <w:rFonts w:asciiTheme="majorHAnsi" w:hAnsiTheme="majorHAnsi"/>
          <w:sz w:val="24"/>
          <w:szCs w:val="24"/>
          <w:lang w:val="ro-MD"/>
        </w:rPr>
        <w:t xml:space="preserve">, </w:t>
      </w:r>
      <w:r w:rsidR="00DA18D4">
        <w:rPr>
          <w:rFonts w:asciiTheme="majorHAnsi" w:hAnsiTheme="majorHAnsi"/>
          <w:sz w:val="24"/>
          <w:szCs w:val="24"/>
          <w:lang w:val="ro-MD"/>
        </w:rPr>
        <w:t xml:space="preserve">aceasta </w:t>
      </w:r>
      <w:r w:rsidR="005B6538">
        <w:rPr>
          <w:rFonts w:asciiTheme="majorHAnsi" w:hAnsiTheme="majorHAnsi"/>
          <w:sz w:val="24"/>
          <w:szCs w:val="24"/>
          <w:lang w:val="ro-MD"/>
        </w:rPr>
        <w:t>nu a fost</w:t>
      </w:r>
      <w:r w:rsidR="00DA18D4">
        <w:rPr>
          <w:rFonts w:asciiTheme="majorHAnsi" w:hAnsiTheme="majorHAnsi"/>
          <w:sz w:val="24"/>
          <w:szCs w:val="24"/>
          <w:lang w:val="ro-MD"/>
        </w:rPr>
        <w:t xml:space="preserve"> implementată până la moment,</w:t>
      </w:r>
      <w:r w:rsidRPr="008E5DD1">
        <w:rPr>
          <w:rFonts w:asciiTheme="majorHAnsi" w:hAnsiTheme="majorHAnsi"/>
          <w:sz w:val="24"/>
          <w:szCs w:val="24"/>
          <w:lang w:val="ro-MD"/>
        </w:rPr>
        <w:t xml:space="preserve"> </w:t>
      </w:r>
      <w:r w:rsidR="003E75CE" w:rsidRPr="00D62C93">
        <w:rPr>
          <w:rFonts w:asciiTheme="majorHAnsi" w:hAnsiTheme="majorHAnsi"/>
          <w:sz w:val="24"/>
          <w:szCs w:val="24"/>
          <w:lang w:val="ro-MD"/>
        </w:rPr>
        <w:t xml:space="preserve">ceea ce </w:t>
      </w:r>
      <w:r w:rsidR="00D62C93">
        <w:rPr>
          <w:rFonts w:asciiTheme="majorHAnsi" w:hAnsiTheme="majorHAnsi"/>
          <w:sz w:val="24"/>
          <w:szCs w:val="24"/>
          <w:lang w:val="ro-MD"/>
        </w:rPr>
        <w:t xml:space="preserve">sporește </w:t>
      </w:r>
      <w:r w:rsidR="003E75CE" w:rsidRPr="00D62C93">
        <w:rPr>
          <w:rFonts w:asciiTheme="majorHAnsi" w:hAnsiTheme="majorHAnsi"/>
          <w:sz w:val="24"/>
          <w:szCs w:val="24"/>
          <w:lang w:val="ro-MD"/>
        </w:rPr>
        <w:t xml:space="preserve">riscul de denaturare </w:t>
      </w:r>
      <w:r w:rsidR="00D62C93">
        <w:rPr>
          <w:rFonts w:asciiTheme="majorHAnsi" w:hAnsiTheme="majorHAnsi"/>
          <w:sz w:val="24"/>
          <w:szCs w:val="24"/>
          <w:lang w:val="ro-MD"/>
        </w:rPr>
        <w:t>a sumei reale</w:t>
      </w:r>
      <w:r w:rsidRPr="00D62C93">
        <w:rPr>
          <w:rFonts w:asciiTheme="majorHAnsi" w:hAnsiTheme="majorHAnsi"/>
          <w:sz w:val="24"/>
          <w:szCs w:val="24"/>
          <w:lang w:val="ro-MD"/>
        </w:rPr>
        <w:t xml:space="preserve"> a restanțelor</w:t>
      </w:r>
      <w:r w:rsidRPr="008E5DD1">
        <w:rPr>
          <w:rFonts w:asciiTheme="majorHAnsi" w:hAnsiTheme="majorHAnsi"/>
          <w:sz w:val="24"/>
          <w:szCs w:val="24"/>
          <w:lang w:val="ro-MD"/>
        </w:rPr>
        <w:t xml:space="preserve"> administrate. </w:t>
      </w:r>
      <w:r w:rsidRPr="008E5DD1">
        <w:rPr>
          <w:rFonts w:asciiTheme="majorHAnsi" w:hAnsiTheme="majorHAnsi"/>
          <w:i/>
          <w:sz w:val="24"/>
          <w:szCs w:val="24"/>
        </w:rPr>
        <w:t>Informația privind evoluția restanțelor istorice la BS (plăți de bază) administrate de SV se prezintă în Anexa nr.</w:t>
      </w:r>
      <w:r w:rsidR="00A776C7">
        <w:rPr>
          <w:rFonts w:asciiTheme="majorHAnsi" w:hAnsiTheme="majorHAnsi"/>
          <w:i/>
          <w:sz w:val="24"/>
          <w:szCs w:val="24"/>
        </w:rPr>
        <w:t>9</w:t>
      </w:r>
      <w:r>
        <w:rPr>
          <w:rFonts w:asciiTheme="majorHAnsi" w:hAnsiTheme="majorHAnsi"/>
          <w:i/>
          <w:sz w:val="24"/>
          <w:szCs w:val="24"/>
        </w:rPr>
        <w:t xml:space="preserve"> la prezentul Raport de audit.</w:t>
      </w:r>
    </w:p>
    <w:p w:rsidR="001E5A2A" w:rsidRPr="007039E8" w:rsidRDefault="001E5A2A" w:rsidP="001E5A2A">
      <w:pPr>
        <w:tabs>
          <w:tab w:val="left" w:pos="851"/>
        </w:tabs>
        <w:spacing w:after="0" w:line="276" w:lineRule="auto"/>
        <w:jc w:val="both"/>
        <w:rPr>
          <w:rFonts w:asciiTheme="majorHAnsi" w:eastAsiaTheme="minorEastAsia" w:hAnsiTheme="majorHAnsi" w:cs="Times New Roman"/>
          <w:b/>
          <w:bCs/>
          <w:iCs/>
          <w:sz w:val="24"/>
          <w:szCs w:val="24"/>
          <w:lang w:eastAsia="ru-RU"/>
        </w:rPr>
      </w:pPr>
      <w:r w:rsidRPr="007039E8">
        <w:rPr>
          <w:rFonts w:asciiTheme="majorHAnsi" w:eastAsiaTheme="minorEastAsia" w:hAnsiTheme="majorHAnsi" w:cs="Times New Roman"/>
          <w:b/>
          <w:bCs/>
          <w:i/>
          <w:iCs/>
          <w:sz w:val="24"/>
          <w:szCs w:val="24"/>
          <w:lang w:eastAsia="ru-RU"/>
        </w:rPr>
        <w:t xml:space="preserve">Nivelul de încasare a sumelor calculate în </w:t>
      </w:r>
      <w:r w:rsidR="005B6538">
        <w:rPr>
          <w:rFonts w:asciiTheme="majorHAnsi" w:eastAsiaTheme="minorEastAsia" w:hAnsiTheme="majorHAnsi" w:cs="Times New Roman"/>
          <w:b/>
          <w:bCs/>
          <w:i/>
          <w:iCs/>
          <w:sz w:val="24"/>
          <w:szCs w:val="24"/>
          <w:lang w:eastAsia="ru-RU"/>
        </w:rPr>
        <w:t>urma</w:t>
      </w:r>
      <w:r w:rsidR="005B6538" w:rsidRPr="007039E8">
        <w:rPr>
          <w:rFonts w:asciiTheme="majorHAnsi" w:eastAsiaTheme="minorEastAsia" w:hAnsiTheme="majorHAnsi" w:cs="Times New Roman"/>
          <w:b/>
          <w:bCs/>
          <w:i/>
          <w:iCs/>
          <w:sz w:val="24"/>
          <w:szCs w:val="24"/>
          <w:lang w:eastAsia="ru-RU"/>
        </w:rPr>
        <w:t xml:space="preserve"> </w:t>
      </w:r>
      <w:r w:rsidRPr="007039E8">
        <w:rPr>
          <w:rFonts w:asciiTheme="majorHAnsi" w:eastAsiaTheme="minorEastAsia" w:hAnsiTheme="majorHAnsi" w:cs="Times New Roman"/>
          <w:b/>
          <w:bCs/>
          <w:i/>
          <w:iCs/>
          <w:sz w:val="24"/>
          <w:szCs w:val="24"/>
          <w:lang w:eastAsia="ru-RU"/>
        </w:rPr>
        <w:t>controalelor fiscale și post</w:t>
      </w:r>
      <w:r w:rsidR="002D7F6C">
        <w:rPr>
          <w:rFonts w:asciiTheme="majorHAnsi" w:eastAsiaTheme="minorEastAsia" w:hAnsiTheme="majorHAnsi" w:cs="Times New Roman"/>
          <w:b/>
          <w:bCs/>
          <w:i/>
          <w:iCs/>
          <w:sz w:val="24"/>
          <w:szCs w:val="24"/>
          <w:lang w:eastAsia="ru-RU"/>
        </w:rPr>
        <w:t>-</w:t>
      </w:r>
      <w:r w:rsidRPr="007039E8">
        <w:rPr>
          <w:rFonts w:asciiTheme="majorHAnsi" w:eastAsiaTheme="minorEastAsia" w:hAnsiTheme="majorHAnsi" w:cs="Times New Roman"/>
          <w:b/>
          <w:bCs/>
          <w:i/>
          <w:iCs/>
          <w:sz w:val="24"/>
          <w:szCs w:val="24"/>
          <w:lang w:eastAsia="ru-RU"/>
        </w:rPr>
        <w:t>vămuire este scăzut, sau la nivel de 23,7% și, respectiv</w:t>
      </w:r>
      <w:r w:rsidR="005B6538">
        <w:rPr>
          <w:rFonts w:asciiTheme="majorHAnsi" w:eastAsiaTheme="minorEastAsia" w:hAnsiTheme="majorHAnsi" w:cs="Times New Roman"/>
          <w:b/>
          <w:bCs/>
          <w:i/>
          <w:iCs/>
          <w:sz w:val="24"/>
          <w:szCs w:val="24"/>
          <w:lang w:eastAsia="ru-RU"/>
        </w:rPr>
        <w:t>,</w:t>
      </w:r>
      <w:r w:rsidRPr="007039E8">
        <w:rPr>
          <w:rFonts w:asciiTheme="majorHAnsi" w:eastAsiaTheme="minorEastAsia" w:hAnsiTheme="majorHAnsi" w:cs="Times New Roman"/>
          <w:b/>
          <w:bCs/>
          <w:i/>
          <w:iCs/>
          <w:sz w:val="24"/>
          <w:szCs w:val="24"/>
          <w:lang w:eastAsia="ru-RU"/>
        </w:rPr>
        <w:t xml:space="preserve"> </w:t>
      </w:r>
      <w:r w:rsidR="002D7F6C">
        <w:rPr>
          <w:rFonts w:asciiTheme="majorHAnsi" w:eastAsiaTheme="minorEastAsia" w:hAnsiTheme="majorHAnsi" w:cs="Times New Roman"/>
          <w:b/>
          <w:bCs/>
          <w:i/>
          <w:iCs/>
          <w:sz w:val="24"/>
          <w:szCs w:val="24"/>
          <w:lang w:eastAsia="ru-RU"/>
        </w:rPr>
        <w:t xml:space="preserve">de </w:t>
      </w:r>
      <w:r w:rsidRPr="007039E8">
        <w:rPr>
          <w:rFonts w:asciiTheme="majorHAnsi" w:eastAsiaTheme="minorEastAsia" w:hAnsiTheme="majorHAnsi" w:cs="Times New Roman"/>
          <w:b/>
          <w:bCs/>
          <w:i/>
          <w:iCs/>
          <w:sz w:val="24"/>
          <w:szCs w:val="24"/>
          <w:lang w:eastAsia="ru-RU"/>
        </w:rPr>
        <w:t>8,5%</w:t>
      </w:r>
      <w:r w:rsidRPr="007039E8">
        <w:rPr>
          <w:rFonts w:asciiTheme="majorHAnsi" w:eastAsiaTheme="minorEastAsia" w:hAnsiTheme="majorHAnsi" w:cs="Times New Roman"/>
          <w:b/>
          <w:bCs/>
          <w:iCs/>
          <w:sz w:val="24"/>
          <w:szCs w:val="24"/>
          <w:lang w:eastAsia="ru-RU"/>
        </w:rPr>
        <w:t>.</w:t>
      </w:r>
    </w:p>
    <w:p w:rsidR="001E5A2A" w:rsidRPr="007039E8" w:rsidRDefault="001E5A2A" w:rsidP="001E5A2A">
      <w:pPr>
        <w:tabs>
          <w:tab w:val="left" w:pos="851"/>
        </w:tabs>
        <w:spacing w:after="0" w:line="276" w:lineRule="auto"/>
        <w:ind w:firstLine="709"/>
        <w:jc w:val="both"/>
        <w:rPr>
          <w:rFonts w:asciiTheme="majorHAnsi" w:eastAsiaTheme="minorEastAsia" w:hAnsiTheme="majorHAnsi" w:cs="Times New Roman"/>
          <w:bCs/>
          <w:iCs/>
          <w:sz w:val="24"/>
          <w:szCs w:val="24"/>
          <w:lang w:eastAsia="ru-RU"/>
        </w:rPr>
      </w:pPr>
      <w:r>
        <w:rPr>
          <w:rFonts w:asciiTheme="majorHAnsi" w:eastAsiaTheme="minorEastAsia" w:hAnsiTheme="majorHAnsi" w:cs="Times New Roman"/>
          <w:bCs/>
          <w:iCs/>
          <w:sz w:val="24"/>
          <w:szCs w:val="24"/>
          <w:lang w:eastAsia="ru-RU"/>
        </w:rPr>
        <w:t>Conform datelor raportate</w:t>
      </w:r>
      <w:r w:rsidR="002D7F6C">
        <w:rPr>
          <w:rFonts w:asciiTheme="majorHAnsi" w:eastAsiaTheme="minorEastAsia" w:hAnsiTheme="majorHAnsi" w:cs="Times New Roman"/>
          <w:bCs/>
          <w:iCs/>
          <w:sz w:val="24"/>
          <w:szCs w:val="24"/>
          <w:lang w:eastAsia="ru-RU"/>
        </w:rPr>
        <w:t>,</w:t>
      </w:r>
      <w:r>
        <w:rPr>
          <w:rFonts w:asciiTheme="majorHAnsi" w:eastAsiaTheme="minorEastAsia" w:hAnsiTheme="majorHAnsi" w:cs="Times New Roman"/>
          <w:bCs/>
          <w:iCs/>
          <w:sz w:val="24"/>
          <w:szCs w:val="24"/>
          <w:lang w:eastAsia="ru-RU"/>
        </w:rPr>
        <w:t xml:space="preserve"> î</w:t>
      </w:r>
      <w:r w:rsidRPr="007039E8">
        <w:rPr>
          <w:rFonts w:asciiTheme="majorHAnsi" w:eastAsiaTheme="minorEastAsia" w:hAnsiTheme="majorHAnsi" w:cs="Times New Roman"/>
          <w:bCs/>
          <w:iCs/>
          <w:sz w:val="24"/>
          <w:szCs w:val="24"/>
          <w:lang w:eastAsia="ru-RU"/>
        </w:rPr>
        <w:t xml:space="preserve">n anul 2018 </w:t>
      </w:r>
      <w:r w:rsidR="00C87CD2" w:rsidRPr="007039E8">
        <w:rPr>
          <w:rFonts w:asciiTheme="majorHAnsi" w:eastAsiaTheme="minorEastAsia" w:hAnsiTheme="majorHAnsi" w:cs="Times New Roman"/>
          <w:bCs/>
          <w:iCs/>
          <w:sz w:val="24"/>
          <w:szCs w:val="24"/>
          <w:lang w:eastAsia="ru-RU"/>
        </w:rPr>
        <w:t xml:space="preserve">SFS </w:t>
      </w:r>
      <w:r w:rsidRPr="007039E8">
        <w:rPr>
          <w:rFonts w:asciiTheme="majorHAnsi" w:eastAsiaTheme="minorEastAsia" w:hAnsiTheme="majorHAnsi" w:cs="Times New Roman"/>
          <w:bCs/>
          <w:iCs/>
          <w:sz w:val="24"/>
          <w:szCs w:val="24"/>
          <w:lang w:eastAsia="ru-RU"/>
        </w:rPr>
        <w:t>a efectuat 35</w:t>
      </w:r>
      <w:r w:rsidR="002D7F6C">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 xml:space="preserve">314 de controale fiscale, ponderea controalelor rezultative </w:t>
      </w:r>
      <w:r w:rsidR="002D7F6C">
        <w:rPr>
          <w:rFonts w:asciiTheme="majorHAnsi" w:eastAsiaTheme="minorEastAsia" w:hAnsiTheme="majorHAnsi" w:cs="Times New Roman"/>
          <w:bCs/>
          <w:iCs/>
          <w:sz w:val="24"/>
          <w:szCs w:val="24"/>
          <w:lang w:eastAsia="ru-RU"/>
        </w:rPr>
        <w:t>î</w:t>
      </w:r>
      <w:r w:rsidRPr="007039E8">
        <w:rPr>
          <w:rFonts w:asciiTheme="majorHAnsi" w:eastAsiaTheme="minorEastAsia" w:hAnsiTheme="majorHAnsi" w:cs="Times New Roman"/>
          <w:bCs/>
          <w:iCs/>
          <w:sz w:val="24"/>
          <w:szCs w:val="24"/>
          <w:lang w:eastAsia="ru-RU"/>
        </w:rPr>
        <w:t>n total</w:t>
      </w:r>
      <w:r w:rsidR="002D7F6C">
        <w:rPr>
          <w:rFonts w:asciiTheme="majorHAnsi" w:eastAsiaTheme="minorEastAsia" w:hAnsiTheme="majorHAnsi" w:cs="Times New Roman"/>
          <w:bCs/>
          <w:iCs/>
          <w:sz w:val="24"/>
          <w:szCs w:val="24"/>
          <w:lang w:eastAsia="ru-RU"/>
        </w:rPr>
        <w:t>ul celor</w:t>
      </w:r>
      <w:r w:rsidRPr="007039E8">
        <w:rPr>
          <w:rFonts w:asciiTheme="majorHAnsi" w:eastAsiaTheme="minorEastAsia" w:hAnsiTheme="majorHAnsi" w:cs="Times New Roman"/>
          <w:bCs/>
          <w:iCs/>
          <w:sz w:val="24"/>
          <w:szCs w:val="24"/>
          <w:lang w:eastAsia="ru-RU"/>
        </w:rPr>
        <w:t xml:space="preserve"> efectuate constitui</w:t>
      </w:r>
      <w:r w:rsidR="00C87CD2">
        <w:rPr>
          <w:rFonts w:asciiTheme="majorHAnsi" w:eastAsiaTheme="minorEastAsia" w:hAnsiTheme="majorHAnsi" w:cs="Times New Roman"/>
          <w:bCs/>
          <w:iCs/>
          <w:sz w:val="24"/>
          <w:szCs w:val="24"/>
          <w:lang w:eastAsia="ru-RU"/>
        </w:rPr>
        <w:t>nd</w:t>
      </w:r>
      <w:r w:rsidRPr="007039E8">
        <w:rPr>
          <w:rFonts w:asciiTheme="majorHAnsi" w:eastAsiaTheme="minorEastAsia" w:hAnsiTheme="majorHAnsi" w:cs="Times New Roman"/>
          <w:bCs/>
          <w:iCs/>
          <w:sz w:val="24"/>
          <w:szCs w:val="24"/>
          <w:lang w:eastAsia="ru-RU"/>
        </w:rPr>
        <w:t xml:space="preserve"> 53,1%. Totodată, auditul a constatat că numărul controalelor neplanificate (34</w:t>
      </w:r>
      <w:r w:rsidR="00B23F56">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053)</w:t>
      </w:r>
      <w:r w:rsidR="00B23F5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efectuate pe parcursul anului 2018</w:t>
      </w:r>
      <w:r w:rsidR="00B23F5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prevalează față de numărul controalelor planificate (1</w:t>
      </w:r>
      <w:r w:rsidR="00B23F56">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 xml:space="preserve">261), </w:t>
      </w:r>
      <w:proofErr w:type="spellStart"/>
      <w:r w:rsidRPr="007039E8">
        <w:rPr>
          <w:rFonts w:asciiTheme="majorHAnsi" w:eastAsiaTheme="minorEastAsia" w:hAnsiTheme="majorHAnsi" w:cs="Times New Roman"/>
          <w:bCs/>
          <w:iCs/>
          <w:sz w:val="24"/>
          <w:szCs w:val="24"/>
          <w:lang w:eastAsia="ru-RU"/>
        </w:rPr>
        <w:t>rezultativitatea</w:t>
      </w:r>
      <w:proofErr w:type="spellEnd"/>
      <w:r w:rsidRPr="007039E8">
        <w:rPr>
          <w:rFonts w:asciiTheme="majorHAnsi" w:eastAsiaTheme="minorEastAsia" w:hAnsiTheme="majorHAnsi" w:cs="Times New Roman"/>
          <w:bCs/>
          <w:iCs/>
          <w:sz w:val="24"/>
          <w:szCs w:val="24"/>
          <w:lang w:eastAsia="ru-RU"/>
        </w:rPr>
        <w:t xml:space="preserve"> controalelor neplanificate </w:t>
      </w:r>
      <w:r w:rsidR="00B23F56">
        <w:rPr>
          <w:rFonts w:asciiTheme="majorHAnsi" w:eastAsiaTheme="minorEastAsia" w:hAnsiTheme="majorHAnsi" w:cs="Times New Roman"/>
          <w:bCs/>
          <w:iCs/>
          <w:sz w:val="24"/>
          <w:szCs w:val="24"/>
          <w:lang w:eastAsia="ru-RU"/>
        </w:rPr>
        <w:t xml:space="preserve">fiind </w:t>
      </w:r>
      <w:r w:rsidRPr="007039E8">
        <w:rPr>
          <w:rFonts w:asciiTheme="majorHAnsi" w:eastAsiaTheme="minorEastAsia" w:hAnsiTheme="majorHAnsi" w:cs="Times New Roman"/>
          <w:bCs/>
          <w:iCs/>
          <w:sz w:val="24"/>
          <w:szCs w:val="24"/>
          <w:lang w:eastAsia="ru-RU"/>
        </w:rPr>
        <w:t>la nivel de doar 51,7%</w:t>
      </w:r>
      <w:r w:rsidR="00CA1644">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iar a controalelor planificate </w:t>
      </w:r>
      <w:r w:rsidR="00B23F56">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de 91,3%</w:t>
      </w:r>
      <w:r>
        <w:rPr>
          <w:rFonts w:asciiTheme="majorHAnsi" w:eastAsiaTheme="minorEastAsia" w:hAnsiTheme="majorHAnsi" w:cs="Times New Roman"/>
          <w:bCs/>
          <w:iCs/>
          <w:sz w:val="24"/>
          <w:szCs w:val="24"/>
          <w:lang w:eastAsia="ru-RU"/>
        </w:rPr>
        <w:t>.</w:t>
      </w:r>
    </w:p>
    <w:p w:rsidR="001E5A2A" w:rsidRPr="007039E8" w:rsidRDefault="001E5A2A" w:rsidP="001E5A2A">
      <w:pPr>
        <w:tabs>
          <w:tab w:val="left" w:pos="851"/>
        </w:tabs>
        <w:spacing w:after="0" w:line="276" w:lineRule="auto"/>
        <w:ind w:firstLine="709"/>
        <w:jc w:val="both"/>
        <w:rPr>
          <w:rFonts w:asciiTheme="majorHAnsi" w:eastAsiaTheme="minorEastAsia" w:hAnsiTheme="majorHAnsi" w:cs="Times New Roman"/>
          <w:bCs/>
          <w:iCs/>
          <w:sz w:val="24"/>
          <w:szCs w:val="24"/>
          <w:lang w:eastAsia="ru-RU"/>
        </w:rPr>
      </w:pPr>
      <w:r w:rsidRPr="007039E8">
        <w:rPr>
          <w:rFonts w:asciiTheme="majorHAnsi" w:eastAsiaTheme="minorEastAsia" w:hAnsiTheme="majorHAnsi" w:cs="Times New Roman"/>
          <w:bCs/>
          <w:iCs/>
          <w:sz w:val="24"/>
          <w:szCs w:val="24"/>
          <w:lang w:eastAsia="ru-RU"/>
        </w:rPr>
        <w:t>Suma impozitelor, taxelor și altor plăți</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inclusiv sancțiunil</w:t>
      </w:r>
      <w:r w:rsidR="00C87CD2">
        <w:rPr>
          <w:rFonts w:asciiTheme="majorHAnsi" w:eastAsiaTheme="minorEastAsia" w:hAnsiTheme="majorHAnsi" w:cs="Times New Roman"/>
          <w:bCs/>
          <w:iCs/>
          <w:sz w:val="24"/>
          <w:szCs w:val="24"/>
          <w:lang w:eastAsia="ru-RU"/>
        </w:rPr>
        <w:t>or</w:t>
      </w:r>
      <w:r w:rsidRPr="007039E8">
        <w:rPr>
          <w:rFonts w:asciiTheme="majorHAnsi" w:eastAsiaTheme="minorEastAsia" w:hAnsiTheme="majorHAnsi" w:cs="Times New Roman"/>
          <w:bCs/>
          <w:iCs/>
          <w:sz w:val="24"/>
          <w:szCs w:val="24"/>
          <w:lang w:eastAsia="ru-RU"/>
        </w:rPr>
        <w:t xml:space="preserve"> calculate la buget </w:t>
      </w:r>
      <w:r w:rsidR="00C87CD2">
        <w:rPr>
          <w:rFonts w:asciiTheme="majorHAnsi" w:eastAsiaTheme="minorEastAsia" w:hAnsiTheme="majorHAnsi" w:cs="Times New Roman"/>
          <w:bCs/>
          <w:iCs/>
          <w:sz w:val="24"/>
          <w:szCs w:val="24"/>
          <w:lang w:eastAsia="ru-RU"/>
        </w:rPr>
        <w:t>ca</w:t>
      </w:r>
      <w:r w:rsidRPr="007039E8">
        <w:rPr>
          <w:rFonts w:asciiTheme="majorHAnsi" w:eastAsiaTheme="minorEastAsia" w:hAnsiTheme="majorHAnsi" w:cs="Times New Roman"/>
          <w:bCs/>
          <w:iCs/>
          <w:sz w:val="24"/>
          <w:szCs w:val="24"/>
          <w:lang w:eastAsia="ru-RU"/>
        </w:rPr>
        <w:t xml:space="preserve"> rezultat</w:t>
      </w:r>
      <w:r w:rsidR="00C87CD2">
        <w:rPr>
          <w:rFonts w:asciiTheme="majorHAnsi" w:eastAsiaTheme="minorEastAsia" w:hAnsiTheme="majorHAnsi" w:cs="Times New Roman"/>
          <w:bCs/>
          <w:iCs/>
          <w:sz w:val="24"/>
          <w:szCs w:val="24"/>
          <w:lang w:eastAsia="ru-RU"/>
        </w:rPr>
        <w:t xml:space="preserve"> al</w:t>
      </w:r>
      <w:r w:rsidRPr="007039E8">
        <w:rPr>
          <w:rFonts w:asciiTheme="majorHAnsi" w:eastAsiaTheme="minorEastAsia" w:hAnsiTheme="majorHAnsi" w:cs="Times New Roman"/>
          <w:bCs/>
          <w:iCs/>
          <w:sz w:val="24"/>
          <w:szCs w:val="24"/>
          <w:lang w:eastAsia="ru-RU"/>
        </w:rPr>
        <w:t xml:space="preserve"> controalelor fiscale</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w:t>
      </w:r>
      <w:r w:rsidR="00501A16">
        <w:rPr>
          <w:rFonts w:asciiTheme="majorHAnsi" w:eastAsiaTheme="minorEastAsia" w:hAnsiTheme="majorHAnsi" w:cs="Times New Roman"/>
          <w:bCs/>
          <w:iCs/>
          <w:sz w:val="24"/>
          <w:szCs w:val="24"/>
          <w:lang w:eastAsia="ru-RU"/>
        </w:rPr>
        <w:t>înregistrează</w:t>
      </w:r>
      <w:r w:rsidRPr="007039E8">
        <w:rPr>
          <w:rFonts w:asciiTheme="majorHAnsi" w:eastAsiaTheme="minorEastAsia" w:hAnsiTheme="majorHAnsi" w:cs="Times New Roman"/>
          <w:bCs/>
          <w:iCs/>
          <w:sz w:val="24"/>
          <w:szCs w:val="24"/>
          <w:lang w:eastAsia="ru-RU"/>
        </w:rPr>
        <w:t xml:space="preserve"> un nivel scăzut</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w:t>
      </w:r>
      <w:r w:rsidR="00C87CD2">
        <w:rPr>
          <w:rFonts w:asciiTheme="majorHAnsi" w:eastAsiaTheme="minorEastAsia" w:hAnsiTheme="majorHAnsi" w:cs="Times New Roman"/>
          <w:bCs/>
          <w:iCs/>
          <w:sz w:val="24"/>
          <w:szCs w:val="24"/>
          <w:lang w:eastAsia="ru-RU"/>
        </w:rPr>
        <w:t>A</w:t>
      </w:r>
      <w:r w:rsidRPr="007039E8">
        <w:rPr>
          <w:rFonts w:asciiTheme="majorHAnsi" w:eastAsiaTheme="minorEastAsia" w:hAnsiTheme="majorHAnsi" w:cs="Times New Roman"/>
          <w:bCs/>
          <w:iCs/>
          <w:sz w:val="24"/>
          <w:szCs w:val="24"/>
          <w:lang w:eastAsia="ru-RU"/>
        </w:rPr>
        <w:t>stfel</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în anul 2018</w:t>
      </w:r>
      <w:r w:rsidR="00C87CD2">
        <w:rPr>
          <w:rFonts w:asciiTheme="majorHAnsi" w:eastAsiaTheme="minorEastAsia" w:hAnsiTheme="majorHAnsi" w:cs="Times New Roman"/>
          <w:bCs/>
          <w:iCs/>
          <w:sz w:val="24"/>
          <w:szCs w:val="24"/>
          <w:lang w:eastAsia="ru-RU"/>
        </w:rPr>
        <w:t>,</w:t>
      </w:r>
      <w:r w:rsidR="00793C62">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 xml:space="preserve">din suma calculată de 848,3 mil. </w:t>
      </w:r>
      <w:r w:rsidR="007160B9">
        <w:rPr>
          <w:rFonts w:asciiTheme="majorHAnsi" w:eastAsiaTheme="minorEastAsia" w:hAnsiTheme="majorHAnsi" w:cs="Times New Roman"/>
          <w:bCs/>
          <w:iCs/>
          <w:sz w:val="24"/>
          <w:szCs w:val="24"/>
          <w:lang w:eastAsia="ru-RU"/>
        </w:rPr>
        <w:t>MDL</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a</w:t>
      </w:r>
      <w:r w:rsidR="00C87CD2">
        <w:rPr>
          <w:rFonts w:asciiTheme="majorHAnsi" w:eastAsiaTheme="minorEastAsia" w:hAnsiTheme="majorHAnsi" w:cs="Times New Roman"/>
          <w:bCs/>
          <w:iCs/>
          <w:sz w:val="24"/>
          <w:szCs w:val="24"/>
          <w:lang w:eastAsia="ru-RU"/>
        </w:rPr>
        <w:t>u</w:t>
      </w:r>
      <w:r w:rsidRPr="007039E8">
        <w:rPr>
          <w:rFonts w:asciiTheme="majorHAnsi" w:eastAsiaTheme="minorEastAsia" w:hAnsiTheme="majorHAnsi" w:cs="Times New Roman"/>
          <w:bCs/>
          <w:iCs/>
          <w:sz w:val="24"/>
          <w:szCs w:val="24"/>
          <w:lang w:eastAsia="ru-RU"/>
        </w:rPr>
        <w:t xml:space="preserve"> </w:t>
      </w:r>
      <w:r w:rsidR="00C87CD2">
        <w:rPr>
          <w:rFonts w:asciiTheme="majorHAnsi" w:eastAsiaTheme="minorEastAsia" w:hAnsiTheme="majorHAnsi" w:cs="Times New Roman"/>
          <w:bCs/>
          <w:iCs/>
          <w:sz w:val="24"/>
          <w:szCs w:val="24"/>
          <w:lang w:eastAsia="ru-RU"/>
        </w:rPr>
        <w:t xml:space="preserve">fost </w:t>
      </w:r>
      <w:r w:rsidRPr="007039E8">
        <w:rPr>
          <w:rFonts w:asciiTheme="majorHAnsi" w:eastAsiaTheme="minorEastAsia" w:hAnsiTheme="majorHAnsi" w:cs="Times New Roman"/>
          <w:bCs/>
          <w:iCs/>
          <w:sz w:val="24"/>
          <w:szCs w:val="24"/>
          <w:lang w:eastAsia="ru-RU"/>
        </w:rPr>
        <w:t>încasat</w:t>
      </w:r>
      <w:r w:rsidR="00C87CD2">
        <w:rPr>
          <w:rFonts w:asciiTheme="majorHAnsi" w:eastAsiaTheme="minorEastAsia" w:hAnsiTheme="majorHAnsi" w:cs="Times New Roman"/>
          <w:bCs/>
          <w:iCs/>
          <w:sz w:val="24"/>
          <w:szCs w:val="24"/>
          <w:lang w:eastAsia="ru-RU"/>
        </w:rPr>
        <w:t>e</w:t>
      </w:r>
      <w:r w:rsidRPr="007039E8">
        <w:rPr>
          <w:rFonts w:asciiTheme="majorHAnsi" w:eastAsiaTheme="minorEastAsia" w:hAnsiTheme="majorHAnsi" w:cs="Times New Roman"/>
          <w:bCs/>
          <w:iCs/>
          <w:sz w:val="24"/>
          <w:szCs w:val="24"/>
          <w:lang w:eastAsia="ru-RU"/>
        </w:rPr>
        <w:t xml:space="preserve"> în buget 200,8 mil.</w:t>
      </w:r>
      <w:r>
        <w:rPr>
          <w:rFonts w:asciiTheme="majorHAnsi" w:eastAsiaTheme="minorEastAsia" w:hAnsiTheme="majorHAnsi" w:cs="Times New Roman"/>
          <w:bCs/>
          <w:iCs/>
          <w:sz w:val="24"/>
          <w:szCs w:val="24"/>
          <w:lang w:eastAsia="ru-RU"/>
        </w:rPr>
        <w:t xml:space="preserve"> </w:t>
      </w:r>
      <w:r w:rsidR="007160B9">
        <w:rPr>
          <w:rFonts w:asciiTheme="majorHAnsi" w:eastAsiaTheme="minorEastAsia" w:hAnsiTheme="majorHAnsi" w:cs="Times New Roman"/>
          <w:bCs/>
          <w:iCs/>
          <w:sz w:val="24"/>
          <w:szCs w:val="24"/>
          <w:lang w:eastAsia="ru-RU"/>
        </w:rPr>
        <w:t>MDL</w:t>
      </w:r>
      <w:r w:rsidR="00C87CD2">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sau 23,7%. Totodată, nivelul de achitare a sumelor calculate urmare </w:t>
      </w:r>
      <w:r w:rsidR="00501A16">
        <w:rPr>
          <w:rFonts w:asciiTheme="majorHAnsi" w:eastAsiaTheme="minorEastAsia" w:hAnsiTheme="majorHAnsi" w:cs="Times New Roman"/>
          <w:bCs/>
          <w:iCs/>
          <w:sz w:val="24"/>
          <w:szCs w:val="24"/>
          <w:lang w:eastAsia="ru-RU"/>
        </w:rPr>
        <w:t xml:space="preserve">a </w:t>
      </w:r>
      <w:r w:rsidRPr="007039E8">
        <w:rPr>
          <w:rFonts w:asciiTheme="majorHAnsi" w:eastAsiaTheme="minorEastAsia" w:hAnsiTheme="majorHAnsi" w:cs="Times New Roman"/>
          <w:bCs/>
          <w:iCs/>
          <w:sz w:val="24"/>
          <w:szCs w:val="24"/>
          <w:lang w:eastAsia="ru-RU"/>
        </w:rPr>
        <w:t xml:space="preserve">controalelor planificate în anul 2018 constituie 38,4%, iar nivelul de achitare a sumelor calculate urmare </w:t>
      </w:r>
      <w:r w:rsidR="00501A16">
        <w:rPr>
          <w:rFonts w:asciiTheme="majorHAnsi" w:eastAsiaTheme="minorEastAsia" w:hAnsiTheme="majorHAnsi" w:cs="Times New Roman"/>
          <w:bCs/>
          <w:iCs/>
          <w:sz w:val="24"/>
          <w:szCs w:val="24"/>
          <w:lang w:eastAsia="ru-RU"/>
        </w:rPr>
        <w:t xml:space="preserve">a </w:t>
      </w:r>
      <w:r w:rsidRPr="007039E8">
        <w:rPr>
          <w:rFonts w:asciiTheme="majorHAnsi" w:eastAsiaTheme="minorEastAsia" w:hAnsiTheme="majorHAnsi" w:cs="Times New Roman"/>
          <w:bCs/>
          <w:iCs/>
          <w:sz w:val="24"/>
          <w:szCs w:val="24"/>
          <w:lang w:eastAsia="ru-RU"/>
        </w:rPr>
        <w:t xml:space="preserve">controalelor neplanificate </w:t>
      </w:r>
      <w:r w:rsidR="00501A1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de 18,4%. </w:t>
      </w:r>
    </w:p>
    <w:p w:rsidR="001E5A2A" w:rsidRPr="007039E8" w:rsidRDefault="00501A16" w:rsidP="001E5A2A">
      <w:pPr>
        <w:tabs>
          <w:tab w:val="left" w:pos="851"/>
        </w:tabs>
        <w:spacing w:after="0" w:line="276" w:lineRule="auto"/>
        <w:ind w:firstLine="709"/>
        <w:jc w:val="both"/>
        <w:rPr>
          <w:rFonts w:asciiTheme="majorHAnsi" w:eastAsiaTheme="minorEastAsia" w:hAnsiTheme="majorHAnsi" w:cs="Times New Roman"/>
          <w:bCs/>
          <w:iCs/>
          <w:sz w:val="24"/>
          <w:szCs w:val="24"/>
          <w:lang w:eastAsia="ru-RU"/>
        </w:rPr>
      </w:pPr>
      <w:r>
        <w:rPr>
          <w:rFonts w:asciiTheme="majorHAnsi" w:eastAsiaTheme="minorEastAsia" w:hAnsiTheme="majorHAnsi" w:cs="Times New Roman"/>
          <w:bCs/>
          <w:iCs/>
          <w:sz w:val="24"/>
          <w:szCs w:val="24"/>
          <w:lang w:eastAsia="ru-RU"/>
        </w:rPr>
        <w:lastRenderedPageBreak/>
        <w:t>Ca rezultat al</w:t>
      </w:r>
      <w:r w:rsidR="001E5A2A" w:rsidRPr="007039E8">
        <w:rPr>
          <w:rFonts w:asciiTheme="majorHAnsi" w:eastAsiaTheme="minorEastAsia" w:hAnsiTheme="majorHAnsi" w:cs="Times New Roman"/>
          <w:bCs/>
          <w:iCs/>
          <w:sz w:val="24"/>
          <w:szCs w:val="24"/>
          <w:lang w:eastAsia="ru-RU"/>
        </w:rPr>
        <w:t xml:space="preserve"> controalelor fiscale efectuate la agenții economici aflați în procedură de insolvabilitate, au fost calculate obligații fiscale în sumă de 331,6 mil. </w:t>
      </w:r>
      <w:r w:rsidR="007160B9">
        <w:rPr>
          <w:rFonts w:asciiTheme="majorHAnsi" w:eastAsiaTheme="minorEastAsia" w:hAnsiTheme="majorHAnsi" w:cs="Times New Roman"/>
          <w:bCs/>
          <w:iCs/>
          <w:sz w:val="24"/>
          <w:szCs w:val="24"/>
          <w:lang w:eastAsia="ru-RU"/>
        </w:rPr>
        <w:t>MDL</w:t>
      </w:r>
      <w:r>
        <w:rPr>
          <w:rFonts w:asciiTheme="majorHAnsi" w:eastAsiaTheme="minorEastAsia" w:hAnsiTheme="majorHAnsi" w:cs="Times New Roman"/>
          <w:bCs/>
          <w:iCs/>
          <w:sz w:val="24"/>
          <w:szCs w:val="24"/>
          <w:lang w:eastAsia="ru-RU"/>
        </w:rPr>
        <w:t>,</w:t>
      </w:r>
      <w:r w:rsidR="001E5A2A" w:rsidRPr="007039E8">
        <w:rPr>
          <w:rFonts w:asciiTheme="majorHAnsi" w:eastAsiaTheme="minorEastAsia" w:hAnsiTheme="majorHAnsi" w:cs="Times New Roman"/>
          <w:bCs/>
          <w:iCs/>
          <w:sz w:val="24"/>
          <w:szCs w:val="24"/>
          <w:lang w:eastAsia="ru-RU"/>
        </w:rPr>
        <w:t xml:space="preserve"> din care au fost încasate doar 1,2 mil. </w:t>
      </w:r>
      <w:r w:rsidR="007160B9">
        <w:rPr>
          <w:rFonts w:asciiTheme="majorHAnsi" w:eastAsiaTheme="minorEastAsia" w:hAnsiTheme="majorHAnsi" w:cs="Times New Roman"/>
          <w:bCs/>
          <w:iCs/>
          <w:sz w:val="24"/>
          <w:szCs w:val="24"/>
          <w:lang w:eastAsia="ru-RU"/>
        </w:rPr>
        <w:t>MDL</w:t>
      </w:r>
      <w:r>
        <w:rPr>
          <w:rFonts w:asciiTheme="majorHAnsi" w:eastAsiaTheme="minorEastAsia" w:hAnsiTheme="majorHAnsi" w:cs="Times New Roman"/>
          <w:bCs/>
          <w:iCs/>
          <w:sz w:val="24"/>
          <w:szCs w:val="24"/>
          <w:lang w:eastAsia="ru-RU"/>
        </w:rPr>
        <w:t>,</w:t>
      </w:r>
      <w:r w:rsidR="001E5A2A" w:rsidRPr="007039E8">
        <w:rPr>
          <w:rFonts w:asciiTheme="majorHAnsi" w:eastAsiaTheme="minorEastAsia" w:hAnsiTheme="majorHAnsi" w:cs="Times New Roman"/>
          <w:bCs/>
          <w:iCs/>
          <w:sz w:val="24"/>
          <w:szCs w:val="24"/>
          <w:lang w:eastAsia="ru-RU"/>
        </w:rPr>
        <w:t xml:space="preserve"> sau 0,4%.</w:t>
      </w:r>
    </w:p>
    <w:p w:rsidR="001E5A2A" w:rsidRPr="007039E8" w:rsidRDefault="001E5A2A" w:rsidP="001E5A2A">
      <w:pPr>
        <w:tabs>
          <w:tab w:val="left" w:pos="851"/>
        </w:tabs>
        <w:spacing w:after="0" w:line="276" w:lineRule="auto"/>
        <w:ind w:firstLine="709"/>
        <w:jc w:val="both"/>
        <w:rPr>
          <w:rFonts w:asciiTheme="majorHAnsi" w:eastAsiaTheme="minorEastAsia" w:hAnsiTheme="majorHAnsi" w:cs="Times New Roman"/>
          <w:bCs/>
          <w:iCs/>
          <w:sz w:val="24"/>
          <w:szCs w:val="24"/>
          <w:lang w:val="ro-MD" w:eastAsia="ru-RU"/>
        </w:rPr>
      </w:pPr>
      <w:r w:rsidRPr="007039E8">
        <w:rPr>
          <w:rFonts w:asciiTheme="majorHAnsi" w:eastAsiaTheme="minorEastAsia" w:hAnsiTheme="majorHAnsi" w:cs="Times New Roman"/>
          <w:bCs/>
          <w:iCs/>
          <w:sz w:val="24"/>
          <w:szCs w:val="24"/>
          <w:lang w:val="ro-MD" w:eastAsia="ru-RU"/>
        </w:rPr>
        <w:t>De asemenea, urmare a activităților întreprinse de SFS privind depistarea și sancționarea cazurilor de desfășurare ilicită a activităților de întreprinzător, au fost întocmite 15</w:t>
      </w:r>
      <w:r w:rsidR="00501A16">
        <w:rPr>
          <w:rFonts w:asciiTheme="majorHAnsi" w:eastAsiaTheme="minorEastAsia" w:hAnsiTheme="majorHAnsi" w:cs="Times New Roman"/>
          <w:bCs/>
          <w:iCs/>
          <w:sz w:val="24"/>
          <w:szCs w:val="24"/>
          <w:lang w:val="ro-MD" w:eastAsia="ru-RU"/>
        </w:rPr>
        <w:t xml:space="preserve"> </w:t>
      </w:r>
      <w:r w:rsidRPr="007039E8">
        <w:rPr>
          <w:rFonts w:asciiTheme="majorHAnsi" w:eastAsiaTheme="minorEastAsia" w:hAnsiTheme="majorHAnsi" w:cs="Times New Roman"/>
          <w:bCs/>
          <w:iCs/>
          <w:sz w:val="24"/>
          <w:szCs w:val="24"/>
          <w:lang w:val="ro-MD" w:eastAsia="ru-RU"/>
        </w:rPr>
        <w:t xml:space="preserve">513 procese-verbale contravenționale </w:t>
      </w:r>
      <w:r w:rsidR="0060385A">
        <w:rPr>
          <w:rFonts w:asciiTheme="majorHAnsi" w:eastAsiaTheme="minorEastAsia" w:hAnsiTheme="majorHAnsi" w:cs="Times New Roman"/>
          <w:bCs/>
          <w:iCs/>
          <w:sz w:val="24"/>
          <w:szCs w:val="24"/>
          <w:lang w:val="ro-MD" w:eastAsia="ru-RU"/>
        </w:rPr>
        <w:t>privind</w:t>
      </w:r>
      <w:r w:rsidR="0060385A" w:rsidRPr="007039E8">
        <w:rPr>
          <w:rFonts w:asciiTheme="majorHAnsi" w:eastAsiaTheme="minorEastAsia" w:hAnsiTheme="majorHAnsi" w:cs="Times New Roman"/>
          <w:bCs/>
          <w:iCs/>
          <w:sz w:val="24"/>
          <w:szCs w:val="24"/>
          <w:lang w:val="ro-MD" w:eastAsia="ru-RU"/>
        </w:rPr>
        <w:t xml:space="preserve"> </w:t>
      </w:r>
      <w:r w:rsidRPr="007039E8">
        <w:rPr>
          <w:rFonts w:asciiTheme="majorHAnsi" w:eastAsiaTheme="minorEastAsia" w:hAnsiTheme="majorHAnsi" w:cs="Times New Roman"/>
          <w:bCs/>
          <w:iCs/>
          <w:sz w:val="24"/>
          <w:szCs w:val="24"/>
          <w:lang w:val="ro-MD" w:eastAsia="ru-RU"/>
        </w:rPr>
        <w:t>desfășurarea activității ilicite în anul 2018, din care 15</w:t>
      </w:r>
      <w:r w:rsidR="00501A16">
        <w:rPr>
          <w:rFonts w:asciiTheme="majorHAnsi" w:eastAsiaTheme="minorEastAsia" w:hAnsiTheme="majorHAnsi" w:cs="Times New Roman"/>
          <w:bCs/>
          <w:iCs/>
          <w:sz w:val="24"/>
          <w:szCs w:val="24"/>
          <w:lang w:val="ro-MD" w:eastAsia="ru-RU"/>
        </w:rPr>
        <w:t xml:space="preserve"> </w:t>
      </w:r>
      <w:r w:rsidRPr="007039E8">
        <w:rPr>
          <w:rFonts w:asciiTheme="majorHAnsi" w:eastAsiaTheme="minorEastAsia" w:hAnsiTheme="majorHAnsi" w:cs="Times New Roman"/>
          <w:bCs/>
          <w:iCs/>
          <w:sz w:val="24"/>
          <w:szCs w:val="24"/>
          <w:lang w:val="ro-MD" w:eastAsia="ru-RU"/>
        </w:rPr>
        <w:t xml:space="preserve">352 </w:t>
      </w:r>
      <w:r w:rsidR="00501A16">
        <w:rPr>
          <w:rFonts w:asciiTheme="majorHAnsi" w:eastAsiaTheme="minorEastAsia" w:hAnsiTheme="majorHAnsi" w:cs="Times New Roman"/>
          <w:bCs/>
          <w:iCs/>
          <w:sz w:val="24"/>
          <w:szCs w:val="24"/>
          <w:lang w:val="ro-MD" w:eastAsia="ru-RU"/>
        </w:rPr>
        <w:t xml:space="preserve">fiind </w:t>
      </w:r>
      <w:r w:rsidRPr="007039E8">
        <w:rPr>
          <w:rFonts w:asciiTheme="majorHAnsi" w:eastAsiaTheme="minorEastAsia" w:hAnsiTheme="majorHAnsi" w:cs="Times New Roman"/>
          <w:bCs/>
          <w:iCs/>
          <w:sz w:val="24"/>
          <w:szCs w:val="24"/>
          <w:lang w:val="ro-MD" w:eastAsia="ru-RU"/>
        </w:rPr>
        <w:t>rezultative</w:t>
      </w:r>
      <w:r w:rsidR="00501A16">
        <w:rPr>
          <w:rFonts w:asciiTheme="majorHAnsi" w:eastAsiaTheme="minorEastAsia" w:hAnsiTheme="majorHAnsi" w:cs="Times New Roman"/>
          <w:bCs/>
          <w:iCs/>
          <w:sz w:val="24"/>
          <w:szCs w:val="24"/>
          <w:lang w:val="ro-MD" w:eastAsia="ru-RU"/>
        </w:rPr>
        <w:t>,</w:t>
      </w:r>
      <w:r w:rsidRPr="007039E8">
        <w:rPr>
          <w:rFonts w:asciiTheme="majorHAnsi" w:eastAsiaTheme="minorEastAsia" w:hAnsiTheme="majorHAnsi" w:cs="Times New Roman"/>
          <w:bCs/>
          <w:iCs/>
          <w:sz w:val="24"/>
          <w:szCs w:val="24"/>
          <w:lang w:val="ro-MD" w:eastAsia="ru-RU"/>
        </w:rPr>
        <w:t xml:space="preserve"> sau 99,0%</w:t>
      </w:r>
      <w:r w:rsidR="00501A16">
        <w:rPr>
          <w:rFonts w:asciiTheme="majorHAnsi" w:eastAsiaTheme="minorEastAsia" w:hAnsiTheme="majorHAnsi" w:cs="Times New Roman"/>
          <w:bCs/>
          <w:iCs/>
          <w:sz w:val="24"/>
          <w:szCs w:val="24"/>
          <w:lang w:val="ro-MD" w:eastAsia="ru-RU"/>
        </w:rPr>
        <w:t xml:space="preserve"> din total</w:t>
      </w:r>
      <w:r w:rsidRPr="007039E8">
        <w:rPr>
          <w:rFonts w:asciiTheme="majorHAnsi" w:eastAsiaTheme="minorEastAsia" w:hAnsiTheme="majorHAnsi" w:cs="Times New Roman"/>
          <w:bCs/>
          <w:iCs/>
          <w:sz w:val="24"/>
          <w:szCs w:val="24"/>
          <w:lang w:val="ro-MD" w:eastAsia="ru-RU"/>
        </w:rPr>
        <w:t xml:space="preserve">. </w:t>
      </w:r>
    </w:p>
    <w:p w:rsidR="001E5A2A" w:rsidRDefault="001E5A2A" w:rsidP="001E5A2A">
      <w:pPr>
        <w:tabs>
          <w:tab w:val="left" w:pos="851"/>
        </w:tabs>
        <w:spacing w:after="0" w:line="276" w:lineRule="auto"/>
        <w:ind w:firstLine="709"/>
        <w:jc w:val="both"/>
        <w:rPr>
          <w:rFonts w:asciiTheme="majorHAnsi" w:eastAsiaTheme="minorEastAsia" w:hAnsiTheme="majorHAnsi" w:cs="Times New Roman"/>
          <w:bCs/>
          <w:i/>
          <w:iCs/>
          <w:sz w:val="24"/>
          <w:szCs w:val="24"/>
          <w:lang w:eastAsia="ru-RU"/>
        </w:rPr>
      </w:pPr>
      <w:r w:rsidRPr="007039E8">
        <w:rPr>
          <w:rFonts w:asciiTheme="majorHAnsi" w:eastAsiaTheme="minorEastAsia" w:hAnsiTheme="majorHAnsi" w:cs="Times New Roman"/>
          <w:bCs/>
          <w:iCs/>
          <w:sz w:val="24"/>
          <w:szCs w:val="24"/>
          <w:lang w:val="ro-MD" w:eastAsia="ru-RU"/>
        </w:rPr>
        <w:t>În baza proceselor-verbale întocmite</w:t>
      </w:r>
      <w:r w:rsidR="00501A16">
        <w:rPr>
          <w:rFonts w:asciiTheme="majorHAnsi" w:eastAsiaTheme="minorEastAsia" w:hAnsiTheme="majorHAnsi" w:cs="Times New Roman"/>
          <w:bCs/>
          <w:iCs/>
          <w:sz w:val="24"/>
          <w:szCs w:val="24"/>
          <w:lang w:val="ro-MD" w:eastAsia="ru-RU"/>
        </w:rPr>
        <w:t>,</w:t>
      </w:r>
      <w:r w:rsidRPr="007039E8">
        <w:rPr>
          <w:rFonts w:asciiTheme="majorHAnsi" w:eastAsiaTheme="minorEastAsia" w:hAnsiTheme="majorHAnsi" w:cs="Times New Roman"/>
          <w:bCs/>
          <w:iCs/>
          <w:sz w:val="24"/>
          <w:szCs w:val="24"/>
          <w:lang w:val="ro-MD" w:eastAsia="ru-RU"/>
        </w:rPr>
        <w:t xml:space="preserve"> </w:t>
      </w:r>
      <w:r w:rsidR="00501A16">
        <w:rPr>
          <w:rFonts w:asciiTheme="majorHAnsi" w:eastAsiaTheme="minorEastAsia" w:hAnsiTheme="majorHAnsi" w:cs="Times New Roman"/>
          <w:bCs/>
          <w:iCs/>
          <w:sz w:val="24"/>
          <w:szCs w:val="24"/>
          <w:lang w:val="ro-MD" w:eastAsia="ru-RU"/>
        </w:rPr>
        <w:t xml:space="preserve">în anul </w:t>
      </w:r>
      <w:r w:rsidR="006F3596">
        <w:rPr>
          <w:rFonts w:asciiTheme="majorHAnsi" w:eastAsiaTheme="minorEastAsia" w:hAnsiTheme="majorHAnsi" w:cs="Times New Roman"/>
          <w:bCs/>
          <w:iCs/>
          <w:sz w:val="24"/>
          <w:szCs w:val="24"/>
          <w:lang w:val="ro-MD" w:eastAsia="ru-RU"/>
        </w:rPr>
        <w:t>de raportare</w:t>
      </w:r>
      <w:r w:rsidR="00501A16">
        <w:rPr>
          <w:rFonts w:asciiTheme="majorHAnsi" w:eastAsiaTheme="minorEastAsia" w:hAnsiTheme="majorHAnsi" w:cs="Times New Roman"/>
          <w:bCs/>
          <w:iCs/>
          <w:sz w:val="24"/>
          <w:szCs w:val="24"/>
          <w:lang w:val="ro-MD" w:eastAsia="ru-RU"/>
        </w:rPr>
        <w:t xml:space="preserve"> </w:t>
      </w:r>
      <w:r w:rsidRPr="007039E8">
        <w:rPr>
          <w:rFonts w:asciiTheme="majorHAnsi" w:eastAsiaTheme="minorEastAsia" w:hAnsiTheme="majorHAnsi" w:cs="Times New Roman"/>
          <w:bCs/>
          <w:iCs/>
          <w:sz w:val="24"/>
          <w:szCs w:val="24"/>
          <w:lang w:val="ro-MD" w:eastAsia="ru-RU"/>
        </w:rPr>
        <w:t>au fost aplicate sancțiuni în valoare de 17,0 mil.</w:t>
      </w:r>
      <w:r w:rsidR="00F67827">
        <w:rPr>
          <w:rFonts w:asciiTheme="majorHAnsi" w:eastAsiaTheme="minorEastAsia" w:hAnsiTheme="majorHAnsi" w:cs="Times New Roman"/>
          <w:bCs/>
          <w:iCs/>
          <w:sz w:val="24"/>
          <w:szCs w:val="24"/>
          <w:lang w:val="ro-MD" w:eastAsia="ru-RU"/>
        </w:rPr>
        <w:t xml:space="preserve"> </w:t>
      </w:r>
      <w:r w:rsidR="007160B9">
        <w:rPr>
          <w:rFonts w:asciiTheme="majorHAnsi" w:eastAsiaTheme="minorEastAsia" w:hAnsiTheme="majorHAnsi" w:cs="Times New Roman"/>
          <w:bCs/>
          <w:iCs/>
          <w:sz w:val="24"/>
          <w:szCs w:val="24"/>
          <w:lang w:val="ro-MD" w:eastAsia="ru-RU"/>
        </w:rPr>
        <w:t>MDL</w:t>
      </w:r>
      <w:r w:rsidRPr="007039E8">
        <w:rPr>
          <w:rFonts w:asciiTheme="majorHAnsi" w:eastAsiaTheme="minorEastAsia" w:hAnsiTheme="majorHAnsi" w:cs="Times New Roman"/>
          <w:bCs/>
          <w:iCs/>
          <w:sz w:val="24"/>
          <w:szCs w:val="24"/>
          <w:lang w:val="ro-MD" w:eastAsia="ru-RU"/>
        </w:rPr>
        <w:t>, din care au fost încasate 6,8 mil</w:t>
      </w:r>
      <w:r>
        <w:rPr>
          <w:rFonts w:asciiTheme="majorHAnsi" w:eastAsiaTheme="minorEastAsia" w:hAnsiTheme="majorHAnsi" w:cs="Times New Roman"/>
          <w:bCs/>
          <w:iCs/>
          <w:sz w:val="24"/>
          <w:szCs w:val="24"/>
          <w:lang w:val="ro-MD" w:eastAsia="ru-RU"/>
        </w:rPr>
        <w:t>.</w:t>
      </w:r>
      <w:r w:rsidR="009C6EE8">
        <w:rPr>
          <w:rFonts w:asciiTheme="majorHAnsi" w:eastAsiaTheme="minorEastAsia" w:hAnsiTheme="majorHAnsi" w:cs="Times New Roman"/>
          <w:bCs/>
          <w:iCs/>
          <w:sz w:val="24"/>
          <w:szCs w:val="24"/>
          <w:lang w:val="ro-MD" w:eastAsia="ru-RU"/>
        </w:rPr>
        <w:t xml:space="preserve"> </w:t>
      </w:r>
      <w:r w:rsidR="007160B9">
        <w:rPr>
          <w:rFonts w:asciiTheme="majorHAnsi" w:eastAsiaTheme="minorEastAsia" w:hAnsiTheme="majorHAnsi" w:cs="Times New Roman"/>
          <w:bCs/>
          <w:iCs/>
          <w:sz w:val="24"/>
          <w:szCs w:val="24"/>
          <w:lang w:val="ro-MD" w:eastAsia="ru-RU"/>
        </w:rPr>
        <w:t>MDL</w:t>
      </w:r>
      <w:r>
        <w:rPr>
          <w:rFonts w:asciiTheme="majorHAnsi" w:eastAsiaTheme="minorEastAsia" w:hAnsiTheme="majorHAnsi" w:cs="Times New Roman"/>
          <w:bCs/>
          <w:iCs/>
          <w:sz w:val="24"/>
          <w:szCs w:val="24"/>
          <w:lang w:val="ro-MD" w:eastAsia="ru-RU"/>
        </w:rPr>
        <w:t xml:space="preserve"> (40,0</w:t>
      </w:r>
      <w:r w:rsidRPr="007039E8">
        <w:rPr>
          <w:rFonts w:asciiTheme="majorHAnsi" w:eastAsiaTheme="minorEastAsia" w:hAnsiTheme="majorHAnsi" w:cs="Times New Roman"/>
          <w:bCs/>
          <w:iCs/>
          <w:sz w:val="24"/>
          <w:szCs w:val="24"/>
          <w:lang w:val="ro-MD" w:eastAsia="ru-RU"/>
        </w:rPr>
        <w:t>%)</w:t>
      </w:r>
      <w:r>
        <w:rPr>
          <w:rFonts w:asciiTheme="majorHAnsi" w:eastAsiaTheme="minorEastAsia" w:hAnsiTheme="majorHAnsi" w:cs="Times New Roman"/>
          <w:bCs/>
          <w:iCs/>
          <w:sz w:val="24"/>
          <w:szCs w:val="24"/>
          <w:lang w:val="ro-MD" w:eastAsia="ru-RU"/>
        </w:rPr>
        <w:t xml:space="preserve">, </w:t>
      </w:r>
      <w:r w:rsidRPr="00D57620">
        <w:rPr>
          <w:rFonts w:asciiTheme="majorHAnsi" w:eastAsiaTheme="minorEastAsia" w:hAnsiTheme="majorHAnsi" w:cs="Times New Roman"/>
          <w:bCs/>
          <w:iCs/>
          <w:sz w:val="24"/>
          <w:szCs w:val="24"/>
          <w:lang w:val="ro-MD" w:eastAsia="ru-RU"/>
        </w:rPr>
        <w:t>situație cauzată de</w:t>
      </w:r>
      <w:r>
        <w:rPr>
          <w:rFonts w:asciiTheme="majorHAnsi" w:eastAsiaTheme="minorEastAsia" w:hAnsiTheme="majorHAnsi" w:cs="Times New Roman"/>
          <w:bCs/>
          <w:iCs/>
          <w:sz w:val="24"/>
          <w:szCs w:val="24"/>
          <w:lang w:val="ro-MD" w:eastAsia="ru-RU"/>
        </w:rPr>
        <w:t xml:space="preserve"> prevederile</w:t>
      </w:r>
      <w:r w:rsidRPr="007039E8">
        <w:rPr>
          <w:rFonts w:asciiTheme="majorHAnsi" w:eastAsiaTheme="minorEastAsia" w:hAnsiTheme="majorHAnsi" w:cs="Times New Roman"/>
          <w:bCs/>
          <w:iCs/>
          <w:sz w:val="24"/>
          <w:szCs w:val="24"/>
          <w:lang w:val="ro-MD" w:eastAsia="ru-RU"/>
        </w:rPr>
        <w:t xml:space="preserve"> art.34 alin.(3) din Codul contravențional</w:t>
      </w:r>
      <w:r w:rsidR="006F3596">
        <w:rPr>
          <w:rFonts w:asciiTheme="majorHAnsi" w:eastAsiaTheme="minorEastAsia" w:hAnsiTheme="majorHAnsi" w:cs="Times New Roman"/>
          <w:bCs/>
          <w:iCs/>
          <w:sz w:val="24"/>
          <w:szCs w:val="24"/>
          <w:lang w:val="ro-MD" w:eastAsia="ru-RU"/>
        </w:rPr>
        <w:t>:</w:t>
      </w:r>
      <w:r w:rsidRPr="007039E8">
        <w:rPr>
          <w:rFonts w:asciiTheme="majorHAnsi" w:eastAsiaTheme="minorEastAsia" w:hAnsiTheme="majorHAnsi" w:cs="Times New Roman"/>
          <w:bCs/>
          <w:iCs/>
          <w:sz w:val="24"/>
          <w:szCs w:val="24"/>
          <w:lang w:val="ro-MD" w:eastAsia="ru-RU"/>
        </w:rPr>
        <w:t xml:space="preserve"> </w:t>
      </w:r>
      <w:r w:rsidRPr="006F3596">
        <w:rPr>
          <w:rFonts w:asciiTheme="majorHAnsi" w:eastAsiaTheme="minorEastAsia" w:hAnsiTheme="majorHAnsi" w:cs="Times New Roman"/>
          <w:bCs/>
          <w:iCs/>
          <w:sz w:val="24"/>
          <w:szCs w:val="24"/>
          <w:lang w:val="ro-MD" w:eastAsia="ru-RU"/>
        </w:rPr>
        <w:t>„contravenientul este în drept să achite jumătate din amenda stabilită dacă o plătește în cel mult 72 de ore din momentul stabilirii ei”</w:t>
      </w:r>
      <w:r w:rsidRPr="007039E8">
        <w:rPr>
          <w:rFonts w:asciiTheme="majorHAnsi" w:eastAsiaTheme="minorEastAsia" w:hAnsiTheme="majorHAnsi" w:cs="Times New Roman"/>
          <w:bCs/>
          <w:iCs/>
          <w:sz w:val="24"/>
          <w:szCs w:val="24"/>
          <w:lang w:val="ro-MD" w:eastAsia="ru-RU"/>
        </w:rPr>
        <w:t>.</w:t>
      </w:r>
      <w:r w:rsidRPr="007039E8">
        <w:rPr>
          <w:rFonts w:asciiTheme="majorHAnsi" w:eastAsiaTheme="minorEastAsia" w:hAnsiTheme="majorHAnsi" w:cs="Times New Roman"/>
          <w:bCs/>
          <w:i/>
          <w:iCs/>
          <w:sz w:val="24"/>
          <w:szCs w:val="24"/>
          <w:lang w:val="ro-MD" w:eastAsia="ru-RU"/>
        </w:rPr>
        <w:t xml:space="preserve"> </w:t>
      </w:r>
      <w:r w:rsidRPr="007039E8">
        <w:rPr>
          <w:rFonts w:asciiTheme="majorHAnsi" w:eastAsiaTheme="minorEastAsia" w:hAnsiTheme="majorHAnsi" w:cs="Times New Roman"/>
          <w:bCs/>
          <w:i/>
          <w:iCs/>
          <w:sz w:val="24"/>
          <w:szCs w:val="24"/>
          <w:lang w:eastAsia="ru-RU"/>
        </w:rPr>
        <w:t xml:space="preserve">Sinteza rezultatelor controalelor fiscale efectuate de către SFS pe parcursul anului 2018 se prezintă în Anexa </w:t>
      </w:r>
      <w:r w:rsidRPr="005649EC">
        <w:rPr>
          <w:rFonts w:asciiTheme="majorHAnsi" w:eastAsiaTheme="minorEastAsia" w:hAnsiTheme="majorHAnsi" w:cs="Times New Roman"/>
          <w:bCs/>
          <w:i/>
          <w:iCs/>
          <w:sz w:val="24"/>
          <w:szCs w:val="24"/>
          <w:lang w:eastAsia="ru-RU"/>
        </w:rPr>
        <w:t>nr.</w:t>
      </w:r>
      <w:r w:rsidR="00A776C7">
        <w:rPr>
          <w:rFonts w:asciiTheme="majorHAnsi" w:eastAsiaTheme="minorEastAsia" w:hAnsiTheme="majorHAnsi" w:cs="Times New Roman"/>
          <w:bCs/>
          <w:i/>
          <w:iCs/>
          <w:sz w:val="24"/>
          <w:szCs w:val="24"/>
          <w:lang w:eastAsia="ru-RU"/>
        </w:rPr>
        <w:t>10</w:t>
      </w:r>
      <w:r>
        <w:rPr>
          <w:rFonts w:asciiTheme="majorHAnsi" w:eastAsiaTheme="minorEastAsia" w:hAnsiTheme="majorHAnsi" w:cs="Times New Roman"/>
          <w:bCs/>
          <w:i/>
          <w:iCs/>
          <w:sz w:val="24"/>
          <w:szCs w:val="24"/>
          <w:lang w:eastAsia="ru-RU"/>
        </w:rPr>
        <w:t xml:space="preserve"> </w:t>
      </w:r>
      <w:r w:rsidRPr="005649EC">
        <w:rPr>
          <w:rFonts w:asciiTheme="majorHAnsi" w:eastAsiaTheme="minorEastAsia" w:hAnsiTheme="majorHAnsi" w:cs="Times New Roman"/>
          <w:bCs/>
          <w:i/>
          <w:iCs/>
          <w:sz w:val="24"/>
          <w:szCs w:val="24"/>
          <w:lang w:eastAsia="ru-RU"/>
        </w:rPr>
        <w:t>la</w:t>
      </w:r>
      <w:r>
        <w:rPr>
          <w:rFonts w:asciiTheme="majorHAnsi" w:eastAsiaTheme="minorEastAsia" w:hAnsiTheme="majorHAnsi" w:cs="Times New Roman"/>
          <w:bCs/>
          <w:i/>
          <w:iCs/>
          <w:sz w:val="24"/>
          <w:szCs w:val="24"/>
          <w:lang w:eastAsia="ru-RU"/>
        </w:rPr>
        <w:t xml:space="preserve"> prezentul Raport de audit.</w:t>
      </w:r>
    </w:p>
    <w:p w:rsidR="001E5A2A" w:rsidRPr="007039E8" w:rsidRDefault="001E5A2A" w:rsidP="001E5A2A">
      <w:pPr>
        <w:tabs>
          <w:tab w:val="left" w:pos="851"/>
        </w:tabs>
        <w:spacing w:after="0" w:line="276" w:lineRule="auto"/>
        <w:ind w:firstLine="709"/>
        <w:jc w:val="both"/>
        <w:rPr>
          <w:rFonts w:asciiTheme="majorHAnsi" w:eastAsiaTheme="minorEastAsia" w:hAnsiTheme="majorHAnsi" w:cs="Times New Roman"/>
          <w:bCs/>
          <w:i/>
          <w:iCs/>
          <w:sz w:val="24"/>
          <w:szCs w:val="24"/>
          <w:lang w:eastAsia="ru-RU"/>
        </w:rPr>
      </w:pPr>
      <w:r w:rsidRPr="007039E8">
        <w:rPr>
          <w:rFonts w:asciiTheme="majorHAnsi" w:eastAsiaTheme="minorEastAsia" w:hAnsiTheme="majorHAnsi" w:cs="Times New Roman"/>
          <w:bCs/>
          <w:iCs/>
          <w:sz w:val="24"/>
          <w:szCs w:val="24"/>
          <w:lang w:eastAsia="ru-RU"/>
        </w:rPr>
        <w:t>În anul 2018</w:t>
      </w:r>
      <w:r w:rsidR="006F359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SV a efectuat 184 de controale post</w:t>
      </w:r>
      <w:r w:rsidR="006F359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vămuire, ponderea controalelor rezultative (150) constitui</w:t>
      </w:r>
      <w:r w:rsidR="006F3596">
        <w:rPr>
          <w:rFonts w:asciiTheme="majorHAnsi" w:eastAsiaTheme="minorEastAsia" w:hAnsiTheme="majorHAnsi" w:cs="Times New Roman"/>
          <w:bCs/>
          <w:iCs/>
          <w:sz w:val="24"/>
          <w:szCs w:val="24"/>
          <w:lang w:eastAsia="ru-RU"/>
        </w:rPr>
        <w:t>nd</w:t>
      </w:r>
      <w:r w:rsidRPr="007039E8">
        <w:rPr>
          <w:rFonts w:asciiTheme="majorHAnsi" w:eastAsiaTheme="minorEastAsia" w:hAnsiTheme="majorHAnsi" w:cs="Times New Roman"/>
          <w:bCs/>
          <w:iCs/>
          <w:sz w:val="24"/>
          <w:szCs w:val="24"/>
          <w:lang w:eastAsia="ru-RU"/>
        </w:rPr>
        <w:t xml:space="preserve"> 81,5%. Suma obligațiilor vamale calculate</w:t>
      </w:r>
      <w:r w:rsidR="00A37D70">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inclusiv </w:t>
      </w:r>
      <w:r w:rsidR="006F3596">
        <w:rPr>
          <w:rFonts w:asciiTheme="majorHAnsi" w:eastAsiaTheme="minorEastAsia" w:hAnsiTheme="majorHAnsi" w:cs="Times New Roman"/>
          <w:bCs/>
          <w:iCs/>
          <w:sz w:val="24"/>
          <w:szCs w:val="24"/>
          <w:lang w:eastAsia="ru-RU"/>
        </w:rPr>
        <w:t xml:space="preserve">a </w:t>
      </w:r>
      <w:r w:rsidRPr="007039E8">
        <w:rPr>
          <w:rFonts w:asciiTheme="majorHAnsi" w:eastAsiaTheme="minorEastAsia" w:hAnsiTheme="majorHAnsi" w:cs="Times New Roman"/>
          <w:bCs/>
          <w:iCs/>
          <w:sz w:val="24"/>
          <w:szCs w:val="24"/>
          <w:lang w:eastAsia="ru-RU"/>
        </w:rPr>
        <w:t>majorăril</w:t>
      </w:r>
      <w:r w:rsidR="006F3596">
        <w:rPr>
          <w:rFonts w:asciiTheme="majorHAnsi" w:eastAsiaTheme="minorEastAsia" w:hAnsiTheme="majorHAnsi" w:cs="Times New Roman"/>
          <w:bCs/>
          <w:iCs/>
          <w:sz w:val="24"/>
          <w:szCs w:val="24"/>
          <w:lang w:eastAsia="ru-RU"/>
        </w:rPr>
        <w:t>or</w:t>
      </w:r>
      <w:r w:rsidRPr="007039E8">
        <w:rPr>
          <w:rFonts w:asciiTheme="majorHAnsi" w:eastAsiaTheme="minorEastAsia" w:hAnsiTheme="majorHAnsi" w:cs="Times New Roman"/>
          <w:bCs/>
          <w:iCs/>
          <w:sz w:val="24"/>
          <w:szCs w:val="24"/>
          <w:lang w:eastAsia="ru-RU"/>
        </w:rPr>
        <w:t xml:space="preserve"> de întârziere la buget în </w:t>
      </w:r>
      <w:r w:rsidR="006F3596">
        <w:rPr>
          <w:rFonts w:asciiTheme="majorHAnsi" w:eastAsiaTheme="minorEastAsia" w:hAnsiTheme="majorHAnsi" w:cs="Times New Roman"/>
          <w:bCs/>
          <w:iCs/>
          <w:sz w:val="24"/>
          <w:szCs w:val="24"/>
          <w:lang w:eastAsia="ru-RU"/>
        </w:rPr>
        <w:t>urma</w:t>
      </w:r>
      <w:r w:rsidR="006F3596" w:rsidRPr="007039E8">
        <w:rPr>
          <w:rFonts w:asciiTheme="majorHAnsi" w:eastAsiaTheme="minorEastAsia" w:hAnsiTheme="majorHAnsi" w:cs="Times New Roman"/>
          <w:bCs/>
          <w:iCs/>
          <w:sz w:val="24"/>
          <w:szCs w:val="24"/>
          <w:lang w:eastAsia="ru-RU"/>
        </w:rPr>
        <w:t xml:space="preserve"> </w:t>
      </w:r>
      <w:r w:rsidRPr="007039E8">
        <w:rPr>
          <w:rFonts w:asciiTheme="majorHAnsi" w:eastAsiaTheme="minorEastAsia" w:hAnsiTheme="majorHAnsi" w:cs="Times New Roman"/>
          <w:bCs/>
          <w:iCs/>
          <w:sz w:val="24"/>
          <w:szCs w:val="24"/>
          <w:lang w:eastAsia="ru-RU"/>
        </w:rPr>
        <w:t>controalelor post</w:t>
      </w:r>
      <w:r w:rsidR="006F359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vămuire</w:t>
      </w:r>
      <w:r w:rsidR="006F359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w:t>
      </w:r>
      <w:r w:rsidR="006F3596">
        <w:rPr>
          <w:rFonts w:asciiTheme="majorHAnsi" w:eastAsiaTheme="minorEastAsia" w:hAnsiTheme="majorHAnsi" w:cs="Times New Roman"/>
          <w:bCs/>
          <w:iCs/>
          <w:sz w:val="24"/>
          <w:szCs w:val="24"/>
          <w:lang w:eastAsia="ru-RU"/>
        </w:rPr>
        <w:t xml:space="preserve">a fost </w:t>
      </w:r>
      <w:r w:rsidRPr="007039E8">
        <w:rPr>
          <w:rFonts w:asciiTheme="majorHAnsi" w:eastAsiaTheme="minorEastAsia" w:hAnsiTheme="majorHAnsi" w:cs="Times New Roman"/>
          <w:bCs/>
          <w:iCs/>
          <w:sz w:val="24"/>
          <w:szCs w:val="24"/>
          <w:lang w:eastAsia="ru-RU"/>
        </w:rPr>
        <w:t>încasat</w:t>
      </w:r>
      <w:r w:rsidR="006F3596">
        <w:rPr>
          <w:rFonts w:asciiTheme="majorHAnsi" w:eastAsiaTheme="minorEastAsia" w:hAnsiTheme="majorHAnsi" w:cs="Times New Roman"/>
          <w:bCs/>
          <w:iCs/>
          <w:sz w:val="24"/>
          <w:szCs w:val="24"/>
          <w:lang w:eastAsia="ru-RU"/>
        </w:rPr>
        <w:t>ă</w:t>
      </w:r>
      <w:r w:rsidRPr="007039E8">
        <w:rPr>
          <w:rFonts w:asciiTheme="majorHAnsi" w:eastAsiaTheme="minorEastAsia" w:hAnsiTheme="majorHAnsi" w:cs="Times New Roman"/>
          <w:bCs/>
          <w:iCs/>
          <w:sz w:val="24"/>
          <w:szCs w:val="24"/>
          <w:lang w:eastAsia="ru-RU"/>
        </w:rPr>
        <w:t xml:space="preserve"> la un nivel scăzut, </w:t>
      </w:r>
      <w:r w:rsidR="006F3596">
        <w:rPr>
          <w:rFonts w:asciiTheme="majorHAnsi" w:eastAsiaTheme="minorEastAsia" w:hAnsiTheme="majorHAnsi" w:cs="Times New Roman"/>
          <w:bCs/>
          <w:iCs/>
          <w:sz w:val="24"/>
          <w:szCs w:val="24"/>
          <w:lang w:eastAsia="ru-RU"/>
        </w:rPr>
        <w:t xml:space="preserve">de </w:t>
      </w:r>
      <w:r w:rsidRPr="007039E8">
        <w:rPr>
          <w:rFonts w:asciiTheme="majorHAnsi" w:eastAsiaTheme="minorEastAsia" w:hAnsiTheme="majorHAnsi" w:cs="Times New Roman"/>
          <w:bCs/>
          <w:iCs/>
          <w:sz w:val="24"/>
          <w:szCs w:val="24"/>
          <w:lang w:eastAsia="ru-RU"/>
        </w:rPr>
        <w:t>8,8 mil.</w:t>
      </w:r>
      <w:r w:rsidR="006F3596">
        <w:rPr>
          <w:rFonts w:asciiTheme="majorHAnsi" w:eastAsiaTheme="minorEastAsia" w:hAnsiTheme="majorHAnsi" w:cs="Times New Roman"/>
          <w:bCs/>
          <w:iCs/>
          <w:sz w:val="24"/>
          <w:szCs w:val="24"/>
          <w:lang w:eastAsia="ru-RU"/>
        </w:rPr>
        <w:t xml:space="preserve"> </w:t>
      </w:r>
      <w:r w:rsidR="007160B9">
        <w:rPr>
          <w:rFonts w:asciiTheme="majorHAnsi" w:eastAsiaTheme="minorEastAsia" w:hAnsiTheme="majorHAnsi" w:cs="Times New Roman"/>
          <w:bCs/>
          <w:iCs/>
          <w:sz w:val="24"/>
          <w:szCs w:val="24"/>
          <w:lang w:eastAsia="ru-RU"/>
        </w:rPr>
        <w:t>MDL</w:t>
      </w:r>
      <w:r w:rsidR="006F3596">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Cs/>
          <w:iCs/>
          <w:sz w:val="24"/>
          <w:szCs w:val="24"/>
          <w:lang w:eastAsia="ru-RU"/>
        </w:rPr>
        <w:t xml:space="preserve"> sau 8,5%</w:t>
      </w:r>
      <w:r>
        <w:rPr>
          <w:rFonts w:asciiTheme="majorHAnsi" w:eastAsiaTheme="minorEastAsia" w:hAnsiTheme="majorHAnsi" w:cs="Times New Roman"/>
          <w:bCs/>
          <w:iCs/>
          <w:sz w:val="24"/>
          <w:szCs w:val="24"/>
          <w:lang w:eastAsia="ru-RU"/>
        </w:rPr>
        <w:t xml:space="preserve"> din </w:t>
      </w:r>
      <w:r w:rsidRPr="007039E8">
        <w:rPr>
          <w:rFonts w:asciiTheme="majorHAnsi" w:eastAsiaTheme="minorEastAsia" w:hAnsiTheme="majorHAnsi" w:cs="Times New Roman"/>
          <w:bCs/>
          <w:iCs/>
          <w:sz w:val="24"/>
          <w:szCs w:val="24"/>
          <w:lang w:eastAsia="ru-RU"/>
        </w:rPr>
        <w:t xml:space="preserve">suma calculată de 104,1 mil. </w:t>
      </w:r>
      <w:r w:rsidR="007160B9">
        <w:rPr>
          <w:rFonts w:asciiTheme="majorHAnsi" w:eastAsiaTheme="minorEastAsia" w:hAnsiTheme="majorHAnsi" w:cs="Times New Roman"/>
          <w:bCs/>
          <w:iCs/>
          <w:sz w:val="24"/>
          <w:szCs w:val="24"/>
          <w:lang w:eastAsia="ru-RU"/>
        </w:rPr>
        <w:t>MDL</w:t>
      </w:r>
      <w:r w:rsidRPr="007039E8">
        <w:rPr>
          <w:rFonts w:asciiTheme="majorHAnsi" w:eastAsiaTheme="minorEastAsia" w:hAnsiTheme="majorHAnsi" w:cs="Times New Roman"/>
          <w:bCs/>
          <w:iCs/>
          <w:sz w:val="24"/>
          <w:szCs w:val="24"/>
          <w:lang w:eastAsia="ru-RU"/>
        </w:rPr>
        <w:t xml:space="preserve"> </w:t>
      </w:r>
      <w:r>
        <w:rPr>
          <w:rFonts w:asciiTheme="majorHAnsi" w:eastAsiaTheme="minorEastAsia" w:hAnsiTheme="majorHAnsi" w:cs="Times New Roman"/>
          <w:bCs/>
          <w:iCs/>
          <w:sz w:val="24"/>
          <w:szCs w:val="24"/>
          <w:lang w:eastAsia="ru-RU"/>
        </w:rPr>
        <w:t>în anul 2018</w:t>
      </w:r>
      <w:r w:rsidRPr="007039E8">
        <w:rPr>
          <w:rFonts w:asciiTheme="majorHAnsi" w:eastAsiaTheme="minorEastAsia" w:hAnsiTheme="majorHAnsi" w:cs="Times New Roman"/>
          <w:bCs/>
          <w:iCs/>
          <w:sz w:val="24"/>
          <w:szCs w:val="24"/>
          <w:lang w:eastAsia="ru-RU"/>
        </w:rPr>
        <w:t>.</w:t>
      </w:r>
      <w:r w:rsidRPr="007039E8">
        <w:rPr>
          <w:rFonts w:asciiTheme="majorHAnsi" w:eastAsiaTheme="minorEastAsia" w:hAnsiTheme="majorHAnsi" w:cs="Times New Roman"/>
          <w:b/>
          <w:bCs/>
          <w:iCs/>
          <w:sz w:val="24"/>
          <w:szCs w:val="24"/>
          <w:lang w:eastAsia="ru-RU"/>
        </w:rPr>
        <w:t xml:space="preserve"> </w:t>
      </w:r>
      <w:r w:rsidRPr="007039E8">
        <w:rPr>
          <w:rFonts w:asciiTheme="majorHAnsi" w:eastAsiaTheme="minorEastAsia" w:hAnsiTheme="majorHAnsi" w:cs="Times New Roman"/>
          <w:bCs/>
          <w:i/>
          <w:iCs/>
          <w:sz w:val="24"/>
          <w:szCs w:val="24"/>
          <w:lang w:eastAsia="ru-RU"/>
        </w:rPr>
        <w:t>Informația cu privire la rezultatele controalelor post</w:t>
      </w:r>
      <w:r w:rsidR="006F3596">
        <w:rPr>
          <w:rFonts w:asciiTheme="majorHAnsi" w:eastAsiaTheme="minorEastAsia" w:hAnsiTheme="majorHAnsi" w:cs="Times New Roman"/>
          <w:bCs/>
          <w:i/>
          <w:iCs/>
          <w:sz w:val="24"/>
          <w:szCs w:val="24"/>
          <w:lang w:eastAsia="ru-RU"/>
        </w:rPr>
        <w:t>-</w:t>
      </w:r>
      <w:r w:rsidRPr="007039E8">
        <w:rPr>
          <w:rFonts w:asciiTheme="majorHAnsi" w:eastAsiaTheme="minorEastAsia" w:hAnsiTheme="majorHAnsi" w:cs="Times New Roman"/>
          <w:bCs/>
          <w:i/>
          <w:iCs/>
          <w:sz w:val="24"/>
          <w:szCs w:val="24"/>
          <w:lang w:eastAsia="ru-RU"/>
        </w:rPr>
        <w:t xml:space="preserve">vămuire efectuate de către SV pe parcursul anului 2018 </w:t>
      </w:r>
      <w:r w:rsidR="00A776C7">
        <w:rPr>
          <w:rFonts w:asciiTheme="majorHAnsi" w:eastAsiaTheme="minorEastAsia" w:hAnsiTheme="majorHAnsi" w:cs="Times New Roman"/>
          <w:bCs/>
          <w:i/>
          <w:iCs/>
          <w:sz w:val="24"/>
          <w:szCs w:val="24"/>
          <w:lang w:eastAsia="ru-RU"/>
        </w:rPr>
        <w:t>se prezintă în Anexa nr.11</w:t>
      </w:r>
      <w:r w:rsidR="00793C62">
        <w:rPr>
          <w:rFonts w:asciiTheme="majorHAnsi" w:eastAsiaTheme="minorEastAsia" w:hAnsiTheme="majorHAnsi" w:cs="Times New Roman"/>
          <w:bCs/>
          <w:i/>
          <w:iCs/>
          <w:sz w:val="24"/>
          <w:szCs w:val="24"/>
          <w:lang w:eastAsia="ru-RU"/>
        </w:rPr>
        <w:t xml:space="preserve"> </w:t>
      </w:r>
      <w:r w:rsidRPr="005649EC">
        <w:rPr>
          <w:rFonts w:asciiTheme="majorHAnsi" w:eastAsiaTheme="minorEastAsia" w:hAnsiTheme="majorHAnsi" w:cs="Times New Roman"/>
          <w:bCs/>
          <w:i/>
          <w:iCs/>
          <w:sz w:val="24"/>
          <w:szCs w:val="24"/>
          <w:lang w:eastAsia="ru-RU"/>
        </w:rPr>
        <w:t>la</w:t>
      </w:r>
      <w:r w:rsidRPr="007039E8">
        <w:rPr>
          <w:rFonts w:asciiTheme="majorHAnsi" w:eastAsiaTheme="minorEastAsia" w:hAnsiTheme="majorHAnsi" w:cs="Times New Roman"/>
          <w:bCs/>
          <w:i/>
          <w:iCs/>
          <w:sz w:val="24"/>
          <w:szCs w:val="24"/>
          <w:lang w:eastAsia="ru-RU"/>
        </w:rPr>
        <w:t xml:space="preserve"> prezentul </w:t>
      </w:r>
      <w:r>
        <w:rPr>
          <w:rFonts w:asciiTheme="majorHAnsi" w:eastAsiaTheme="minorEastAsia" w:hAnsiTheme="majorHAnsi" w:cs="Times New Roman"/>
          <w:bCs/>
          <w:i/>
          <w:iCs/>
          <w:sz w:val="24"/>
          <w:szCs w:val="24"/>
          <w:lang w:eastAsia="ru-RU"/>
        </w:rPr>
        <w:t>Raport de audit.</w:t>
      </w:r>
    </w:p>
    <w:p w:rsidR="001E5A2A" w:rsidRDefault="001E5A2A" w:rsidP="000070C0">
      <w:pPr>
        <w:spacing w:before="240" w:after="0" w:line="276" w:lineRule="auto"/>
        <w:ind w:firstLine="709"/>
        <w:contextualSpacing/>
        <w:jc w:val="both"/>
        <w:rPr>
          <w:rFonts w:asciiTheme="majorHAnsi" w:hAnsiTheme="majorHAnsi" w:cstheme="majorHAnsi"/>
          <w:color w:val="FF0000"/>
          <w:sz w:val="24"/>
          <w:szCs w:val="24"/>
        </w:rPr>
      </w:pPr>
    </w:p>
    <w:p w:rsidR="008420F3" w:rsidRDefault="00A251BC" w:rsidP="008420F3">
      <w:pPr>
        <w:pStyle w:val="ListParagraph"/>
        <w:tabs>
          <w:tab w:val="left" w:pos="993"/>
        </w:tabs>
        <w:spacing w:after="0" w:line="276" w:lineRule="auto"/>
        <w:ind w:left="0"/>
        <w:jc w:val="both"/>
        <w:outlineLvl w:val="2"/>
        <w:rPr>
          <w:rFonts w:asciiTheme="majorHAnsi" w:hAnsiTheme="majorHAnsi" w:cstheme="majorHAnsi"/>
          <w:b/>
          <w:sz w:val="24"/>
          <w:szCs w:val="24"/>
        </w:rPr>
      </w:pPr>
      <w:bookmarkStart w:id="24" w:name="_Toc10126095"/>
      <w:r>
        <w:rPr>
          <w:rFonts w:asciiTheme="majorHAnsi" w:hAnsiTheme="majorHAnsi" w:cstheme="majorHAnsi"/>
          <w:b/>
          <w:sz w:val="24"/>
          <w:szCs w:val="24"/>
        </w:rPr>
        <w:t>3.3</w:t>
      </w:r>
      <w:r w:rsidR="008420F3">
        <w:rPr>
          <w:rFonts w:asciiTheme="majorHAnsi" w:hAnsiTheme="majorHAnsi" w:cstheme="majorHAnsi"/>
          <w:b/>
          <w:sz w:val="24"/>
          <w:szCs w:val="24"/>
        </w:rPr>
        <w:t xml:space="preserve">.4 </w:t>
      </w:r>
      <w:r w:rsidR="008420F3" w:rsidRPr="00B1193C">
        <w:rPr>
          <w:rFonts w:asciiTheme="majorHAnsi" w:hAnsiTheme="majorHAnsi" w:cstheme="majorHAnsi"/>
          <w:b/>
          <w:sz w:val="24"/>
          <w:szCs w:val="24"/>
        </w:rPr>
        <w:t>Cheltuielile de casă al</w:t>
      </w:r>
      <w:r w:rsidR="008420F3">
        <w:rPr>
          <w:rFonts w:asciiTheme="majorHAnsi" w:hAnsiTheme="majorHAnsi" w:cstheme="majorHAnsi"/>
          <w:b/>
          <w:sz w:val="24"/>
          <w:szCs w:val="24"/>
        </w:rPr>
        <w:t>e bugetului de stat în anul 2018</w:t>
      </w:r>
      <w:r w:rsidR="008420F3" w:rsidRPr="00B1193C">
        <w:rPr>
          <w:rFonts w:asciiTheme="majorHAnsi" w:hAnsiTheme="majorHAnsi" w:cstheme="majorHAnsi"/>
          <w:b/>
          <w:sz w:val="24"/>
          <w:szCs w:val="24"/>
        </w:rPr>
        <w:t xml:space="preserve"> au fost executate sub nivelul precizat</w:t>
      </w:r>
      <w:r w:rsidR="00291CA3">
        <w:rPr>
          <w:rFonts w:asciiTheme="majorHAnsi" w:hAnsiTheme="majorHAnsi" w:cstheme="majorHAnsi"/>
          <w:b/>
          <w:sz w:val="24"/>
          <w:szCs w:val="24"/>
        </w:rPr>
        <w:t xml:space="preserve">, </w:t>
      </w:r>
      <w:r w:rsidR="006F3596">
        <w:rPr>
          <w:rFonts w:asciiTheme="majorHAnsi" w:hAnsiTheme="majorHAnsi" w:cstheme="majorHAnsi"/>
          <w:b/>
          <w:sz w:val="24"/>
          <w:szCs w:val="24"/>
        </w:rPr>
        <w:t xml:space="preserve">7,9% din acestea </w:t>
      </w:r>
      <w:r w:rsidR="00291CA3">
        <w:rPr>
          <w:rFonts w:asciiTheme="majorHAnsi" w:hAnsiTheme="majorHAnsi" w:cstheme="majorHAnsi"/>
          <w:b/>
          <w:sz w:val="24"/>
          <w:szCs w:val="24"/>
        </w:rPr>
        <w:t>nefiind valorificate.</w:t>
      </w:r>
      <w:bookmarkEnd w:id="24"/>
    </w:p>
    <w:p w:rsidR="008420F3" w:rsidRDefault="008420F3" w:rsidP="00FB186A">
      <w:pPr>
        <w:spacing w:line="276" w:lineRule="auto"/>
        <w:ind w:firstLine="709"/>
        <w:contextualSpacing/>
        <w:jc w:val="both"/>
        <w:rPr>
          <w:rFonts w:asciiTheme="majorHAnsi" w:hAnsiTheme="majorHAnsi" w:cstheme="majorHAnsi"/>
          <w:sz w:val="24"/>
          <w:szCs w:val="24"/>
        </w:rPr>
      </w:pPr>
      <w:r w:rsidRPr="00CD17C5">
        <w:rPr>
          <w:rFonts w:asciiTheme="majorHAnsi" w:hAnsiTheme="majorHAnsi" w:cstheme="majorHAnsi"/>
          <w:sz w:val="24"/>
          <w:szCs w:val="24"/>
        </w:rPr>
        <w:t>Conform Raportului privind executarea bugetului de stat pe anul 201</w:t>
      </w:r>
      <w:r w:rsidRPr="00F842C0">
        <w:rPr>
          <w:rFonts w:asciiTheme="majorHAnsi" w:hAnsiTheme="majorHAnsi" w:cstheme="majorHAnsi"/>
          <w:sz w:val="24"/>
          <w:szCs w:val="24"/>
        </w:rPr>
        <w:t>8</w:t>
      </w:r>
      <w:r w:rsidRPr="00CD17C5">
        <w:rPr>
          <w:rFonts w:asciiTheme="majorHAnsi" w:hAnsiTheme="majorHAnsi" w:cstheme="majorHAnsi"/>
          <w:sz w:val="24"/>
          <w:szCs w:val="24"/>
        </w:rPr>
        <w:t>, cheltuielile</w:t>
      </w:r>
      <w:r w:rsidRPr="00F842C0">
        <w:rPr>
          <w:rFonts w:asciiTheme="majorHAnsi" w:hAnsiTheme="majorHAnsi" w:cstheme="majorHAnsi"/>
          <w:sz w:val="24"/>
          <w:szCs w:val="24"/>
          <w:vertAlign w:val="superscript"/>
        </w:rPr>
        <w:footnoteReference w:id="52"/>
      </w:r>
      <w:r w:rsidRPr="00CD17C5">
        <w:rPr>
          <w:rFonts w:asciiTheme="majorHAnsi" w:hAnsiTheme="majorHAnsi" w:cstheme="majorHAnsi"/>
          <w:sz w:val="24"/>
          <w:szCs w:val="24"/>
        </w:rPr>
        <w:t xml:space="preserve"> de casă au fost realizate la un nivel de 9</w:t>
      </w:r>
      <w:r w:rsidRPr="00F842C0">
        <w:rPr>
          <w:rFonts w:asciiTheme="majorHAnsi" w:hAnsiTheme="majorHAnsi" w:cstheme="majorHAnsi"/>
          <w:sz w:val="24"/>
          <w:szCs w:val="24"/>
        </w:rPr>
        <w:t>2,1</w:t>
      </w:r>
      <w:r w:rsidRPr="00CD17C5">
        <w:rPr>
          <w:rFonts w:asciiTheme="majorHAnsi" w:hAnsiTheme="majorHAnsi" w:cstheme="majorHAnsi"/>
          <w:sz w:val="24"/>
          <w:szCs w:val="24"/>
        </w:rPr>
        <w:t xml:space="preserve">%, sau în sumă de </w:t>
      </w:r>
      <w:r w:rsidRPr="00F842C0">
        <w:rPr>
          <w:rFonts w:asciiTheme="majorHAnsi" w:hAnsiTheme="majorHAnsi" w:cstheme="majorHAnsi"/>
          <w:sz w:val="24"/>
          <w:szCs w:val="24"/>
        </w:rPr>
        <w:t>38 708,3</w:t>
      </w:r>
      <w:r w:rsidRPr="00CD17C5">
        <w:rPr>
          <w:rFonts w:asciiTheme="majorHAnsi" w:hAnsiTheme="majorHAnsi" w:cstheme="majorHAnsi"/>
          <w:sz w:val="24"/>
          <w:szCs w:val="24"/>
        </w:rPr>
        <w:t xml:space="preserve"> mil.</w:t>
      </w:r>
      <w:r w:rsidRPr="00F842C0">
        <w:rPr>
          <w:rFonts w:asciiTheme="majorHAnsi" w:hAnsiTheme="majorHAnsi" w:cstheme="majorHAnsi"/>
          <w:sz w:val="24"/>
          <w:szCs w:val="24"/>
        </w:rPr>
        <w:t xml:space="preserve"> </w:t>
      </w:r>
      <w:r w:rsidR="007160B9">
        <w:rPr>
          <w:rFonts w:asciiTheme="majorHAnsi" w:hAnsiTheme="majorHAnsi" w:cstheme="majorHAnsi"/>
          <w:sz w:val="24"/>
          <w:szCs w:val="24"/>
        </w:rPr>
        <w:t>MDL</w:t>
      </w:r>
      <w:r w:rsidRPr="00CD17C5">
        <w:rPr>
          <w:rFonts w:asciiTheme="majorHAnsi" w:hAnsiTheme="majorHAnsi" w:cstheme="majorHAnsi"/>
          <w:sz w:val="24"/>
          <w:szCs w:val="24"/>
        </w:rPr>
        <w:t>.</w:t>
      </w:r>
      <w:r w:rsidRPr="00CD17C5">
        <w:rPr>
          <w:rFonts w:ascii="Times New Roman" w:hAnsi="Times New Roman" w:cs="Times New Roman"/>
          <w:sz w:val="28"/>
          <w:szCs w:val="28"/>
        </w:rPr>
        <w:t xml:space="preserve"> </w:t>
      </w:r>
      <w:r>
        <w:rPr>
          <w:rFonts w:asciiTheme="majorHAnsi" w:hAnsiTheme="majorHAnsi" w:cstheme="majorHAnsi"/>
          <w:sz w:val="24"/>
          <w:szCs w:val="24"/>
        </w:rPr>
        <w:t>În comparație cu ultimii 2 ani</w:t>
      </w:r>
      <w:r w:rsidRPr="00CD17C5">
        <w:rPr>
          <w:rFonts w:asciiTheme="majorHAnsi" w:hAnsiTheme="majorHAnsi" w:cstheme="majorHAnsi"/>
          <w:sz w:val="24"/>
          <w:szCs w:val="24"/>
        </w:rPr>
        <w:t xml:space="preserve">, a fost înregistrată o creștere de </w:t>
      </w:r>
      <w:r w:rsidRPr="00207DE6">
        <w:rPr>
          <w:rFonts w:asciiTheme="majorHAnsi" w:hAnsiTheme="majorHAnsi" w:cstheme="majorHAnsi"/>
          <w:sz w:val="24"/>
          <w:szCs w:val="24"/>
        </w:rPr>
        <w:t>3 229,2</w:t>
      </w:r>
      <w:r w:rsidRPr="00CD17C5">
        <w:rPr>
          <w:rFonts w:asciiTheme="majorHAnsi" w:hAnsiTheme="majorHAnsi" w:cstheme="majorHAnsi"/>
          <w:sz w:val="24"/>
          <w:szCs w:val="24"/>
        </w:rPr>
        <w:t xml:space="preserve"> mil.</w:t>
      </w:r>
      <w:r w:rsidRPr="00207DE6">
        <w:rPr>
          <w:rFonts w:asciiTheme="majorHAnsi" w:hAnsiTheme="majorHAnsi" w:cstheme="majorHAnsi"/>
          <w:sz w:val="24"/>
          <w:szCs w:val="24"/>
        </w:rPr>
        <w:t xml:space="preserve"> </w:t>
      </w:r>
      <w:r w:rsidR="007160B9">
        <w:rPr>
          <w:rFonts w:asciiTheme="majorHAnsi" w:hAnsiTheme="majorHAnsi" w:cstheme="majorHAnsi"/>
          <w:sz w:val="24"/>
          <w:szCs w:val="24"/>
        </w:rPr>
        <w:t>MDL</w:t>
      </w:r>
      <w:r w:rsidRPr="00CD17C5">
        <w:rPr>
          <w:rFonts w:asciiTheme="majorHAnsi" w:hAnsiTheme="majorHAnsi" w:cstheme="majorHAnsi"/>
          <w:sz w:val="24"/>
          <w:szCs w:val="24"/>
        </w:rPr>
        <w:t>, față de cheltuielile de casă executate în anul 201</w:t>
      </w:r>
      <w:r w:rsidRPr="00207DE6">
        <w:rPr>
          <w:rFonts w:asciiTheme="majorHAnsi" w:hAnsiTheme="majorHAnsi" w:cstheme="majorHAnsi"/>
          <w:sz w:val="24"/>
          <w:szCs w:val="24"/>
        </w:rPr>
        <w:t>7</w:t>
      </w:r>
      <w:r w:rsidRPr="00CD17C5">
        <w:rPr>
          <w:rFonts w:asciiTheme="majorHAnsi" w:hAnsiTheme="majorHAnsi" w:cstheme="majorHAnsi"/>
          <w:sz w:val="24"/>
          <w:szCs w:val="24"/>
        </w:rPr>
        <w:t xml:space="preserve">, și o creștere de </w:t>
      </w:r>
      <w:r>
        <w:rPr>
          <w:rFonts w:asciiTheme="majorHAnsi" w:hAnsiTheme="majorHAnsi" w:cstheme="majorHAnsi"/>
          <w:sz w:val="24"/>
          <w:szCs w:val="24"/>
        </w:rPr>
        <w:t>6 395,1</w:t>
      </w:r>
      <w:r w:rsidRPr="00CD17C5">
        <w:rPr>
          <w:rFonts w:asciiTheme="majorHAnsi" w:hAnsiTheme="majorHAnsi" w:cstheme="majorHAnsi"/>
          <w:sz w:val="24"/>
          <w:szCs w:val="24"/>
        </w:rPr>
        <w:t xml:space="preserve">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CD17C5">
        <w:rPr>
          <w:rFonts w:asciiTheme="majorHAnsi" w:hAnsiTheme="majorHAnsi" w:cstheme="majorHAnsi"/>
          <w:sz w:val="24"/>
          <w:szCs w:val="24"/>
        </w:rPr>
        <w:t>, față de cheltuielile de casă executate în a</w:t>
      </w:r>
      <w:r w:rsidRPr="00207DE6">
        <w:rPr>
          <w:rFonts w:asciiTheme="majorHAnsi" w:hAnsiTheme="majorHAnsi" w:cstheme="majorHAnsi"/>
          <w:sz w:val="24"/>
          <w:szCs w:val="24"/>
        </w:rPr>
        <w:t>nul 2016</w:t>
      </w:r>
      <w:r w:rsidRPr="00CD17C5">
        <w:rPr>
          <w:rFonts w:asciiTheme="majorHAnsi" w:hAnsiTheme="majorHAnsi" w:cstheme="majorHAnsi"/>
          <w:sz w:val="24"/>
          <w:szCs w:val="24"/>
        </w:rPr>
        <w:t xml:space="preserve">. </w:t>
      </w:r>
    </w:p>
    <w:p w:rsidR="008420F3" w:rsidRDefault="008420F3" w:rsidP="008420F3">
      <w:pPr>
        <w:spacing w:line="276" w:lineRule="auto"/>
        <w:ind w:firstLine="709"/>
        <w:contextualSpacing/>
        <w:jc w:val="both"/>
        <w:rPr>
          <w:rFonts w:asciiTheme="majorHAnsi" w:hAnsiTheme="majorHAnsi" w:cstheme="majorHAnsi"/>
          <w:sz w:val="24"/>
          <w:szCs w:val="24"/>
        </w:rPr>
      </w:pPr>
      <w:r w:rsidRPr="00F509A9">
        <w:rPr>
          <w:rFonts w:asciiTheme="majorHAnsi" w:hAnsiTheme="majorHAnsi" w:cstheme="majorHAnsi"/>
          <w:sz w:val="24"/>
          <w:szCs w:val="24"/>
        </w:rPr>
        <w:t>Auditul relevă că nivelul de executare a cheltuielilor de casă a generat prezența unui sold de alocații nevalorificate în anul 2018</w:t>
      </w:r>
      <w:r w:rsidR="006F3596">
        <w:rPr>
          <w:rFonts w:asciiTheme="majorHAnsi" w:hAnsiTheme="majorHAnsi" w:cstheme="majorHAnsi"/>
          <w:sz w:val="24"/>
          <w:szCs w:val="24"/>
        </w:rPr>
        <w:t>,</w:t>
      </w:r>
      <w:r w:rsidRPr="00F509A9">
        <w:rPr>
          <w:rFonts w:asciiTheme="majorHAnsi" w:hAnsiTheme="majorHAnsi" w:cstheme="majorHAnsi"/>
          <w:sz w:val="24"/>
          <w:szCs w:val="24"/>
        </w:rPr>
        <w:t xml:space="preserve"> în cuantum total de 3 323,6 mil. </w:t>
      </w:r>
      <w:r w:rsidR="007160B9">
        <w:rPr>
          <w:rFonts w:asciiTheme="majorHAnsi" w:hAnsiTheme="majorHAnsi" w:cstheme="majorHAnsi"/>
          <w:sz w:val="24"/>
          <w:szCs w:val="24"/>
        </w:rPr>
        <w:t>MDL</w:t>
      </w:r>
      <w:r w:rsidRPr="00F509A9">
        <w:rPr>
          <w:rFonts w:asciiTheme="majorHAnsi" w:hAnsiTheme="majorHAnsi" w:cstheme="majorHAnsi"/>
          <w:sz w:val="24"/>
          <w:szCs w:val="24"/>
        </w:rPr>
        <w:t xml:space="preserve">. Analiza alocațiilor nevalorificate indică că în anul </w:t>
      </w:r>
      <w:r w:rsidR="006F3596">
        <w:rPr>
          <w:rFonts w:asciiTheme="majorHAnsi" w:hAnsiTheme="majorHAnsi" w:cstheme="majorHAnsi"/>
          <w:sz w:val="24"/>
          <w:szCs w:val="24"/>
        </w:rPr>
        <w:t>de raportare</w:t>
      </w:r>
      <w:r w:rsidRPr="00F509A9">
        <w:rPr>
          <w:rFonts w:asciiTheme="majorHAnsi" w:hAnsiTheme="majorHAnsi" w:cstheme="majorHAnsi"/>
          <w:sz w:val="24"/>
          <w:szCs w:val="24"/>
        </w:rPr>
        <w:t xml:space="preserve"> acestea dețin o pondere de 7,9% din totalul cheltuielilor precizate. Nevalorificarea deplină a alocațiilor a fost determinată de nivelul </w:t>
      </w:r>
      <w:r w:rsidR="006F3596">
        <w:rPr>
          <w:rFonts w:asciiTheme="majorHAnsi" w:hAnsiTheme="majorHAnsi" w:cstheme="majorHAnsi"/>
          <w:sz w:val="24"/>
          <w:szCs w:val="24"/>
        </w:rPr>
        <w:t xml:space="preserve">insuficient </w:t>
      </w:r>
      <w:r w:rsidRPr="00F509A9">
        <w:rPr>
          <w:rFonts w:asciiTheme="majorHAnsi" w:hAnsiTheme="majorHAnsi" w:cstheme="majorHAnsi"/>
          <w:sz w:val="24"/>
          <w:szCs w:val="24"/>
        </w:rPr>
        <w:t xml:space="preserve">de planificare a limitelor de cheltuieli și de circumstanțele cauzate de </w:t>
      </w:r>
      <w:proofErr w:type="spellStart"/>
      <w:r w:rsidRPr="00F509A9">
        <w:rPr>
          <w:rFonts w:asciiTheme="majorHAnsi" w:hAnsiTheme="majorHAnsi" w:cstheme="majorHAnsi"/>
          <w:sz w:val="24"/>
          <w:szCs w:val="24"/>
        </w:rPr>
        <w:t>nedebursarea</w:t>
      </w:r>
      <w:proofErr w:type="spellEnd"/>
      <w:r w:rsidRPr="00F509A9">
        <w:rPr>
          <w:rFonts w:asciiTheme="majorHAnsi" w:hAnsiTheme="majorHAnsi" w:cstheme="majorHAnsi"/>
          <w:sz w:val="24"/>
          <w:szCs w:val="24"/>
        </w:rPr>
        <w:t xml:space="preserve"> granturilor externe la nivelul planificat. </w:t>
      </w:r>
    </w:p>
    <w:p w:rsidR="008420F3" w:rsidRPr="0047276D" w:rsidRDefault="008420F3" w:rsidP="008420F3">
      <w:pPr>
        <w:spacing w:line="276" w:lineRule="auto"/>
        <w:ind w:firstLine="709"/>
        <w:contextualSpacing/>
        <w:jc w:val="both"/>
        <w:rPr>
          <w:rFonts w:asciiTheme="majorHAnsi" w:hAnsiTheme="majorHAnsi" w:cstheme="majorHAnsi"/>
          <w:sz w:val="24"/>
          <w:szCs w:val="24"/>
        </w:rPr>
      </w:pPr>
      <w:r w:rsidRPr="004E02E5">
        <w:rPr>
          <w:rFonts w:asciiTheme="majorHAnsi" w:hAnsiTheme="majorHAnsi" w:cstheme="majorHAnsi"/>
          <w:sz w:val="24"/>
          <w:szCs w:val="24"/>
        </w:rPr>
        <w:t xml:space="preserve">În baza analizei cheltuielilor de casă executate la BS </w:t>
      </w:r>
      <w:r w:rsidR="006F3596">
        <w:rPr>
          <w:rFonts w:asciiTheme="majorHAnsi" w:hAnsiTheme="majorHAnsi" w:cstheme="majorHAnsi"/>
          <w:sz w:val="24"/>
          <w:szCs w:val="24"/>
        </w:rPr>
        <w:t>în</w:t>
      </w:r>
      <w:r w:rsidRPr="004E02E5">
        <w:rPr>
          <w:rFonts w:asciiTheme="majorHAnsi" w:hAnsiTheme="majorHAnsi" w:cstheme="majorHAnsi"/>
          <w:sz w:val="24"/>
          <w:szCs w:val="24"/>
        </w:rPr>
        <w:t xml:space="preserve"> anul 2018, în aspectul clasificației economice, auditul denotă că cel mai mic nivel de executare a fost înregistrat la capitolul</w:t>
      </w:r>
      <w:r>
        <w:rPr>
          <w:rFonts w:ascii="Times New Roman" w:hAnsi="Times New Roman" w:cs="Times New Roman"/>
          <w:sz w:val="28"/>
          <w:szCs w:val="28"/>
        </w:rPr>
        <w:t xml:space="preserve"> </w:t>
      </w:r>
      <w:r w:rsidRPr="00102C18">
        <w:rPr>
          <w:rFonts w:asciiTheme="majorHAnsi" w:hAnsiTheme="majorHAnsi" w:cstheme="majorHAnsi"/>
          <w:sz w:val="24"/>
          <w:szCs w:val="24"/>
        </w:rPr>
        <w:t xml:space="preserve">„Mijloace fixe” – </w:t>
      </w:r>
      <w:r w:rsidR="006F3596">
        <w:rPr>
          <w:rFonts w:asciiTheme="majorHAnsi" w:hAnsiTheme="majorHAnsi" w:cstheme="majorHAnsi"/>
          <w:sz w:val="24"/>
          <w:szCs w:val="24"/>
        </w:rPr>
        <w:t>de</w:t>
      </w:r>
      <w:r w:rsidRPr="00102C18">
        <w:rPr>
          <w:rFonts w:asciiTheme="majorHAnsi" w:hAnsiTheme="majorHAnsi" w:cstheme="majorHAnsi"/>
          <w:sz w:val="24"/>
          <w:szCs w:val="24"/>
        </w:rPr>
        <w:t xml:space="preserve"> 58,9%, din care „Investiții capitale în active în curs de execuție” </w:t>
      </w:r>
      <w:r w:rsidR="006F3596">
        <w:rPr>
          <w:rFonts w:asciiTheme="majorHAnsi" w:hAnsiTheme="majorHAnsi" w:cstheme="majorHAnsi"/>
          <w:sz w:val="24"/>
          <w:szCs w:val="24"/>
        </w:rPr>
        <w:t>au constituit</w:t>
      </w:r>
      <w:r w:rsidRPr="00102C18">
        <w:rPr>
          <w:rFonts w:asciiTheme="majorHAnsi" w:hAnsiTheme="majorHAnsi" w:cstheme="majorHAnsi"/>
          <w:sz w:val="24"/>
          <w:szCs w:val="24"/>
        </w:rPr>
        <w:t xml:space="preserve"> 44,6</w:t>
      </w:r>
      <w:r>
        <w:rPr>
          <w:rFonts w:asciiTheme="majorHAnsi" w:hAnsiTheme="majorHAnsi" w:cstheme="majorHAnsi"/>
          <w:sz w:val="24"/>
          <w:szCs w:val="24"/>
        </w:rPr>
        <w:t>%</w:t>
      </w:r>
      <w:r w:rsidR="006F3596">
        <w:rPr>
          <w:rFonts w:asciiTheme="majorHAnsi" w:hAnsiTheme="majorHAnsi" w:cstheme="majorHAnsi"/>
          <w:sz w:val="24"/>
          <w:szCs w:val="24"/>
        </w:rPr>
        <w:t>,</w:t>
      </w:r>
      <w:r>
        <w:rPr>
          <w:rFonts w:asciiTheme="majorHAnsi" w:hAnsiTheme="majorHAnsi" w:cstheme="majorHAnsi"/>
          <w:sz w:val="24"/>
          <w:szCs w:val="24"/>
        </w:rPr>
        <w:t xml:space="preserve"> dar față de anul precedent au fost executate cu 87,7 mil. </w:t>
      </w:r>
      <w:r w:rsidR="007160B9">
        <w:rPr>
          <w:rFonts w:asciiTheme="majorHAnsi" w:hAnsiTheme="majorHAnsi" w:cstheme="majorHAnsi"/>
          <w:sz w:val="24"/>
          <w:szCs w:val="24"/>
        </w:rPr>
        <w:t>MDL</w:t>
      </w:r>
      <w:r w:rsidR="006F3596">
        <w:rPr>
          <w:rFonts w:asciiTheme="majorHAnsi" w:hAnsiTheme="majorHAnsi" w:cstheme="majorHAnsi"/>
          <w:sz w:val="24"/>
          <w:szCs w:val="24"/>
        </w:rPr>
        <w:t xml:space="preserve"> (cu 4,7%)</w:t>
      </w:r>
      <w:r>
        <w:rPr>
          <w:rFonts w:asciiTheme="majorHAnsi" w:hAnsiTheme="majorHAnsi" w:cstheme="majorHAnsi"/>
          <w:sz w:val="24"/>
          <w:szCs w:val="24"/>
        </w:rPr>
        <w:t xml:space="preserve"> mai mult. </w:t>
      </w:r>
      <w:r w:rsidRPr="004E02E5">
        <w:rPr>
          <w:rFonts w:asciiTheme="majorHAnsi" w:hAnsiTheme="majorHAnsi" w:cstheme="majorHAnsi"/>
          <w:i/>
          <w:sz w:val="24"/>
          <w:szCs w:val="24"/>
        </w:rPr>
        <w:t>Analiza executării în anul de raportare a cheltuielilor de casă ale bugetului de stat, în aspectul clasificației economice, comparativ cu anul 2017, este prezentată în</w:t>
      </w:r>
      <w:r w:rsidRPr="004E02E5">
        <w:rPr>
          <w:rFonts w:asciiTheme="majorHAnsi" w:hAnsiTheme="majorHAnsi" w:cstheme="majorHAnsi"/>
          <w:sz w:val="24"/>
          <w:szCs w:val="24"/>
        </w:rPr>
        <w:t xml:space="preserve"> </w:t>
      </w:r>
      <w:r w:rsidRPr="004E02E5">
        <w:rPr>
          <w:rFonts w:asciiTheme="majorHAnsi" w:hAnsiTheme="majorHAnsi" w:cstheme="majorHAnsi"/>
          <w:i/>
          <w:sz w:val="24"/>
          <w:szCs w:val="24"/>
        </w:rPr>
        <w:t>Tabelul nr.</w:t>
      </w:r>
      <w:r w:rsidR="00523058">
        <w:rPr>
          <w:rFonts w:asciiTheme="majorHAnsi" w:hAnsiTheme="majorHAnsi" w:cstheme="majorHAnsi"/>
          <w:i/>
          <w:sz w:val="24"/>
          <w:szCs w:val="24"/>
        </w:rPr>
        <w:t>12</w:t>
      </w:r>
      <w:r w:rsidRPr="004E02E5">
        <w:rPr>
          <w:rFonts w:asciiTheme="majorHAnsi" w:hAnsiTheme="majorHAnsi" w:cstheme="majorHAnsi"/>
          <w:i/>
          <w:sz w:val="24"/>
          <w:szCs w:val="24"/>
        </w:rPr>
        <w:t>.</w:t>
      </w:r>
    </w:p>
    <w:p w:rsidR="008420F3" w:rsidRPr="004E02E5" w:rsidRDefault="008420F3" w:rsidP="008420F3">
      <w:pPr>
        <w:spacing w:after="0" w:line="276" w:lineRule="auto"/>
        <w:ind w:firstLine="709"/>
        <w:jc w:val="right"/>
        <w:rPr>
          <w:rFonts w:asciiTheme="majorHAnsi" w:eastAsia="Times New Roman" w:hAnsiTheme="majorHAnsi" w:cstheme="majorHAnsi"/>
          <w:i/>
          <w:sz w:val="24"/>
          <w:szCs w:val="24"/>
          <w:lang w:eastAsia="ru-RU"/>
        </w:rPr>
      </w:pPr>
      <w:r w:rsidRPr="004E02E5">
        <w:rPr>
          <w:rFonts w:asciiTheme="majorHAnsi" w:eastAsia="Times New Roman" w:hAnsiTheme="majorHAnsi" w:cstheme="majorHAnsi"/>
          <w:i/>
          <w:sz w:val="24"/>
          <w:szCs w:val="24"/>
          <w:lang w:eastAsia="ru-RU"/>
        </w:rPr>
        <w:t>Tabelul nr.</w:t>
      </w:r>
      <w:r w:rsidR="00523058">
        <w:rPr>
          <w:rFonts w:asciiTheme="majorHAnsi" w:eastAsia="Times New Roman" w:hAnsiTheme="majorHAnsi" w:cstheme="majorHAnsi"/>
          <w:i/>
          <w:sz w:val="24"/>
          <w:szCs w:val="24"/>
          <w:lang w:eastAsia="ru-RU"/>
        </w:rPr>
        <w:t>12</w:t>
      </w:r>
    </w:p>
    <w:p w:rsidR="008420F3" w:rsidRDefault="008420F3" w:rsidP="008420F3">
      <w:pPr>
        <w:spacing w:after="0" w:line="276" w:lineRule="auto"/>
        <w:jc w:val="center"/>
        <w:rPr>
          <w:rFonts w:asciiTheme="majorHAnsi" w:eastAsia="Times New Roman" w:hAnsiTheme="majorHAnsi" w:cstheme="majorHAnsi"/>
          <w:b/>
          <w:sz w:val="24"/>
          <w:szCs w:val="24"/>
          <w:lang w:eastAsia="ru-RU"/>
        </w:rPr>
      </w:pPr>
      <w:r w:rsidRPr="004E02E5">
        <w:rPr>
          <w:rFonts w:asciiTheme="majorHAnsi" w:eastAsia="Times New Roman" w:hAnsiTheme="majorHAnsi" w:cstheme="majorHAnsi"/>
          <w:b/>
          <w:sz w:val="24"/>
          <w:szCs w:val="24"/>
          <w:lang w:eastAsia="ru-RU"/>
        </w:rPr>
        <w:lastRenderedPageBreak/>
        <w:t>Analiza executării cheltuielilor bugetului de stat în aspectul clas</w:t>
      </w:r>
      <w:r>
        <w:rPr>
          <w:rFonts w:asciiTheme="majorHAnsi" w:eastAsia="Times New Roman" w:hAnsiTheme="majorHAnsi" w:cstheme="majorHAnsi"/>
          <w:b/>
          <w:sz w:val="24"/>
          <w:szCs w:val="24"/>
          <w:lang w:eastAsia="ru-RU"/>
        </w:rPr>
        <w:t>ificației economice pe anul 2018, comparativ cu anul 2017</w:t>
      </w:r>
    </w:p>
    <w:p w:rsidR="008420F3" w:rsidRDefault="008420F3" w:rsidP="008420F3">
      <w:pPr>
        <w:spacing w:after="0" w:line="276" w:lineRule="auto"/>
        <w:jc w:val="right"/>
        <w:rPr>
          <w:rFonts w:asciiTheme="majorHAnsi" w:eastAsia="Times New Roman" w:hAnsiTheme="majorHAnsi" w:cstheme="majorHAnsi"/>
          <w:b/>
          <w:sz w:val="24"/>
          <w:szCs w:val="24"/>
          <w:lang w:eastAsia="ru-RU"/>
        </w:rPr>
      </w:pPr>
      <w:r>
        <w:rPr>
          <w:rFonts w:asciiTheme="majorHAnsi" w:eastAsia="Times New Roman" w:hAnsiTheme="majorHAnsi" w:cstheme="majorHAnsi"/>
          <w:b/>
          <w:sz w:val="24"/>
          <w:szCs w:val="24"/>
          <w:lang w:eastAsia="ru-RU"/>
        </w:rPr>
        <w:t xml:space="preserve">(mil. </w:t>
      </w:r>
      <w:r w:rsidR="007160B9">
        <w:rPr>
          <w:rFonts w:asciiTheme="majorHAnsi" w:eastAsia="Times New Roman" w:hAnsiTheme="majorHAnsi" w:cstheme="majorHAnsi"/>
          <w:b/>
          <w:sz w:val="24"/>
          <w:szCs w:val="24"/>
          <w:lang w:eastAsia="ru-RU"/>
        </w:rPr>
        <w:t>MDL</w:t>
      </w:r>
      <w:r>
        <w:rPr>
          <w:rFonts w:asciiTheme="majorHAnsi" w:eastAsia="Times New Roman" w:hAnsiTheme="majorHAnsi" w:cstheme="majorHAnsi"/>
          <w:b/>
          <w:sz w:val="24"/>
          <w:szCs w:val="24"/>
          <w:lang w:eastAsia="ru-RU"/>
        </w:rPr>
        <w:t>)</w:t>
      </w:r>
    </w:p>
    <w:tbl>
      <w:tblPr>
        <w:tblStyle w:val="GridTable1Light1"/>
        <w:tblW w:w="9781" w:type="dxa"/>
        <w:tblLayout w:type="fixed"/>
        <w:tblLook w:val="04A0" w:firstRow="1" w:lastRow="0" w:firstColumn="1" w:lastColumn="0" w:noHBand="0" w:noVBand="1"/>
      </w:tblPr>
      <w:tblGrid>
        <w:gridCol w:w="2836"/>
        <w:gridCol w:w="992"/>
        <w:gridCol w:w="844"/>
        <w:gridCol w:w="968"/>
        <w:gridCol w:w="881"/>
        <w:gridCol w:w="709"/>
        <w:gridCol w:w="992"/>
        <w:gridCol w:w="851"/>
        <w:gridCol w:w="708"/>
      </w:tblGrid>
      <w:tr w:rsidR="008420F3" w:rsidRPr="00BB441C" w:rsidTr="00397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tcPr>
          <w:p w:rsidR="008420F3" w:rsidRPr="00BB441C" w:rsidRDefault="008420F3" w:rsidP="00397B4C">
            <w:pPr>
              <w:jc w:val="center"/>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Cheltuieli</w:t>
            </w:r>
          </w:p>
        </w:tc>
        <w:tc>
          <w:tcPr>
            <w:tcW w:w="992" w:type="dxa"/>
            <w:vMerge w:val="restart"/>
          </w:tcPr>
          <w:p w:rsidR="008420F3" w:rsidRPr="00BB441C" w:rsidRDefault="008420F3" w:rsidP="00397B4C">
            <w:pPr>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Aprobat pe an</w:t>
            </w:r>
          </w:p>
        </w:tc>
        <w:tc>
          <w:tcPr>
            <w:tcW w:w="844" w:type="dxa"/>
            <w:vMerge w:val="restart"/>
          </w:tcPr>
          <w:p w:rsidR="008420F3" w:rsidRPr="00BB441C" w:rsidRDefault="008420F3" w:rsidP="00397B4C">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Precizat pe an</w:t>
            </w:r>
          </w:p>
        </w:tc>
        <w:tc>
          <w:tcPr>
            <w:tcW w:w="968" w:type="dxa"/>
            <w:vMerge w:val="restart"/>
          </w:tcPr>
          <w:p w:rsidR="008420F3" w:rsidRPr="00BB441C" w:rsidRDefault="008420F3" w:rsidP="00397B4C">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 xml:space="preserve">Executat </w:t>
            </w:r>
            <w:r w:rsidR="0029053E">
              <w:rPr>
                <w:rFonts w:asciiTheme="majorHAnsi" w:eastAsia="Times New Roman" w:hAnsiTheme="majorHAnsi" w:cstheme="majorHAnsi"/>
                <w:lang w:eastAsia="ru-RU"/>
              </w:rPr>
              <w:t xml:space="preserve">în </w:t>
            </w:r>
            <w:r w:rsidRPr="00BB441C">
              <w:rPr>
                <w:rFonts w:asciiTheme="majorHAnsi" w:eastAsia="Times New Roman" w:hAnsiTheme="majorHAnsi" w:cstheme="majorHAnsi"/>
                <w:lang w:eastAsia="ru-RU"/>
              </w:rPr>
              <w:t>anul curent</w:t>
            </w:r>
          </w:p>
        </w:tc>
        <w:tc>
          <w:tcPr>
            <w:tcW w:w="1590" w:type="dxa"/>
            <w:gridSpan w:val="2"/>
          </w:tcPr>
          <w:p w:rsidR="008420F3" w:rsidRPr="00BB441C" w:rsidRDefault="008420F3" w:rsidP="00397B4C">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Executat față de precizat pe an</w:t>
            </w:r>
          </w:p>
        </w:tc>
        <w:tc>
          <w:tcPr>
            <w:tcW w:w="992" w:type="dxa"/>
            <w:vMerge w:val="restart"/>
          </w:tcPr>
          <w:p w:rsidR="008420F3" w:rsidRPr="00BB441C" w:rsidRDefault="008420F3" w:rsidP="00397B4C">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Executat în anul precedent</w:t>
            </w:r>
          </w:p>
        </w:tc>
        <w:tc>
          <w:tcPr>
            <w:tcW w:w="1559" w:type="dxa"/>
            <w:gridSpan w:val="2"/>
          </w:tcPr>
          <w:p w:rsidR="008420F3" w:rsidRPr="00BB441C" w:rsidRDefault="008420F3" w:rsidP="00397B4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 xml:space="preserve">Executat </w:t>
            </w:r>
            <w:r w:rsidR="0029053E">
              <w:rPr>
                <w:rFonts w:asciiTheme="majorHAnsi" w:eastAsia="Times New Roman" w:hAnsiTheme="majorHAnsi" w:cstheme="majorHAnsi"/>
                <w:lang w:eastAsia="ru-RU"/>
              </w:rPr>
              <w:t xml:space="preserve">în </w:t>
            </w:r>
            <w:r w:rsidRPr="00BB441C">
              <w:rPr>
                <w:rFonts w:asciiTheme="majorHAnsi" w:eastAsia="Times New Roman" w:hAnsiTheme="majorHAnsi" w:cstheme="majorHAnsi"/>
                <w:lang w:eastAsia="ru-RU"/>
              </w:rPr>
              <w:t xml:space="preserve">anul curent față de </w:t>
            </w:r>
            <w:r w:rsidR="0029053E">
              <w:rPr>
                <w:rFonts w:asciiTheme="majorHAnsi" w:eastAsia="Times New Roman" w:hAnsiTheme="majorHAnsi" w:cstheme="majorHAnsi"/>
                <w:lang w:eastAsia="ru-RU"/>
              </w:rPr>
              <w:t xml:space="preserve">anul </w:t>
            </w:r>
            <w:r w:rsidRPr="00BB441C">
              <w:rPr>
                <w:rFonts w:asciiTheme="majorHAnsi" w:eastAsia="Times New Roman" w:hAnsiTheme="majorHAnsi" w:cstheme="majorHAnsi"/>
                <w:lang w:eastAsia="ru-RU"/>
              </w:rPr>
              <w:t>precedent</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vMerge/>
          </w:tcPr>
          <w:p w:rsidR="008420F3" w:rsidRPr="00BB441C" w:rsidRDefault="008420F3" w:rsidP="00397B4C">
            <w:pPr>
              <w:jc w:val="center"/>
              <w:rPr>
                <w:rFonts w:asciiTheme="majorHAnsi" w:eastAsia="Times New Roman" w:hAnsiTheme="majorHAnsi" w:cstheme="majorHAnsi"/>
                <w:lang w:eastAsia="ru-RU"/>
              </w:rPr>
            </w:pPr>
          </w:p>
        </w:tc>
        <w:tc>
          <w:tcPr>
            <w:tcW w:w="992" w:type="dxa"/>
            <w:vMerge/>
          </w:tcPr>
          <w:p w:rsidR="008420F3" w:rsidRPr="00BB441C"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844" w:type="dxa"/>
            <w:vMerge/>
          </w:tcPr>
          <w:p w:rsidR="008420F3" w:rsidRPr="00BB441C"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968" w:type="dxa"/>
            <w:vMerge/>
          </w:tcPr>
          <w:p w:rsidR="008420F3" w:rsidRPr="00BB441C"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881" w:type="dxa"/>
          </w:tcPr>
          <w:p w:rsidR="008420F3" w:rsidRPr="00BB441C"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BB441C">
              <w:rPr>
                <w:rFonts w:asciiTheme="majorHAnsi" w:eastAsia="Times New Roman" w:hAnsiTheme="majorHAnsi" w:cstheme="majorHAnsi"/>
                <w:b/>
                <w:lang w:eastAsia="ru-RU"/>
              </w:rPr>
              <w:t>devieri (+/-)</w:t>
            </w:r>
          </w:p>
        </w:tc>
        <w:tc>
          <w:tcPr>
            <w:tcW w:w="709" w:type="dxa"/>
          </w:tcPr>
          <w:p w:rsidR="008420F3" w:rsidRPr="00BB441C"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BB441C">
              <w:rPr>
                <w:rFonts w:asciiTheme="majorHAnsi" w:eastAsia="Times New Roman" w:hAnsiTheme="majorHAnsi" w:cstheme="majorHAnsi"/>
                <w:b/>
                <w:lang w:eastAsia="ru-RU"/>
              </w:rPr>
              <w:t>în %</w:t>
            </w:r>
          </w:p>
        </w:tc>
        <w:tc>
          <w:tcPr>
            <w:tcW w:w="992" w:type="dxa"/>
            <w:vMerge/>
          </w:tcPr>
          <w:p w:rsidR="008420F3" w:rsidRPr="00BB441C"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851" w:type="dxa"/>
          </w:tcPr>
          <w:p w:rsidR="008420F3" w:rsidRPr="00BB441C"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BB441C">
              <w:rPr>
                <w:rFonts w:asciiTheme="majorHAnsi" w:eastAsia="Times New Roman" w:hAnsiTheme="majorHAnsi" w:cstheme="majorHAnsi"/>
                <w:b/>
                <w:lang w:eastAsia="ru-RU"/>
              </w:rPr>
              <w:t>devieri (+/-)</w:t>
            </w:r>
          </w:p>
        </w:tc>
        <w:tc>
          <w:tcPr>
            <w:tcW w:w="708" w:type="dxa"/>
          </w:tcPr>
          <w:p w:rsidR="008420F3" w:rsidRPr="00BB441C"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BB441C">
              <w:rPr>
                <w:rFonts w:asciiTheme="majorHAnsi" w:eastAsia="Times New Roman" w:hAnsiTheme="majorHAnsi" w:cstheme="majorHAnsi"/>
                <w:b/>
                <w:lang w:eastAsia="ru-RU"/>
              </w:rPr>
              <w:t>în %</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3B75C6" w:rsidRDefault="008420F3" w:rsidP="00397B4C">
            <w:pPr>
              <w:ind w:right="-105"/>
              <w:jc w:val="center"/>
              <w:rPr>
                <w:rFonts w:asciiTheme="majorHAnsi" w:eastAsia="Times New Roman" w:hAnsiTheme="majorHAnsi" w:cstheme="majorHAnsi"/>
                <w:b w:val="0"/>
                <w:i/>
                <w:sz w:val="16"/>
                <w:szCs w:val="16"/>
                <w:lang w:eastAsia="ru-RU"/>
              </w:rPr>
            </w:pPr>
            <w:r w:rsidRPr="003B75C6">
              <w:rPr>
                <w:rFonts w:asciiTheme="majorHAnsi" w:eastAsia="Times New Roman" w:hAnsiTheme="majorHAnsi" w:cstheme="majorHAnsi"/>
                <w:b w:val="0"/>
                <w:i/>
                <w:sz w:val="16"/>
                <w:szCs w:val="16"/>
                <w:lang w:eastAsia="ru-RU"/>
              </w:rPr>
              <w:t>1</w:t>
            </w:r>
          </w:p>
        </w:tc>
        <w:tc>
          <w:tcPr>
            <w:tcW w:w="992" w:type="dxa"/>
          </w:tcPr>
          <w:p w:rsidR="008420F3" w:rsidRPr="003B75C6"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3B75C6">
              <w:rPr>
                <w:rFonts w:asciiTheme="majorHAnsi" w:eastAsia="Times New Roman" w:hAnsiTheme="majorHAnsi" w:cstheme="majorHAnsi"/>
                <w:i/>
                <w:sz w:val="16"/>
                <w:szCs w:val="16"/>
                <w:lang w:eastAsia="ru-RU"/>
              </w:rPr>
              <w:t>2</w:t>
            </w:r>
          </w:p>
        </w:tc>
        <w:tc>
          <w:tcPr>
            <w:tcW w:w="844" w:type="dxa"/>
          </w:tcPr>
          <w:p w:rsidR="008420F3" w:rsidRPr="003B75C6"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en-US"/>
              </w:rPr>
            </w:pPr>
            <w:r w:rsidRPr="003B75C6">
              <w:rPr>
                <w:rFonts w:asciiTheme="majorHAnsi" w:eastAsia="Times New Roman" w:hAnsiTheme="majorHAnsi" w:cstheme="majorHAnsi"/>
                <w:i/>
                <w:color w:val="000000"/>
                <w:sz w:val="16"/>
                <w:szCs w:val="16"/>
                <w:lang w:val="en-US"/>
              </w:rPr>
              <w:t>3</w:t>
            </w:r>
          </w:p>
        </w:tc>
        <w:tc>
          <w:tcPr>
            <w:tcW w:w="968" w:type="dxa"/>
          </w:tcPr>
          <w:p w:rsidR="008420F3" w:rsidRPr="003B75C6"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3B75C6">
              <w:rPr>
                <w:rFonts w:asciiTheme="majorHAnsi" w:eastAsia="Times New Roman" w:hAnsiTheme="majorHAnsi" w:cstheme="majorHAnsi"/>
                <w:i/>
                <w:sz w:val="16"/>
                <w:szCs w:val="16"/>
                <w:lang w:eastAsia="ru-RU"/>
              </w:rPr>
              <w:t>4</w:t>
            </w:r>
          </w:p>
        </w:tc>
        <w:tc>
          <w:tcPr>
            <w:tcW w:w="881" w:type="dxa"/>
          </w:tcPr>
          <w:p w:rsidR="008420F3" w:rsidRPr="003B75C6" w:rsidRDefault="008420F3" w:rsidP="00397B4C">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en-US"/>
              </w:rPr>
            </w:pPr>
            <w:r w:rsidRPr="003B75C6">
              <w:rPr>
                <w:rFonts w:asciiTheme="majorHAnsi" w:eastAsia="Times New Roman" w:hAnsiTheme="majorHAnsi" w:cstheme="majorHAnsi"/>
                <w:bCs/>
                <w:i/>
                <w:color w:val="000000"/>
                <w:sz w:val="16"/>
                <w:szCs w:val="16"/>
                <w:lang w:val="en-US"/>
              </w:rPr>
              <w:t>5=4-3</w:t>
            </w:r>
          </w:p>
        </w:tc>
        <w:tc>
          <w:tcPr>
            <w:tcW w:w="709" w:type="dxa"/>
          </w:tcPr>
          <w:p w:rsidR="008420F3" w:rsidRPr="003B75C6"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3B75C6">
              <w:rPr>
                <w:rFonts w:asciiTheme="majorHAnsi" w:hAnsiTheme="majorHAnsi" w:cstheme="majorHAnsi"/>
                <w:i/>
                <w:sz w:val="16"/>
                <w:szCs w:val="16"/>
              </w:rPr>
              <w:t>6=4/3*100</w:t>
            </w:r>
          </w:p>
        </w:tc>
        <w:tc>
          <w:tcPr>
            <w:tcW w:w="992" w:type="dxa"/>
          </w:tcPr>
          <w:p w:rsidR="008420F3" w:rsidRPr="003B75C6"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3B75C6">
              <w:rPr>
                <w:rFonts w:asciiTheme="majorHAnsi" w:hAnsiTheme="majorHAnsi" w:cstheme="majorHAnsi"/>
                <w:i/>
                <w:sz w:val="16"/>
                <w:szCs w:val="16"/>
              </w:rPr>
              <w:t>7</w:t>
            </w:r>
          </w:p>
        </w:tc>
        <w:tc>
          <w:tcPr>
            <w:tcW w:w="851" w:type="dxa"/>
          </w:tcPr>
          <w:p w:rsidR="008420F3" w:rsidRPr="003B75C6"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3B75C6">
              <w:rPr>
                <w:rFonts w:asciiTheme="majorHAnsi" w:hAnsiTheme="majorHAnsi" w:cstheme="majorHAnsi"/>
                <w:i/>
                <w:sz w:val="16"/>
                <w:szCs w:val="16"/>
              </w:rPr>
              <w:t>8=4-7</w:t>
            </w:r>
          </w:p>
        </w:tc>
        <w:tc>
          <w:tcPr>
            <w:tcW w:w="708" w:type="dxa"/>
          </w:tcPr>
          <w:p w:rsidR="008420F3" w:rsidRPr="003B75C6"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3B75C6">
              <w:rPr>
                <w:rFonts w:asciiTheme="majorHAnsi" w:hAnsiTheme="majorHAnsi" w:cstheme="majorHAnsi"/>
                <w:i/>
                <w:sz w:val="16"/>
                <w:szCs w:val="16"/>
              </w:rPr>
              <w:t>9=4/7*100</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ind w:right="-105"/>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CHELTUIELI ȘI ACTIVE NEFINANCIARE, total:</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41 332,4</w:t>
            </w:r>
          </w:p>
        </w:tc>
        <w:tc>
          <w:tcPr>
            <w:tcW w:w="844" w:type="dxa"/>
          </w:tcPr>
          <w:p w:rsidR="008420F3" w:rsidRPr="00BB441C" w:rsidRDefault="008420F3" w:rsidP="00470BD2">
            <w:pPr>
              <w:ind w:left="-108" w:right="-106"/>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en-US"/>
              </w:rPr>
            </w:pPr>
            <w:r>
              <w:rPr>
                <w:rFonts w:asciiTheme="majorHAnsi" w:eastAsia="Times New Roman" w:hAnsiTheme="majorHAnsi" w:cstheme="majorHAnsi"/>
                <w:b/>
                <w:color w:val="000000"/>
                <w:sz w:val="20"/>
                <w:szCs w:val="20"/>
                <w:lang w:val="en-US"/>
              </w:rPr>
              <w:t>42 031,9</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38 708,3</w:t>
            </w:r>
          </w:p>
        </w:tc>
        <w:tc>
          <w:tcPr>
            <w:tcW w:w="881" w:type="dxa"/>
          </w:tcPr>
          <w:p w:rsidR="008420F3" w:rsidRPr="00BB441C" w:rsidRDefault="008420F3" w:rsidP="00397B4C">
            <w:pPr>
              <w:ind w:left="-97" w:right="-3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en-US"/>
              </w:rPr>
            </w:pPr>
            <w:r>
              <w:rPr>
                <w:rFonts w:asciiTheme="majorHAnsi" w:eastAsia="Times New Roman" w:hAnsiTheme="majorHAnsi" w:cstheme="majorHAnsi"/>
                <w:b/>
                <w:bCs/>
                <w:color w:val="000000"/>
                <w:sz w:val="20"/>
                <w:szCs w:val="20"/>
                <w:lang w:val="en-US"/>
              </w:rPr>
              <w:t>- 3 323,6</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en-US"/>
              </w:rPr>
            </w:pPr>
            <w:r>
              <w:rPr>
                <w:rFonts w:asciiTheme="majorHAnsi" w:eastAsia="Times New Roman" w:hAnsiTheme="majorHAnsi" w:cstheme="majorHAnsi"/>
                <w:b/>
                <w:bCs/>
                <w:color w:val="000000"/>
                <w:sz w:val="20"/>
                <w:szCs w:val="20"/>
                <w:lang w:val="en-US"/>
              </w:rPr>
              <w:t>92,1</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35 479,1</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3 229,2</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109,1</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ind w:right="-105"/>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 xml:space="preserve">CHELTUIELI, TOTAL, </w:t>
            </w:r>
          </w:p>
          <w:p w:rsidR="008420F3" w:rsidRPr="00BB441C" w:rsidRDefault="008420F3" w:rsidP="00397B4C">
            <w:pPr>
              <w:ind w:right="-105"/>
              <w:rPr>
                <w:rFonts w:asciiTheme="majorHAnsi" w:eastAsia="Times New Roman" w:hAnsiTheme="majorHAnsi" w:cstheme="majorHAnsi"/>
                <w:i/>
                <w:lang w:eastAsia="ru-RU"/>
              </w:rPr>
            </w:pPr>
            <w:r w:rsidRPr="00BB441C">
              <w:rPr>
                <w:rFonts w:asciiTheme="majorHAnsi" w:eastAsia="Times New Roman" w:hAnsiTheme="majorHAnsi" w:cstheme="majorHAnsi"/>
                <w:i/>
                <w:lang w:eastAsia="ru-RU"/>
              </w:rPr>
              <w:t>din care: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35 615,7</w:t>
            </w:r>
          </w:p>
        </w:tc>
        <w:tc>
          <w:tcPr>
            <w:tcW w:w="844" w:type="dxa"/>
          </w:tcPr>
          <w:p w:rsidR="008420F3" w:rsidRPr="00BB441C" w:rsidRDefault="008420F3" w:rsidP="00470BD2">
            <w:pPr>
              <w:ind w:left="-108" w:right="-106"/>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en-US"/>
              </w:rPr>
            </w:pPr>
            <w:r>
              <w:rPr>
                <w:rFonts w:asciiTheme="majorHAnsi" w:eastAsia="Times New Roman" w:hAnsiTheme="majorHAnsi" w:cstheme="majorHAnsi"/>
                <w:b/>
                <w:color w:val="000000"/>
                <w:sz w:val="20"/>
                <w:szCs w:val="20"/>
                <w:lang w:val="en-US"/>
              </w:rPr>
              <w:t>37 676,4</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35 841,7</w:t>
            </w:r>
          </w:p>
        </w:tc>
        <w:tc>
          <w:tcPr>
            <w:tcW w:w="881" w:type="dxa"/>
          </w:tcPr>
          <w:p w:rsidR="008420F3" w:rsidRPr="00BB441C" w:rsidRDefault="008420F3" w:rsidP="00397B4C">
            <w:pPr>
              <w:ind w:left="-97"/>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ru-RU"/>
              </w:rPr>
            </w:pPr>
            <w:r>
              <w:rPr>
                <w:rFonts w:asciiTheme="majorHAnsi" w:eastAsia="Times New Roman" w:hAnsiTheme="majorHAnsi" w:cstheme="majorHAnsi"/>
                <w:b/>
                <w:bCs/>
                <w:color w:val="000000"/>
                <w:sz w:val="20"/>
                <w:szCs w:val="20"/>
                <w:lang w:eastAsia="ru-RU"/>
              </w:rPr>
              <w:t>-1 834,7</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ru-RU"/>
              </w:rPr>
            </w:pPr>
            <w:r>
              <w:rPr>
                <w:rFonts w:asciiTheme="majorHAnsi" w:eastAsia="Times New Roman" w:hAnsiTheme="majorHAnsi" w:cstheme="majorHAnsi"/>
                <w:b/>
                <w:bCs/>
                <w:color w:val="000000"/>
                <w:sz w:val="20"/>
                <w:szCs w:val="20"/>
                <w:lang w:eastAsia="ru-RU"/>
              </w:rPr>
              <w:t>95,1</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32 636,2</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3 205,6</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109,8</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Cheltuieli de personal</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6 717,2</w:t>
            </w:r>
          </w:p>
        </w:tc>
        <w:tc>
          <w:tcPr>
            <w:tcW w:w="844" w:type="dxa"/>
          </w:tcPr>
          <w:p w:rsidR="008420F3" w:rsidRPr="00BB441C" w:rsidRDefault="008420F3" w:rsidP="00397B4C">
            <w:pPr>
              <w:ind w:left="-100" w:right="3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6 750,0</w:t>
            </w:r>
          </w:p>
        </w:tc>
        <w:tc>
          <w:tcPr>
            <w:tcW w:w="968" w:type="dxa"/>
          </w:tcPr>
          <w:p w:rsidR="008420F3" w:rsidRPr="00BB441C" w:rsidRDefault="008420F3" w:rsidP="00397B4C">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6 601,7</w:t>
            </w:r>
          </w:p>
        </w:tc>
        <w:tc>
          <w:tcPr>
            <w:tcW w:w="881" w:type="dxa"/>
          </w:tcPr>
          <w:p w:rsidR="008420F3" w:rsidRPr="00BB441C" w:rsidRDefault="008420F3" w:rsidP="00397B4C">
            <w:pPr>
              <w:ind w:left="-80" w:right="4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-148,3</w:t>
            </w:r>
          </w:p>
        </w:tc>
        <w:tc>
          <w:tcPr>
            <w:tcW w:w="709" w:type="dxa"/>
          </w:tcPr>
          <w:p w:rsidR="008420F3" w:rsidRPr="00BB441C" w:rsidRDefault="008420F3" w:rsidP="00397B4C">
            <w:pPr>
              <w:ind w:left="-10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97,8</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6 077,7</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524,0</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108,6</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Bunuri și servicii</w:t>
            </w:r>
          </w:p>
        </w:tc>
        <w:tc>
          <w:tcPr>
            <w:tcW w:w="992" w:type="dxa"/>
          </w:tcPr>
          <w:p w:rsidR="008420F3" w:rsidRPr="00BB441C" w:rsidRDefault="008420F3" w:rsidP="00397B4C">
            <w:pPr>
              <w:ind w:left="-10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2 213,5</w:t>
            </w:r>
          </w:p>
        </w:tc>
        <w:tc>
          <w:tcPr>
            <w:tcW w:w="844" w:type="dxa"/>
          </w:tcPr>
          <w:p w:rsidR="008420F3" w:rsidRPr="00BB441C" w:rsidRDefault="008420F3" w:rsidP="00397B4C">
            <w:pPr>
              <w:ind w:left="-10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2 317,6</w:t>
            </w:r>
          </w:p>
        </w:tc>
        <w:tc>
          <w:tcPr>
            <w:tcW w:w="968" w:type="dxa"/>
          </w:tcPr>
          <w:p w:rsidR="008420F3" w:rsidRPr="00BB441C" w:rsidRDefault="008420F3" w:rsidP="00397B4C">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1 756,1</w:t>
            </w:r>
          </w:p>
        </w:tc>
        <w:tc>
          <w:tcPr>
            <w:tcW w:w="881" w:type="dxa"/>
          </w:tcPr>
          <w:p w:rsidR="008420F3" w:rsidRPr="00BB441C" w:rsidRDefault="008420F3" w:rsidP="00397B4C">
            <w:pPr>
              <w:ind w:left="-80" w:right="-10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-561,5</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75,8</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1 689,1</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67,0</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104,0</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Dobânzi</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1 819,5</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1 509,2</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1 504,8</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-4,4</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99,7</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1 929,0</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-424,2</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78,0</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Subsidii</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2 885,5</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4 257,5</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4 041,9</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-215,5</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94,9</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3 036,0</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1 006,0</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133,1</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Granturi acordate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91,8</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34,8</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21,5</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-13,3</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61,9</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27,6</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-6,1</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78,0</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Prestații sociale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370,3</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370,7</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342,3</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-28,4</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92,3</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275,0</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67,3</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124,5</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Alte cheltuieli</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2 088,0</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2 485,7</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1 817,7</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-668,0</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73,1</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1 515,2</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302,5</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120,0</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Transferuri acordate în cadrul BPN</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19 429,9</w:t>
            </w:r>
          </w:p>
        </w:tc>
        <w:tc>
          <w:tcPr>
            <w:tcW w:w="844" w:type="dxa"/>
          </w:tcPr>
          <w:p w:rsidR="008420F3" w:rsidRPr="00BB441C" w:rsidRDefault="008420F3" w:rsidP="00397B4C">
            <w:pPr>
              <w:ind w:right="-111"/>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19 950,9</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19 755,6</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-195,3</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99,0</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18 086,5</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1 669,1</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109,2</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ind w:right="-115"/>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 xml:space="preserve">ACTIVE NEFINANCIARE, </w:t>
            </w:r>
          </w:p>
          <w:p w:rsidR="008420F3" w:rsidRPr="00BB441C" w:rsidRDefault="008420F3" w:rsidP="00397B4C">
            <w:pPr>
              <w:ind w:right="-115"/>
              <w:rPr>
                <w:rFonts w:asciiTheme="majorHAnsi" w:eastAsia="Times New Roman" w:hAnsiTheme="majorHAnsi" w:cstheme="majorHAnsi"/>
                <w:i/>
                <w:lang w:eastAsia="ru-RU"/>
              </w:rPr>
            </w:pPr>
            <w:r w:rsidRPr="00BB441C">
              <w:rPr>
                <w:rFonts w:asciiTheme="majorHAnsi" w:eastAsia="Times New Roman" w:hAnsiTheme="majorHAnsi" w:cstheme="majorHAnsi"/>
                <w:i/>
                <w:lang w:eastAsia="ru-RU"/>
              </w:rPr>
              <w:t>din care: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5 716,7</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4 355,5</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2 866,6</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ru-RU"/>
              </w:rPr>
            </w:pPr>
            <w:r>
              <w:rPr>
                <w:rFonts w:asciiTheme="majorHAnsi" w:eastAsia="Times New Roman" w:hAnsiTheme="majorHAnsi" w:cstheme="majorHAnsi"/>
                <w:b/>
                <w:bCs/>
                <w:color w:val="000000"/>
                <w:sz w:val="20"/>
                <w:szCs w:val="20"/>
                <w:lang w:eastAsia="ru-RU"/>
              </w:rPr>
              <w:t>-1 488,9</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ru-RU"/>
              </w:rPr>
            </w:pPr>
            <w:r>
              <w:rPr>
                <w:rFonts w:asciiTheme="majorHAnsi" w:eastAsia="Times New Roman" w:hAnsiTheme="majorHAnsi" w:cstheme="majorHAnsi"/>
                <w:b/>
                <w:bCs/>
                <w:color w:val="000000"/>
                <w:sz w:val="20"/>
                <w:szCs w:val="20"/>
                <w:lang w:eastAsia="ru-RU"/>
              </w:rPr>
              <w:t>65,8</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2 843,0</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23,6</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eastAsia="ru-RU"/>
              </w:rPr>
            </w:pPr>
            <w:r>
              <w:rPr>
                <w:rFonts w:asciiTheme="majorHAnsi" w:eastAsia="Times New Roman" w:hAnsiTheme="majorHAnsi" w:cstheme="majorHAnsi"/>
                <w:b/>
                <w:color w:val="000000"/>
                <w:sz w:val="20"/>
                <w:szCs w:val="20"/>
                <w:lang w:eastAsia="ru-RU"/>
              </w:rPr>
              <w:t>100,8</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lang w:eastAsia="ru-RU"/>
              </w:rPr>
            </w:pPr>
            <w:r w:rsidRPr="00BB441C">
              <w:rPr>
                <w:rFonts w:asciiTheme="majorHAnsi" w:eastAsia="Times New Roman" w:hAnsiTheme="majorHAnsi" w:cstheme="majorHAnsi"/>
                <w:lang w:eastAsia="ru-RU"/>
              </w:rPr>
              <w:t xml:space="preserve">Mijloace fixe, </w:t>
            </w:r>
            <w:r w:rsidRPr="00BB441C">
              <w:rPr>
                <w:rFonts w:asciiTheme="majorHAnsi" w:eastAsia="Times New Roman" w:hAnsiTheme="majorHAnsi" w:cstheme="majorHAnsi"/>
                <w:i/>
                <w:lang w:eastAsia="ru-RU"/>
              </w:rPr>
              <w:t>inclusiv:</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4 565,8</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3 335,5</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1 964,1</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-1 371,5</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58,9</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1 876,4</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87,7</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104,7</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ind w:left="456" w:right="-114"/>
              <w:rPr>
                <w:rFonts w:asciiTheme="majorHAnsi" w:eastAsia="Times New Roman" w:hAnsiTheme="majorHAnsi" w:cstheme="majorHAnsi"/>
                <w:i/>
                <w:lang w:eastAsia="ru-RU"/>
              </w:rPr>
            </w:pPr>
            <w:r w:rsidRPr="00BB441C">
              <w:rPr>
                <w:rFonts w:asciiTheme="majorHAnsi" w:eastAsia="Times New Roman" w:hAnsiTheme="majorHAnsi" w:cstheme="majorHAnsi"/>
                <w:i/>
                <w:lang w:eastAsia="ru-RU"/>
              </w:rPr>
              <w:t>investiții capitale în active în curs de execuție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eastAsia="ru-RU"/>
              </w:rPr>
            </w:pPr>
            <w:r>
              <w:rPr>
                <w:rFonts w:asciiTheme="majorHAnsi" w:eastAsia="Times New Roman" w:hAnsiTheme="majorHAnsi" w:cstheme="majorHAnsi"/>
                <w:i/>
                <w:sz w:val="20"/>
                <w:szCs w:val="20"/>
                <w:lang w:eastAsia="ru-RU"/>
              </w:rPr>
              <w:t>3 336,7</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eastAsia="ru-RU"/>
              </w:rPr>
            </w:pPr>
            <w:r>
              <w:rPr>
                <w:rFonts w:asciiTheme="majorHAnsi" w:eastAsia="Times New Roman" w:hAnsiTheme="majorHAnsi" w:cstheme="majorHAnsi"/>
                <w:i/>
                <w:color w:val="000000"/>
                <w:sz w:val="20"/>
                <w:szCs w:val="20"/>
                <w:lang w:eastAsia="ru-RU"/>
              </w:rPr>
              <w:t>1 907,1</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eastAsia="ru-RU"/>
              </w:rPr>
            </w:pPr>
            <w:r>
              <w:rPr>
                <w:rFonts w:asciiTheme="majorHAnsi" w:eastAsia="Times New Roman" w:hAnsiTheme="majorHAnsi" w:cstheme="majorHAnsi"/>
                <w:i/>
                <w:sz w:val="20"/>
                <w:szCs w:val="20"/>
                <w:lang w:eastAsia="ru-RU"/>
              </w:rPr>
              <w:t>850,3</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20"/>
                <w:szCs w:val="20"/>
                <w:lang w:eastAsia="ru-RU"/>
              </w:rPr>
            </w:pPr>
            <w:r>
              <w:rPr>
                <w:rFonts w:asciiTheme="majorHAnsi" w:eastAsia="Times New Roman" w:hAnsiTheme="majorHAnsi" w:cstheme="majorHAnsi"/>
                <w:bCs/>
                <w:i/>
                <w:color w:val="000000"/>
                <w:sz w:val="20"/>
                <w:szCs w:val="20"/>
                <w:lang w:eastAsia="ru-RU"/>
              </w:rPr>
              <w:t>-1 056,9</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20"/>
                <w:szCs w:val="20"/>
                <w:lang w:eastAsia="ru-RU"/>
              </w:rPr>
            </w:pPr>
            <w:r>
              <w:rPr>
                <w:rFonts w:asciiTheme="majorHAnsi" w:eastAsia="Times New Roman" w:hAnsiTheme="majorHAnsi" w:cstheme="majorHAnsi"/>
                <w:bCs/>
                <w:i/>
                <w:color w:val="000000"/>
                <w:sz w:val="20"/>
                <w:szCs w:val="20"/>
                <w:lang w:eastAsia="ru-RU"/>
              </w:rPr>
              <w:t>44,6</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eastAsia="ru-RU"/>
              </w:rPr>
            </w:pPr>
            <w:r>
              <w:rPr>
                <w:rFonts w:asciiTheme="majorHAnsi" w:eastAsia="Times New Roman" w:hAnsiTheme="majorHAnsi" w:cstheme="majorHAnsi"/>
                <w:i/>
                <w:color w:val="000000"/>
                <w:sz w:val="20"/>
                <w:szCs w:val="20"/>
                <w:lang w:eastAsia="ru-RU"/>
              </w:rPr>
              <w:t>824,4</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eastAsia="ru-RU"/>
              </w:rPr>
            </w:pPr>
            <w:r>
              <w:rPr>
                <w:rFonts w:asciiTheme="majorHAnsi" w:eastAsia="Times New Roman" w:hAnsiTheme="majorHAnsi" w:cstheme="majorHAnsi"/>
                <w:i/>
                <w:color w:val="000000"/>
                <w:sz w:val="20"/>
                <w:szCs w:val="20"/>
                <w:lang w:eastAsia="ru-RU"/>
              </w:rPr>
              <w:t>25,9</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eastAsia="ru-RU"/>
              </w:rPr>
            </w:pPr>
            <w:r>
              <w:rPr>
                <w:rFonts w:asciiTheme="majorHAnsi" w:eastAsia="Times New Roman" w:hAnsiTheme="majorHAnsi" w:cstheme="majorHAnsi"/>
                <w:i/>
                <w:color w:val="000000"/>
                <w:sz w:val="20"/>
                <w:szCs w:val="20"/>
                <w:lang w:eastAsia="ru-RU"/>
              </w:rPr>
              <w:t>103,1</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Stocuri de materiale</w:t>
            </w:r>
            <w:r>
              <w:rPr>
                <w:rFonts w:asciiTheme="majorHAnsi" w:eastAsia="Times New Roman" w:hAnsiTheme="majorHAnsi" w:cstheme="majorHAnsi"/>
                <w:b w:val="0"/>
                <w:lang w:eastAsia="ru-RU"/>
              </w:rPr>
              <w:t xml:space="preserve"> circulante</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1 151,1</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1 010,8</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913,1</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-97,7</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90,3</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968,9</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-55,9</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94,2</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Producție în curs de execuție, produse și producție finită, animale tinere de îngrășat</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-22,6</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-23,3</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-15,6</w:t>
            </w:r>
          </w:p>
        </w:tc>
        <w:tc>
          <w:tcPr>
            <w:tcW w:w="881" w:type="dxa"/>
          </w:tcPr>
          <w:p w:rsidR="008420F3" w:rsidRPr="00BB441C" w:rsidRDefault="008420F3" w:rsidP="00397B4C">
            <w:pPr>
              <w:ind w:left="-10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7,7</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67,1</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-16,6</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 xml:space="preserve"> 0,9</w:t>
            </w:r>
          </w:p>
        </w:tc>
        <w:tc>
          <w:tcPr>
            <w:tcW w:w="70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94,3</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Mărfuri</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7,0</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-7,0</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w:t>
            </w:r>
          </w:p>
        </w:tc>
        <w:tc>
          <w:tcPr>
            <w:tcW w:w="708"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w:t>
            </w:r>
          </w:p>
        </w:tc>
      </w:tr>
      <w:tr w:rsidR="008420F3" w:rsidRPr="00BB441C" w:rsidTr="00397B4C">
        <w:tc>
          <w:tcPr>
            <w:cnfStyle w:val="001000000000" w:firstRow="0" w:lastRow="0" w:firstColumn="1" w:lastColumn="0" w:oddVBand="0" w:evenVBand="0" w:oddHBand="0" w:evenHBand="0" w:firstRowFirstColumn="0" w:firstRowLastColumn="0" w:lastRowFirstColumn="0" w:lastRowLastColumn="0"/>
            <w:tcW w:w="2836" w:type="dxa"/>
          </w:tcPr>
          <w:p w:rsidR="008420F3" w:rsidRPr="00BB441C" w:rsidRDefault="008420F3" w:rsidP="00397B4C">
            <w:pPr>
              <w:rPr>
                <w:rFonts w:asciiTheme="majorHAnsi" w:eastAsia="Times New Roman" w:hAnsiTheme="majorHAnsi" w:cstheme="majorHAnsi"/>
                <w:b w:val="0"/>
                <w:lang w:eastAsia="ru-RU"/>
              </w:rPr>
            </w:pPr>
            <w:r w:rsidRPr="00BB441C">
              <w:rPr>
                <w:rFonts w:asciiTheme="majorHAnsi" w:eastAsia="Times New Roman" w:hAnsiTheme="majorHAnsi" w:cstheme="majorHAnsi"/>
                <w:b w:val="0"/>
                <w:lang w:eastAsia="ru-RU"/>
              </w:rPr>
              <w:t>Valori</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0,005</w:t>
            </w:r>
          </w:p>
        </w:tc>
        <w:tc>
          <w:tcPr>
            <w:tcW w:w="844"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w:t>
            </w:r>
          </w:p>
        </w:tc>
        <w:tc>
          <w:tcPr>
            <w:tcW w:w="968"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Pr>
                <w:rFonts w:asciiTheme="majorHAnsi" w:eastAsia="Times New Roman" w:hAnsiTheme="majorHAnsi" w:cstheme="majorHAnsi"/>
                <w:sz w:val="20"/>
                <w:szCs w:val="20"/>
                <w:lang w:eastAsia="ru-RU"/>
              </w:rPr>
              <w:t>-</w:t>
            </w:r>
          </w:p>
        </w:tc>
        <w:tc>
          <w:tcPr>
            <w:tcW w:w="88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w:t>
            </w:r>
          </w:p>
        </w:tc>
        <w:tc>
          <w:tcPr>
            <w:tcW w:w="709"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w:t>
            </w:r>
          </w:p>
        </w:tc>
        <w:tc>
          <w:tcPr>
            <w:tcW w:w="992"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w:t>
            </w:r>
          </w:p>
        </w:tc>
        <w:tc>
          <w:tcPr>
            <w:tcW w:w="851" w:type="dxa"/>
          </w:tcPr>
          <w:p w:rsidR="008420F3" w:rsidRPr="00BB441C"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Pr>
                <w:rFonts w:asciiTheme="majorHAnsi" w:eastAsia="Times New Roman" w:hAnsiTheme="majorHAnsi" w:cstheme="majorHAnsi"/>
                <w:color w:val="000000"/>
                <w:sz w:val="20"/>
                <w:szCs w:val="20"/>
                <w:lang w:eastAsia="ru-RU"/>
              </w:rPr>
              <w:t>-</w:t>
            </w:r>
          </w:p>
        </w:tc>
        <w:tc>
          <w:tcPr>
            <w:tcW w:w="708" w:type="dxa"/>
          </w:tcPr>
          <w:p w:rsidR="008420F3" w:rsidRPr="00BB441C" w:rsidRDefault="008420F3" w:rsidP="00397B4C">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eastAsia="ru-RU"/>
              </w:rPr>
            </w:pPr>
            <w:r>
              <w:rPr>
                <w:rFonts w:asciiTheme="majorHAnsi" w:eastAsia="Times New Roman" w:hAnsiTheme="majorHAnsi" w:cstheme="majorHAnsi"/>
                <w:bCs/>
                <w:color w:val="000000"/>
                <w:sz w:val="20"/>
                <w:szCs w:val="20"/>
                <w:lang w:eastAsia="ru-RU"/>
              </w:rPr>
              <w:t>-</w:t>
            </w:r>
          </w:p>
        </w:tc>
      </w:tr>
    </w:tbl>
    <w:p w:rsidR="008420F3" w:rsidRDefault="008420F3" w:rsidP="008420F3">
      <w:pPr>
        <w:spacing w:after="0" w:line="276" w:lineRule="auto"/>
        <w:jc w:val="both"/>
        <w:rPr>
          <w:rFonts w:asciiTheme="majorHAnsi" w:eastAsia="Times New Roman" w:hAnsiTheme="majorHAnsi" w:cstheme="majorHAnsi"/>
          <w:szCs w:val="24"/>
          <w:lang w:eastAsia="ru-RU"/>
        </w:rPr>
      </w:pPr>
      <w:r w:rsidRPr="00B87589">
        <w:rPr>
          <w:rFonts w:asciiTheme="majorHAnsi" w:eastAsia="Times New Roman" w:hAnsiTheme="majorHAnsi" w:cstheme="majorHAnsi"/>
          <w:b/>
          <w:i/>
          <w:sz w:val="20"/>
          <w:szCs w:val="24"/>
          <w:lang w:eastAsia="ru-RU"/>
        </w:rPr>
        <w:t>Sursă:</w:t>
      </w:r>
      <w:r w:rsidRPr="00B87589">
        <w:rPr>
          <w:rFonts w:asciiTheme="majorHAnsi" w:eastAsia="Times New Roman" w:hAnsiTheme="majorHAnsi" w:cstheme="majorHAnsi"/>
          <w:i/>
          <w:sz w:val="20"/>
          <w:szCs w:val="24"/>
          <w:lang w:eastAsia="ru-RU"/>
        </w:rPr>
        <w:t xml:space="preserve"> Date generalizate de echipa de audit conform Raportului privind executarea bugetului de stat pe anul 2018, Formularul nr.6.</w:t>
      </w:r>
    </w:p>
    <w:p w:rsidR="008420F3" w:rsidRPr="00242E34" w:rsidRDefault="008420F3" w:rsidP="008420F3">
      <w:pPr>
        <w:spacing w:after="0" w:line="276" w:lineRule="auto"/>
        <w:jc w:val="both"/>
        <w:rPr>
          <w:rFonts w:asciiTheme="majorHAnsi" w:eastAsia="Times New Roman" w:hAnsiTheme="majorHAnsi" w:cstheme="majorHAnsi"/>
          <w:szCs w:val="24"/>
          <w:lang w:eastAsia="ru-RU"/>
        </w:rPr>
      </w:pPr>
    </w:p>
    <w:p w:rsidR="008420F3" w:rsidRDefault="008420F3" w:rsidP="008420F3">
      <w:pPr>
        <w:spacing w:line="276" w:lineRule="auto"/>
        <w:ind w:firstLine="709"/>
        <w:contextualSpacing/>
        <w:jc w:val="both"/>
        <w:rPr>
          <w:rFonts w:asciiTheme="majorHAnsi" w:eastAsiaTheme="minorEastAsia" w:hAnsiTheme="majorHAnsi" w:cstheme="majorHAnsi"/>
          <w:bCs/>
          <w:iCs/>
          <w:sz w:val="24"/>
          <w:szCs w:val="24"/>
          <w:lang w:eastAsia="ru-RU"/>
        </w:rPr>
      </w:pPr>
      <w:r w:rsidRPr="00242E34">
        <w:rPr>
          <w:rFonts w:asciiTheme="majorHAnsi" w:eastAsiaTheme="minorEastAsia" w:hAnsiTheme="majorHAnsi" w:cstheme="majorHAnsi"/>
          <w:bCs/>
          <w:iCs/>
          <w:sz w:val="24"/>
          <w:szCs w:val="24"/>
          <w:lang w:eastAsia="ru-RU"/>
        </w:rPr>
        <w:t xml:space="preserve">Datele din tabel relevă că cele mai semnificative creșteri de cheltuieli executate în anul 2018, față de anul 2017, s-au înregistrat la: </w:t>
      </w:r>
      <w:r w:rsidRPr="00B13085">
        <w:rPr>
          <w:rFonts w:asciiTheme="majorHAnsi" w:eastAsiaTheme="minorEastAsia" w:hAnsiTheme="majorHAnsi" w:cstheme="majorHAnsi"/>
          <w:bCs/>
          <w:i/>
          <w:iCs/>
          <w:sz w:val="24"/>
          <w:szCs w:val="24"/>
          <w:lang w:eastAsia="ru-RU"/>
        </w:rPr>
        <w:t>i) „Subsidii”</w:t>
      </w:r>
      <w:r w:rsidRPr="00242E34">
        <w:rPr>
          <w:rFonts w:asciiTheme="majorHAnsi" w:eastAsiaTheme="minorEastAsia" w:hAnsiTheme="majorHAnsi" w:cstheme="majorHAnsi"/>
          <w:bCs/>
          <w:iCs/>
          <w:sz w:val="24"/>
          <w:szCs w:val="24"/>
          <w:lang w:eastAsia="ru-RU"/>
        </w:rPr>
        <w:t xml:space="preserve"> – cu 33,1%, sau cu 1 006,0 mil. </w:t>
      </w:r>
      <w:r w:rsidR="007160B9">
        <w:rPr>
          <w:rFonts w:asciiTheme="majorHAnsi" w:eastAsiaTheme="minorEastAsia" w:hAnsiTheme="majorHAnsi" w:cstheme="majorHAnsi"/>
          <w:bCs/>
          <w:iCs/>
          <w:sz w:val="24"/>
          <w:szCs w:val="24"/>
          <w:lang w:eastAsia="ru-RU"/>
        </w:rPr>
        <w:t>MDL</w:t>
      </w:r>
      <w:r w:rsidRPr="00242E34">
        <w:rPr>
          <w:rFonts w:asciiTheme="majorHAnsi" w:eastAsiaTheme="minorEastAsia" w:hAnsiTheme="majorHAnsi" w:cstheme="majorHAnsi"/>
          <w:bCs/>
          <w:iCs/>
          <w:sz w:val="24"/>
          <w:szCs w:val="24"/>
          <w:lang w:eastAsia="ru-RU"/>
        </w:rPr>
        <w:t xml:space="preserve"> mai mult, </w:t>
      </w:r>
      <w:r w:rsidRPr="00242E34">
        <w:rPr>
          <w:rFonts w:asciiTheme="majorHAnsi" w:eastAsiaTheme="minorEastAsia" w:hAnsiTheme="majorHAnsi" w:cstheme="majorHAnsi"/>
          <w:bCs/>
          <w:i/>
          <w:iCs/>
          <w:sz w:val="24"/>
          <w:szCs w:val="24"/>
          <w:lang w:eastAsia="ru-RU"/>
        </w:rPr>
        <w:t>ii)</w:t>
      </w:r>
      <w:r w:rsidRPr="00242E34">
        <w:rPr>
          <w:rFonts w:asciiTheme="majorHAnsi" w:eastAsiaTheme="minorEastAsia" w:hAnsiTheme="majorHAnsi" w:cstheme="majorHAnsi"/>
          <w:bCs/>
          <w:iCs/>
          <w:sz w:val="24"/>
          <w:szCs w:val="24"/>
          <w:lang w:eastAsia="ru-RU"/>
        </w:rPr>
        <w:t xml:space="preserve"> </w:t>
      </w:r>
      <w:r w:rsidRPr="00B13085">
        <w:rPr>
          <w:rFonts w:asciiTheme="majorHAnsi" w:eastAsiaTheme="minorEastAsia" w:hAnsiTheme="majorHAnsi" w:cstheme="majorHAnsi"/>
          <w:bCs/>
          <w:i/>
          <w:iCs/>
          <w:sz w:val="24"/>
          <w:szCs w:val="24"/>
          <w:lang w:eastAsia="ru-RU"/>
        </w:rPr>
        <w:t xml:space="preserve">„Prestații sociale” </w:t>
      </w:r>
      <w:r w:rsidRPr="00242E34">
        <w:rPr>
          <w:rFonts w:asciiTheme="majorHAnsi" w:eastAsiaTheme="minorEastAsia" w:hAnsiTheme="majorHAnsi" w:cstheme="majorHAnsi"/>
          <w:bCs/>
          <w:iCs/>
          <w:sz w:val="24"/>
          <w:szCs w:val="24"/>
          <w:lang w:eastAsia="ru-RU"/>
        </w:rPr>
        <w:t xml:space="preserve">– cu 24,5%, sau cu 67,3 mil. </w:t>
      </w:r>
      <w:r w:rsidR="007160B9">
        <w:rPr>
          <w:rFonts w:asciiTheme="majorHAnsi" w:eastAsiaTheme="minorEastAsia" w:hAnsiTheme="majorHAnsi" w:cstheme="majorHAnsi"/>
          <w:bCs/>
          <w:iCs/>
          <w:sz w:val="24"/>
          <w:szCs w:val="24"/>
          <w:lang w:eastAsia="ru-RU"/>
        </w:rPr>
        <w:t>MDL</w:t>
      </w:r>
      <w:r w:rsidRPr="00242E34">
        <w:rPr>
          <w:rFonts w:asciiTheme="majorHAnsi" w:eastAsiaTheme="minorEastAsia" w:hAnsiTheme="majorHAnsi" w:cstheme="majorHAnsi"/>
          <w:bCs/>
          <w:iCs/>
          <w:sz w:val="24"/>
          <w:szCs w:val="24"/>
          <w:lang w:eastAsia="ru-RU"/>
        </w:rPr>
        <w:t xml:space="preserve"> mai mult, precum și </w:t>
      </w:r>
      <w:r w:rsidRPr="00242E34">
        <w:rPr>
          <w:rFonts w:asciiTheme="majorHAnsi" w:eastAsiaTheme="minorEastAsia" w:hAnsiTheme="majorHAnsi" w:cstheme="majorHAnsi"/>
          <w:bCs/>
          <w:i/>
          <w:iCs/>
          <w:sz w:val="24"/>
          <w:szCs w:val="24"/>
          <w:lang w:eastAsia="ru-RU"/>
        </w:rPr>
        <w:t xml:space="preserve">iii) </w:t>
      </w:r>
      <w:r w:rsidRPr="00B13085">
        <w:rPr>
          <w:rFonts w:asciiTheme="majorHAnsi" w:eastAsiaTheme="minorEastAsia" w:hAnsiTheme="majorHAnsi" w:cstheme="majorHAnsi"/>
          <w:bCs/>
          <w:i/>
          <w:iCs/>
          <w:sz w:val="24"/>
          <w:szCs w:val="24"/>
          <w:lang w:eastAsia="ru-RU"/>
        </w:rPr>
        <w:t>„Alte cheltuieli”</w:t>
      </w:r>
      <w:r w:rsidRPr="00242E34">
        <w:rPr>
          <w:rFonts w:asciiTheme="majorHAnsi" w:eastAsiaTheme="minorEastAsia" w:hAnsiTheme="majorHAnsi" w:cstheme="majorHAnsi"/>
          <w:bCs/>
          <w:iCs/>
          <w:sz w:val="24"/>
          <w:szCs w:val="24"/>
          <w:lang w:eastAsia="ru-RU"/>
        </w:rPr>
        <w:t xml:space="preserve"> – cu 20,0%, sau cu 302,5 mil. </w:t>
      </w:r>
      <w:r w:rsidR="007160B9">
        <w:rPr>
          <w:rFonts w:asciiTheme="majorHAnsi" w:eastAsiaTheme="minorEastAsia" w:hAnsiTheme="majorHAnsi" w:cstheme="majorHAnsi"/>
          <w:bCs/>
          <w:iCs/>
          <w:sz w:val="24"/>
          <w:szCs w:val="24"/>
          <w:lang w:eastAsia="ru-RU"/>
        </w:rPr>
        <w:t>MDL</w:t>
      </w:r>
      <w:r w:rsidRPr="00242E34">
        <w:rPr>
          <w:rFonts w:asciiTheme="majorHAnsi" w:eastAsiaTheme="minorEastAsia" w:hAnsiTheme="majorHAnsi" w:cstheme="majorHAnsi"/>
          <w:bCs/>
          <w:iCs/>
          <w:sz w:val="24"/>
          <w:szCs w:val="24"/>
          <w:lang w:eastAsia="ru-RU"/>
        </w:rPr>
        <w:t xml:space="preserve"> mai mult. </w:t>
      </w:r>
    </w:p>
    <w:p w:rsidR="008420F3" w:rsidRDefault="008420F3" w:rsidP="008420F3">
      <w:pPr>
        <w:spacing w:line="276" w:lineRule="auto"/>
        <w:ind w:firstLine="709"/>
        <w:contextualSpacing/>
        <w:jc w:val="both"/>
        <w:rPr>
          <w:rFonts w:asciiTheme="majorHAnsi" w:eastAsiaTheme="minorEastAsia" w:hAnsiTheme="majorHAnsi" w:cstheme="majorHAnsi"/>
          <w:bCs/>
          <w:iCs/>
          <w:sz w:val="24"/>
          <w:szCs w:val="24"/>
          <w:lang w:eastAsia="ru-RU"/>
        </w:rPr>
      </w:pPr>
      <w:r w:rsidRPr="00E93F8E">
        <w:rPr>
          <w:rFonts w:asciiTheme="majorHAnsi" w:eastAsiaTheme="minorEastAsia" w:hAnsiTheme="majorHAnsi" w:cstheme="majorHAnsi"/>
          <w:bCs/>
          <w:iCs/>
          <w:sz w:val="24"/>
          <w:szCs w:val="24"/>
          <w:lang w:eastAsia="ru-RU"/>
        </w:rPr>
        <w:t xml:space="preserve">Totodată, se atestă descreșterea unor cheltuieli, din care la: </w:t>
      </w:r>
      <w:r w:rsidRPr="00E93F8E">
        <w:rPr>
          <w:rFonts w:asciiTheme="majorHAnsi" w:eastAsiaTheme="minorEastAsia" w:hAnsiTheme="majorHAnsi" w:cstheme="majorHAnsi"/>
          <w:bCs/>
          <w:i/>
          <w:iCs/>
          <w:sz w:val="24"/>
          <w:szCs w:val="24"/>
          <w:lang w:eastAsia="ru-RU"/>
        </w:rPr>
        <w:t>i)</w:t>
      </w:r>
      <w:r w:rsidRPr="00E93F8E">
        <w:rPr>
          <w:rFonts w:asciiTheme="majorHAnsi" w:eastAsiaTheme="minorEastAsia" w:hAnsiTheme="majorHAnsi" w:cstheme="majorHAnsi"/>
          <w:bCs/>
          <w:iCs/>
          <w:sz w:val="24"/>
          <w:szCs w:val="24"/>
          <w:lang w:eastAsia="ru-RU"/>
        </w:rPr>
        <w:t xml:space="preserve"> </w:t>
      </w:r>
      <w:r w:rsidRPr="005738D9">
        <w:rPr>
          <w:rFonts w:asciiTheme="majorHAnsi" w:eastAsiaTheme="minorEastAsia" w:hAnsiTheme="majorHAnsi" w:cstheme="majorHAnsi"/>
          <w:bCs/>
          <w:i/>
          <w:iCs/>
          <w:sz w:val="24"/>
          <w:szCs w:val="24"/>
          <w:lang w:eastAsia="ru-RU"/>
        </w:rPr>
        <w:t xml:space="preserve">„Dobânzi” </w:t>
      </w:r>
      <w:r w:rsidRPr="00E93F8E">
        <w:rPr>
          <w:rFonts w:asciiTheme="majorHAnsi" w:eastAsiaTheme="minorEastAsia" w:hAnsiTheme="majorHAnsi" w:cstheme="majorHAnsi"/>
          <w:bCs/>
          <w:iCs/>
          <w:sz w:val="24"/>
          <w:szCs w:val="24"/>
          <w:lang w:eastAsia="ru-RU"/>
        </w:rPr>
        <w:t>– cu 22,0%, sau (-424,2</w:t>
      </w:r>
      <w:r w:rsidR="00A9120E">
        <w:rPr>
          <w:rFonts w:asciiTheme="majorHAnsi" w:eastAsiaTheme="minorEastAsia" w:hAnsiTheme="majorHAnsi" w:cstheme="majorHAnsi"/>
          <w:bCs/>
          <w:iCs/>
          <w:sz w:val="24"/>
          <w:szCs w:val="24"/>
          <w:lang w:eastAsia="ru-RU"/>
        </w:rPr>
        <w:t>)</w:t>
      </w:r>
      <w:r w:rsidRPr="00E93F8E">
        <w:rPr>
          <w:rFonts w:asciiTheme="majorHAnsi" w:eastAsiaTheme="minorEastAsia" w:hAnsiTheme="majorHAnsi" w:cstheme="majorHAnsi"/>
          <w:bCs/>
          <w:iCs/>
          <w:sz w:val="24"/>
          <w:szCs w:val="24"/>
          <w:lang w:eastAsia="ru-RU"/>
        </w:rPr>
        <w:t xml:space="preserve"> mil. </w:t>
      </w:r>
      <w:r w:rsidR="007160B9">
        <w:rPr>
          <w:rFonts w:asciiTheme="majorHAnsi" w:eastAsiaTheme="minorEastAsia" w:hAnsiTheme="majorHAnsi" w:cstheme="majorHAnsi"/>
          <w:bCs/>
          <w:iCs/>
          <w:sz w:val="24"/>
          <w:szCs w:val="24"/>
          <w:lang w:eastAsia="ru-RU"/>
        </w:rPr>
        <w:t>MDL</w:t>
      </w:r>
      <w:r w:rsidRPr="00E93F8E">
        <w:rPr>
          <w:rFonts w:asciiTheme="majorHAnsi" w:eastAsiaTheme="minorEastAsia" w:hAnsiTheme="majorHAnsi" w:cstheme="majorHAnsi"/>
          <w:bCs/>
          <w:iCs/>
          <w:sz w:val="24"/>
          <w:szCs w:val="24"/>
          <w:lang w:eastAsia="ru-RU"/>
        </w:rPr>
        <w:t xml:space="preserve">; </w:t>
      </w:r>
      <w:r w:rsidRPr="00E93F8E">
        <w:rPr>
          <w:rFonts w:asciiTheme="majorHAnsi" w:eastAsiaTheme="minorEastAsia" w:hAnsiTheme="majorHAnsi" w:cstheme="majorHAnsi"/>
          <w:bCs/>
          <w:i/>
          <w:iCs/>
          <w:sz w:val="24"/>
          <w:szCs w:val="24"/>
          <w:lang w:eastAsia="ru-RU"/>
        </w:rPr>
        <w:t>ii)</w:t>
      </w:r>
      <w:r w:rsidRPr="00E93F8E">
        <w:rPr>
          <w:rFonts w:asciiTheme="majorHAnsi" w:eastAsiaTheme="minorEastAsia" w:hAnsiTheme="majorHAnsi" w:cstheme="majorHAnsi"/>
          <w:bCs/>
          <w:iCs/>
          <w:sz w:val="24"/>
          <w:szCs w:val="24"/>
          <w:lang w:eastAsia="ru-RU"/>
        </w:rPr>
        <w:t xml:space="preserve"> </w:t>
      </w:r>
      <w:r w:rsidR="005738D9">
        <w:rPr>
          <w:rFonts w:asciiTheme="majorHAnsi" w:eastAsiaTheme="minorEastAsia" w:hAnsiTheme="majorHAnsi" w:cstheme="majorHAnsi"/>
          <w:bCs/>
          <w:i/>
          <w:iCs/>
          <w:sz w:val="24"/>
          <w:szCs w:val="24"/>
          <w:lang w:eastAsia="ru-RU"/>
        </w:rPr>
        <w:t>„G</w:t>
      </w:r>
      <w:r w:rsidRPr="005738D9">
        <w:rPr>
          <w:rFonts w:asciiTheme="majorHAnsi" w:eastAsiaTheme="minorEastAsia" w:hAnsiTheme="majorHAnsi" w:cstheme="majorHAnsi"/>
          <w:bCs/>
          <w:i/>
          <w:iCs/>
          <w:sz w:val="24"/>
          <w:szCs w:val="24"/>
          <w:lang w:eastAsia="ru-RU"/>
        </w:rPr>
        <w:t>ranturi acordate”</w:t>
      </w:r>
      <w:r w:rsidRPr="00E93F8E">
        <w:rPr>
          <w:rFonts w:asciiTheme="majorHAnsi" w:eastAsiaTheme="minorEastAsia" w:hAnsiTheme="majorHAnsi" w:cstheme="majorHAnsi"/>
          <w:bCs/>
          <w:iCs/>
          <w:sz w:val="24"/>
          <w:szCs w:val="24"/>
          <w:lang w:eastAsia="ru-RU"/>
        </w:rPr>
        <w:t xml:space="preserve"> – cu 22,0%, sau (-6,1</w:t>
      </w:r>
      <w:r w:rsidR="00A9120E">
        <w:rPr>
          <w:rFonts w:asciiTheme="majorHAnsi" w:eastAsiaTheme="minorEastAsia" w:hAnsiTheme="majorHAnsi" w:cstheme="majorHAnsi"/>
          <w:bCs/>
          <w:iCs/>
          <w:sz w:val="24"/>
          <w:szCs w:val="24"/>
          <w:lang w:eastAsia="ru-RU"/>
        </w:rPr>
        <w:t>)</w:t>
      </w:r>
      <w:r w:rsidRPr="00E93F8E">
        <w:rPr>
          <w:rFonts w:asciiTheme="majorHAnsi" w:eastAsiaTheme="minorEastAsia" w:hAnsiTheme="majorHAnsi" w:cstheme="majorHAnsi"/>
          <w:bCs/>
          <w:iCs/>
          <w:sz w:val="24"/>
          <w:szCs w:val="24"/>
          <w:lang w:eastAsia="ru-RU"/>
        </w:rPr>
        <w:t xml:space="preserve"> mil. </w:t>
      </w:r>
      <w:r w:rsidR="007160B9">
        <w:rPr>
          <w:rFonts w:asciiTheme="majorHAnsi" w:eastAsiaTheme="minorEastAsia" w:hAnsiTheme="majorHAnsi" w:cstheme="majorHAnsi"/>
          <w:bCs/>
          <w:iCs/>
          <w:sz w:val="24"/>
          <w:szCs w:val="24"/>
          <w:lang w:eastAsia="ru-RU"/>
        </w:rPr>
        <w:t>MDL</w:t>
      </w:r>
      <w:r w:rsidRPr="00E93F8E">
        <w:rPr>
          <w:rFonts w:asciiTheme="majorHAnsi" w:eastAsiaTheme="minorEastAsia" w:hAnsiTheme="majorHAnsi" w:cstheme="majorHAnsi"/>
          <w:bCs/>
          <w:iCs/>
          <w:sz w:val="24"/>
          <w:szCs w:val="24"/>
          <w:lang w:eastAsia="ru-RU"/>
        </w:rPr>
        <w:t>.</w:t>
      </w:r>
    </w:p>
    <w:p w:rsidR="00020200" w:rsidRDefault="008420F3" w:rsidP="008420F3">
      <w:pPr>
        <w:tabs>
          <w:tab w:val="left" w:pos="993"/>
        </w:tabs>
        <w:spacing w:after="0" w:line="276" w:lineRule="auto"/>
        <w:ind w:firstLine="709"/>
        <w:contextualSpacing/>
        <w:jc w:val="both"/>
        <w:rPr>
          <w:rFonts w:asciiTheme="majorHAnsi" w:eastAsia="Times New Roman" w:hAnsiTheme="majorHAnsi" w:cs="Times New Roman"/>
          <w:bCs/>
          <w:sz w:val="24"/>
          <w:szCs w:val="24"/>
          <w:lang w:val="ro-MD"/>
        </w:rPr>
      </w:pPr>
      <w:r w:rsidRPr="00E0310E">
        <w:rPr>
          <w:rFonts w:asciiTheme="majorHAnsi" w:hAnsiTheme="majorHAnsi" w:cstheme="majorHAnsi"/>
          <w:sz w:val="24"/>
          <w:szCs w:val="24"/>
        </w:rPr>
        <w:t>Verificările auditului denotă că</w:t>
      </w:r>
      <w:r w:rsidR="00C463B1">
        <w:rPr>
          <w:rFonts w:asciiTheme="majorHAnsi" w:hAnsiTheme="majorHAnsi" w:cstheme="majorHAnsi"/>
          <w:sz w:val="24"/>
          <w:szCs w:val="24"/>
        </w:rPr>
        <w:t>,</w:t>
      </w:r>
      <w:r w:rsidRPr="00E0310E">
        <w:rPr>
          <w:rFonts w:asciiTheme="majorHAnsi" w:hAnsiTheme="majorHAnsi" w:cstheme="majorHAnsi"/>
          <w:sz w:val="24"/>
          <w:szCs w:val="24"/>
        </w:rPr>
        <w:t xml:space="preserve"> pe parcursul anului 2018</w:t>
      </w:r>
      <w:r w:rsidR="00C463B1">
        <w:rPr>
          <w:rFonts w:asciiTheme="majorHAnsi" w:hAnsiTheme="majorHAnsi" w:cstheme="majorHAnsi"/>
          <w:sz w:val="24"/>
          <w:szCs w:val="24"/>
        </w:rPr>
        <w:t>,</w:t>
      </w:r>
      <w:r w:rsidRPr="00E0310E">
        <w:rPr>
          <w:rFonts w:asciiTheme="majorHAnsi" w:hAnsiTheme="majorHAnsi" w:cstheme="majorHAnsi"/>
          <w:sz w:val="24"/>
          <w:szCs w:val="24"/>
        </w:rPr>
        <w:t xml:space="preserve"> din contul mijloacelor bugetare</w:t>
      </w:r>
      <w:r w:rsidR="00C463B1">
        <w:rPr>
          <w:rFonts w:asciiTheme="majorHAnsi" w:hAnsiTheme="majorHAnsi" w:cstheme="majorHAnsi"/>
          <w:sz w:val="24"/>
          <w:szCs w:val="24"/>
        </w:rPr>
        <w:t>,</w:t>
      </w:r>
      <w:r w:rsidRPr="00E0310E">
        <w:rPr>
          <w:rFonts w:asciiTheme="majorHAnsi" w:hAnsiTheme="majorHAnsi" w:cstheme="majorHAnsi"/>
          <w:sz w:val="24"/>
          <w:szCs w:val="24"/>
        </w:rPr>
        <w:t xml:space="preserve"> 10 APC (MAI; MSMPS; MF; MECC; CEC; MJ; MA; Secretariatul Parlamentului; Cancelaria de Stat; Agenția </w:t>
      </w:r>
      <w:r w:rsidRPr="00E0310E">
        <w:rPr>
          <w:rFonts w:asciiTheme="majorHAnsi" w:hAnsiTheme="majorHAnsi" w:cstheme="majorHAnsi"/>
          <w:sz w:val="24"/>
          <w:szCs w:val="24"/>
        </w:rPr>
        <w:lastRenderedPageBreak/>
        <w:t>pentru Eficienț</w:t>
      </w:r>
      <w:r w:rsidR="00C463B1">
        <w:rPr>
          <w:rFonts w:asciiTheme="majorHAnsi" w:hAnsiTheme="majorHAnsi" w:cstheme="majorHAnsi"/>
          <w:sz w:val="24"/>
          <w:szCs w:val="24"/>
        </w:rPr>
        <w:t>ă</w:t>
      </w:r>
      <w:r w:rsidRPr="00E0310E">
        <w:rPr>
          <w:rFonts w:asciiTheme="majorHAnsi" w:hAnsiTheme="majorHAnsi" w:cstheme="majorHAnsi"/>
          <w:sz w:val="24"/>
          <w:szCs w:val="24"/>
        </w:rPr>
        <w:t xml:space="preserve"> Energetică, inclusiv instituțiile din subordine) au efectuat plăți în avans</w:t>
      </w:r>
      <w:r w:rsidR="00C463B1">
        <w:rPr>
          <w:rFonts w:asciiTheme="majorHAnsi" w:hAnsiTheme="majorHAnsi" w:cstheme="majorHAnsi"/>
          <w:sz w:val="24"/>
          <w:szCs w:val="24"/>
        </w:rPr>
        <w:t xml:space="preserve"> </w:t>
      </w:r>
      <w:r w:rsidRPr="00E0310E">
        <w:rPr>
          <w:rFonts w:asciiTheme="majorHAnsi" w:eastAsia="Times New Roman" w:hAnsiTheme="majorHAnsi" w:cs="Times New Roman"/>
          <w:bCs/>
          <w:sz w:val="24"/>
          <w:szCs w:val="24"/>
          <w:lang w:val="ro-MD"/>
        </w:rPr>
        <w:t>PNUD pentru achiziționarea</w:t>
      </w:r>
      <w:r w:rsidR="00793C62">
        <w:rPr>
          <w:rFonts w:asciiTheme="majorHAnsi" w:eastAsia="Times New Roman" w:hAnsiTheme="majorHAnsi" w:cs="Times New Roman"/>
          <w:bCs/>
          <w:sz w:val="24"/>
          <w:szCs w:val="24"/>
          <w:lang w:val="ro-MD"/>
        </w:rPr>
        <w:t xml:space="preserve"> </w:t>
      </w:r>
      <w:r w:rsidRPr="00E0310E">
        <w:rPr>
          <w:rFonts w:asciiTheme="majorHAnsi" w:eastAsia="Times New Roman" w:hAnsiTheme="majorHAnsi" w:cs="Times New Roman"/>
          <w:bCs/>
          <w:sz w:val="24"/>
          <w:szCs w:val="24"/>
          <w:lang w:val="ro-MD"/>
        </w:rPr>
        <w:t>diferitor bunuri, servicii etc</w:t>
      </w:r>
      <w:r w:rsidR="00C463B1">
        <w:rPr>
          <w:rFonts w:asciiTheme="majorHAnsi" w:eastAsia="Times New Roman" w:hAnsiTheme="majorHAnsi" w:cs="Times New Roman"/>
          <w:bCs/>
          <w:sz w:val="24"/>
          <w:szCs w:val="24"/>
          <w:lang w:val="ro-MD"/>
        </w:rPr>
        <w:t>.</w:t>
      </w:r>
      <w:r w:rsidR="00793C62">
        <w:rPr>
          <w:rFonts w:asciiTheme="majorHAnsi" w:eastAsia="Times New Roman" w:hAnsiTheme="majorHAnsi" w:cs="Times New Roman"/>
          <w:bCs/>
          <w:sz w:val="24"/>
          <w:szCs w:val="24"/>
          <w:lang w:val="ro-MD"/>
        </w:rPr>
        <w:t xml:space="preserve"> </w:t>
      </w:r>
      <w:r w:rsidRPr="00E0310E">
        <w:rPr>
          <w:rFonts w:asciiTheme="majorHAnsi" w:eastAsia="Times New Roman" w:hAnsiTheme="majorHAnsi" w:cs="Times New Roman"/>
          <w:bCs/>
          <w:sz w:val="24"/>
          <w:szCs w:val="24"/>
          <w:lang w:val="ro-MD"/>
        </w:rPr>
        <w:t xml:space="preserve">în </w:t>
      </w:r>
      <w:r w:rsidR="001C5E77">
        <w:rPr>
          <w:rFonts w:asciiTheme="majorHAnsi" w:eastAsia="Times New Roman" w:hAnsiTheme="majorHAnsi" w:cs="Times New Roman"/>
          <w:bCs/>
          <w:sz w:val="24"/>
          <w:szCs w:val="24"/>
          <w:lang w:val="ro-MD"/>
        </w:rPr>
        <w:t>valoare totală de 72,6 mil.</w:t>
      </w:r>
      <w:r w:rsidR="00A37D70">
        <w:rPr>
          <w:rFonts w:asciiTheme="majorHAnsi" w:eastAsia="Times New Roman" w:hAnsiTheme="majorHAnsi" w:cs="Times New Roman"/>
          <w:bCs/>
          <w:sz w:val="24"/>
          <w:szCs w:val="24"/>
          <w:lang w:val="ro-MD"/>
        </w:rPr>
        <w:t xml:space="preserve"> </w:t>
      </w:r>
      <w:r w:rsidR="007160B9">
        <w:rPr>
          <w:rFonts w:asciiTheme="majorHAnsi" w:eastAsia="Times New Roman" w:hAnsiTheme="majorHAnsi" w:cs="Times New Roman"/>
          <w:bCs/>
          <w:sz w:val="24"/>
          <w:szCs w:val="24"/>
          <w:lang w:val="ro-MD"/>
        </w:rPr>
        <w:t>MDL</w:t>
      </w:r>
      <w:r w:rsidR="00993B71">
        <w:rPr>
          <w:rFonts w:asciiTheme="majorHAnsi" w:eastAsia="Times New Roman" w:hAnsiTheme="majorHAnsi" w:cs="Times New Roman"/>
          <w:bCs/>
          <w:sz w:val="24"/>
          <w:szCs w:val="24"/>
          <w:lang w:val="ro-MD"/>
        </w:rPr>
        <w:t>, generând imobilizarea resurselor publice în finanțarea creanțelor.</w:t>
      </w:r>
      <w:r w:rsidR="00793C62">
        <w:rPr>
          <w:rFonts w:asciiTheme="majorHAnsi" w:eastAsia="Times New Roman" w:hAnsiTheme="majorHAnsi" w:cs="Times New Roman"/>
          <w:bCs/>
          <w:sz w:val="24"/>
          <w:szCs w:val="24"/>
          <w:lang w:val="ro-MD"/>
        </w:rPr>
        <w:t xml:space="preserve"> </w:t>
      </w:r>
      <w:r w:rsidRPr="00E0310E">
        <w:rPr>
          <w:rFonts w:asciiTheme="majorHAnsi" w:eastAsia="Times New Roman" w:hAnsiTheme="majorHAnsi" w:cs="Times New Roman"/>
          <w:bCs/>
          <w:sz w:val="24"/>
          <w:szCs w:val="24"/>
          <w:lang w:val="ro-MD"/>
        </w:rPr>
        <w:t xml:space="preserve"> </w:t>
      </w:r>
    </w:p>
    <w:p w:rsidR="008420F3" w:rsidRDefault="008420F3" w:rsidP="008420F3">
      <w:pPr>
        <w:tabs>
          <w:tab w:val="left" w:pos="993"/>
        </w:tabs>
        <w:spacing w:after="0" w:line="276" w:lineRule="auto"/>
        <w:ind w:firstLine="709"/>
        <w:contextualSpacing/>
        <w:jc w:val="both"/>
        <w:rPr>
          <w:rFonts w:asciiTheme="majorHAnsi" w:hAnsiTheme="majorHAnsi" w:cstheme="majorHAnsi"/>
          <w:sz w:val="24"/>
          <w:szCs w:val="24"/>
        </w:rPr>
      </w:pPr>
      <w:r w:rsidRPr="00E0310E">
        <w:rPr>
          <w:rFonts w:asciiTheme="majorHAnsi" w:hAnsiTheme="majorHAnsi" w:cstheme="majorHAnsi"/>
          <w:sz w:val="24"/>
          <w:szCs w:val="24"/>
        </w:rPr>
        <w:t xml:space="preserve">În acest context, </w:t>
      </w:r>
      <w:r w:rsidR="00D939AA">
        <w:rPr>
          <w:rFonts w:asciiTheme="majorHAnsi" w:hAnsiTheme="majorHAnsi" w:cstheme="majorHAnsi"/>
          <w:sz w:val="24"/>
          <w:szCs w:val="24"/>
        </w:rPr>
        <w:t xml:space="preserve">se </w:t>
      </w:r>
      <w:r w:rsidRPr="00E0310E">
        <w:rPr>
          <w:rFonts w:asciiTheme="majorHAnsi" w:hAnsiTheme="majorHAnsi" w:cstheme="majorHAnsi"/>
          <w:sz w:val="24"/>
          <w:szCs w:val="24"/>
        </w:rPr>
        <w:t>denotă că</w:t>
      </w:r>
      <w:r w:rsidR="005847DA">
        <w:rPr>
          <w:rFonts w:asciiTheme="majorHAnsi" w:hAnsiTheme="majorHAnsi" w:cstheme="majorHAnsi"/>
          <w:sz w:val="24"/>
          <w:szCs w:val="24"/>
        </w:rPr>
        <w:t>,</w:t>
      </w:r>
      <w:r w:rsidRPr="00E0310E">
        <w:rPr>
          <w:rFonts w:asciiTheme="majorHAnsi" w:hAnsiTheme="majorHAnsi" w:cstheme="majorHAnsi"/>
          <w:sz w:val="24"/>
          <w:szCs w:val="24"/>
        </w:rPr>
        <w:t xml:space="preserve"> potrivit datelor raportate</w:t>
      </w:r>
      <w:r w:rsidR="00793C62">
        <w:rPr>
          <w:rFonts w:asciiTheme="majorHAnsi" w:hAnsiTheme="majorHAnsi" w:cstheme="majorHAnsi"/>
          <w:sz w:val="24"/>
          <w:szCs w:val="24"/>
        </w:rPr>
        <w:t xml:space="preserve"> </w:t>
      </w:r>
      <w:r w:rsidR="005847DA">
        <w:rPr>
          <w:rFonts w:asciiTheme="majorHAnsi" w:hAnsiTheme="majorHAnsi" w:cstheme="majorHAnsi"/>
          <w:sz w:val="24"/>
          <w:szCs w:val="24"/>
        </w:rPr>
        <w:t xml:space="preserve">în 2018, </w:t>
      </w:r>
      <w:r w:rsidRPr="00E0310E">
        <w:rPr>
          <w:rFonts w:asciiTheme="majorHAnsi" w:hAnsiTheme="majorHAnsi" w:cstheme="majorHAnsi"/>
          <w:b/>
          <w:i/>
          <w:sz w:val="24"/>
          <w:szCs w:val="24"/>
        </w:rPr>
        <w:t>contribuția statului</w:t>
      </w:r>
      <w:r w:rsidRPr="00E0310E">
        <w:rPr>
          <w:rFonts w:asciiTheme="majorHAnsi" w:hAnsiTheme="majorHAnsi" w:cstheme="majorHAnsi"/>
          <w:sz w:val="24"/>
          <w:szCs w:val="24"/>
        </w:rPr>
        <w:t xml:space="preserve"> la implementarea diferitor proiecte a însumat 30</w:t>
      </w:r>
      <w:r>
        <w:rPr>
          <w:rFonts w:asciiTheme="majorHAnsi" w:hAnsiTheme="majorHAnsi" w:cstheme="majorHAnsi"/>
          <w:sz w:val="24"/>
          <w:szCs w:val="24"/>
        </w:rPr>
        <w:t>,2 mil.</w:t>
      </w:r>
      <w:r w:rsidRPr="00E0310E">
        <w:rPr>
          <w:rFonts w:asciiTheme="majorHAnsi" w:hAnsiTheme="majorHAnsi" w:cstheme="majorHAnsi"/>
          <w:sz w:val="24"/>
          <w:szCs w:val="24"/>
        </w:rPr>
        <w:t xml:space="preserve"> </w:t>
      </w:r>
      <w:r w:rsidR="007160B9">
        <w:rPr>
          <w:rFonts w:asciiTheme="majorHAnsi" w:hAnsiTheme="majorHAnsi" w:cstheme="majorHAnsi"/>
          <w:sz w:val="24"/>
          <w:szCs w:val="24"/>
        </w:rPr>
        <w:t>MDL</w:t>
      </w:r>
      <w:r w:rsidRPr="00E0310E">
        <w:rPr>
          <w:rFonts w:asciiTheme="majorHAnsi" w:hAnsiTheme="majorHAnsi" w:cstheme="majorHAnsi"/>
          <w:sz w:val="24"/>
          <w:szCs w:val="24"/>
        </w:rPr>
        <w:t xml:space="preserve">, </w:t>
      </w:r>
      <w:r w:rsidR="005847DA">
        <w:rPr>
          <w:rFonts w:asciiTheme="majorHAnsi" w:hAnsiTheme="majorHAnsi" w:cstheme="majorHAnsi"/>
          <w:sz w:val="24"/>
          <w:szCs w:val="24"/>
        </w:rPr>
        <w:t xml:space="preserve">ceea </w:t>
      </w:r>
      <w:r w:rsidRPr="00E0310E">
        <w:rPr>
          <w:rFonts w:asciiTheme="majorHAnsi" w:hAnsiTheme="majorHAnsi" w:cstheme="majorHAnsi"/>
          <w:sz w:val="24"/>
          <w:szCs w:val="24"/>
        </w:rPr>
        <w:t>ce constituie 44,3% față de volumul precizat în legea bugetară anuală</w:t>
      </w:r>
      <w:r>
        <w:rPr>
          <w:rFonts w:asciiTheme="majorHAnsi" w:hAnsiTheme="majorHAnsi" w:cstheme="majorHAnsi"/>
          <w:sz w:val="24"/>
          <w:szCs w:val="24"/>
        </w:rPr>
        <w:t xml:space="preserve"> </w:t>
      </w:r>
      <w:r w:rsidR="005847DA">
        <w:rPr>
          <w:rFonts w:asciiTheme="majorHAnsi" w:hAnsiTheme="majorHAnsi" w:cstheme="majorHAnsi"/>
          <w:sz w:val="24"/>
          <w:szCs w:val="24"/>
        </w:rPr>
        <w:t>(</w:t>
      </w:r>
      <w:r w:rsidRPr="00E0310E">
        <w:rPr>
          <w:rFonts w:asciiTheme="majorHAnsi" w:hAnsiTheme="majorHAnsi" w:cstheme="majorHAnsi"/>
          <w:sz w:val="24"/>
          <w:szCs w:val="24"/>
        </w:rPr>
        <w:t>68</w:t>
      </w:r>
      <w:r>
        <w:rPr>
          <w:rFonts w:asciiTheme="majorHAnsi" w:hAnsiTheme="majorHAnsi" w:cstheme="majorHAnsi"/>
          <w:sz w:val="24"/>
          <w:szCs w:val="24"/>
        </w:rPr>
        <w:t>,2 mil.</w:t>
      </w:r>
      <w:r w:rsidRPr="00E0310E">
        <w:rPr>
          <w:rFonts w:asciiTheme="majorHAnsi" w:hAnsiTheme="majorHAnsi" w:cstheme="majorHAnsi"/>
          <w:sz w:val="24"/>
          <w:szCs w:val="24"/>
        </w:rPr>
        <w:t xml:space="preserve"> </w:t>
      </w:r>
      <w:r w:rsidR="007160B9">
        <w:rPr>
          <w:rFonts w:asciiTheme="majorHAnsi" w:hAnsiTheme="majorHAnsi" w:cstheme="majorHAnsi"/>
          <w:sz w:val="24"/>
          <w:szCs w:val="24"/>
        </w:rPr>
        <w:t>MDL</w:t>
      </w:r>
      <w:r w:rsidR="005847DA">
        <w:rPr>
          <w:rFonts w:asciiTheme="majorHAnsi" w:hAnsiTheme="majorHAnsi" w:cstheme="majorHAnsi"/>
          <w:sz w:val="24"/>
          <w:szCs w:val="24"/>
        </w:rPr>
        <w:t>)</w:t>
      </w:r>
      <w:r w:rsidRPr="00E0310E">
        <w:rPr>
          <w:rFonts w:asciiTheme="majorHAnsi" w:hAnsiTheme="majorHAnsi" w:cstheme="majorHAnsi"/>
          <w:sz w:val="24"/>
          <w:szCs w:val="24"/>
        </w:rPr>
        <w:t>.</w:t>
      </w:r>
    </w:p>
    <w:p w:rsidR="00132BC6" w:rsidRDefault="008420F3" w:rsidP="00946193">
      <w:pPr>
        <w:tabs>
          <w:tab w:val="left" w:pos="993"/>
        </w:tabs>
        <w:spacing w:after="0" w:line="276" w:lineRule="auto"/>
        <w:ind w:firstLine="709"/>
        <w:contextualSpacing/>
        <w:jc w:val="both"/>
        <w:rPr>
          <w:rFonts w:asciiTheme="majorHAnsi" w:hAnsiTheme="majorHAnsi" w:cstheme="majorHAnsi"/>
          <w:sz w:val="24"/>
          <w:szCs w:val="24"/>
        </w:rPr>
      </w:pPr>
      <w:r w:rsidRPr="00E0310E">
        <w:rPr>
          <w:rFonts w:asciiTheme="majorHAnsi" w:hAnsiTheme="majorHAnsi" w:cstheme="majorHAnsi"/>
          <w:sz w:val="24"/>
          <w:szCs w:val="24"/>
        </w:rPr>
        <w:t>Pentru anul 2018</w:t>
      </w:r>
      <w:r w:rsidR="005847DA">
        <w:rPr>
          <w:rFonts w:asciiTheme="majorHAnsi" w:hAnsiTheme="majorHAnsi" w:cstheme="majorHAnsi"/>
          <w:sz w:val="24"/>
          <w:szCs w:val="24"/>
        </w:rPr>
        <w:t>,</w:t>
      </w:r>
      <w:r w:rsidRPr="00E0310E">
        <w:rPr>
          <w:rFonts w:asciiTheme="majorHAnsi" w:hAnsiTheme="majorHAnsi" w:cstheme="majorHAnsi"/>
          <w:sz w:val="24"/>
          <w:szCs w:val="24"/>
        </w:rPr>
        <w:t xml:space="preserve"> în BS au fost aprobate inițial subsidii în volum de 2</w:t>
      </w:r>
      <w:r>
        <w:rPr>
          <w:rFonts w:asciiTheme="majorHAnsi" w:hAnsiTheme="majorHAnsi" w:cstheme="majorHAnsi"/>
          <w:sz w:val="24"/>
          <w:szCs w:val="24"/>
        </w:rPr>
        <w:t xml:space="preserve"> </w:t>
      </w:r>
      <w:r w:rsidRPr="00E0310E">
        <w:rPr>
          <w:rFonts w:asciiTheme="majorHAnsi" w:hAnsiTheme="majorHAnsi" w:cstheme="majorHAnsi"/>
          <w:sz w:val="24"/>
          <w:szCs w:val="24"/>
        </w:rPr>
        <w:t>885,5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E0310E">
        <w:rPr>
          <w:rFonts w:asciiTheme="majorHAnsi" w:hAnsiTheme="majorHAnsi" w:cstheme="majorHAnsi"/>
          <w:sz w:val="24"/>
          <w:szCs w:val="24"/>
        </w:rPr>
        <w:t xml:space="preserve">. Urmare </w:t>
      </w:r>
      <w:r w:rsidR="00132BC6">
        <w:rPr>
          <w:rFonts w:asciiTheme="majorHAnsi" w:hAnsiTheme="majorHAnsi" w:cstheme="majorHAnsi"/>
          <w:sz w:val="24"/>
          <w:szCs w:val="24"/>
        </w:rPr>
        <w:t xml:space="preserve">a </w:t>
      </w:r>
      <w:r w:rsidRPr="00E0310E">
        <w:rPr>
          <w:rFonts w:asciiTheme="majorHAnsi" w:hAnsiTheme="majorHAnsi" w:cstheme="majorHAnsi"/>
          <w:sz w:val="24"/>
          <w:szCs w:val="24"/>
        </w:rPr>
        <w:t xml:space="preserve">modificărilor </w:t>
      </w:r>
      <w:r w:rsidR="00132BC6">
        <w:rPr>
          <w:rFonts w:asciiTheme="majorHAnsi" w:hAnsiTheme="majorHAnsi" w:cstheme="majorHAnsi"/>
          <w:sz w:val="24"/>
          <w:szCs w:val="24"/>
        </w:rPr>
        <w:t>operate</w:t>
      </w:r>
      <w:r w:rsidR="00132BC6" w:rsidRPr="00E0310E">
        <w:rPr>
          <w:rFonts w:asciiTheme="majorHAnsi" w:hAnsiTheme="majorHAnsi" w:cstheme="majorHAnsi"/>
          <w:sz w:val="24"/>
          <w:szCs w:val="24"/>
        </w:rPr>
        <w:t xml:space="preserve"> </w:t>
      </w:r>
      <w:r w:rsidRPr="00E0310E">
        <w:rPr>
          <w:rFonts w:asciiTheme="majorHAnsi" w:hAnsiTheme="majorHAnsi" w:cstheme="majorHAnsi"/>
          <w:sz w:val="24"/>
          <w:szCs w:val="24"/>
        </w:rPr>
        <w:t>pe parcursul anului</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alocațiile bugetare pentru subsidii au fost precizate cu</w:t>
      </w:r>
      <w:r w:rsidR="00A37D70">
        <w:rPr>
          <w:rFonts w:asciiTheme="majorHAnsi" w:hAnsiTheme="majorHAnsi" w:cstheme="majorHAnsi"/>
          <w:sz w:val="24"/>
          <w:szCs w:val="24"/>
        </w:rPr>
        <w:t xml:space="preserve"> </w:t>
      </w:r>
      <w:r w:rsidRPr="00E0310E">
        <w:rPr>
          <w:rFonts w:asciiTheme="majorHAnsi" w:hAnsiTheme="majorHAnsi" w:cstheme="majorHAnsi"/>
          <w:sz w:val="24"/>
          <w:szCs w:val="24"/>
        </w:rPr>
        <w:t>(+1</w:t>
      </w:r>
      <w:r>
        <w:rPr>
          <w:rFonts w:asciiTheme="majorHAnsi" w:hAnsiTheme="majorHAnsi" w:cstheme="majorHAnsi"/>
          <w:sz w:val="24"/>
          <w:szCs w:val="24"/>
        </w:rPr>
        <w:t xml:space="preserve"> </w:t>
      </w:r>
      <w:r w:rsidRPr="00E0310E">
        <w:rPr>
          <w:rFonts w:asciiTheme="majorHAnsi" w:hAnsiTheme="majorHAnsi" w:cstheme="majorHAnsi"/>
          <w:sz w:val="24"/>
          <w:szCs w:val="24"/>
        </w:rPr>
        <w:t>372,0</w:t>
      </w:r>
      <w:r w:rsidR="00A9120E">
        <w:rPr>
          <w:rFonts w:asciiTheme="majorHAnsi" w:hAnsiTheme="majorHAnsi" w:cstheme="majorHAnsi"/>
          <w:sz w:val="24"/>
          <w:szCs w:val="24"/>
        </w:rPr>
        <w:t>)</w:t>
      </w:r>
      <w:r w:rsidRPr="00E0310E">
        <w:rPr>
          <w:rFonts w:asciiTheme="majorHAnsi" w:hAnsiTheme="majorHAnsi" w:cstheme="majorHAnsi"/>
          <w:sz w:val="24"/>
          <w:szCs w:val="24"/>
        </w:rPr>
        <w:t xml:space="preserve"> mil</w:t>
      </w:r>
      <w:r>
        <w:rPr>
          <w:rFonts w:asciiTheme="majorHAnsi" w:hAnsiTheme="majorHAnsi" w:cstheme="majorHAnsi"/>
          <w:sz w:val="24"/>
          <w:szCs w:val="24"/>
        </w:rPr>
        <w:t>.</w:t>
      </w:r>
      <w:r w:rsidRPr="00E0310E">
        <w:rPr>
          <w:rFonts w:asciiTheme="majorHAnsi" w:hAnsiTheme="majorHAnsi" w:cstheme="majorHAnsi"/>
          <w:sz w:val="24"/>
          <w:szCs w:val="24"/>
        </w:rPr>
        <w:t xml:space="preserve"> </w:t>
      </w:r>
      <w:r w:rsidR="007160B9">
        <w:rPr>
          <w:rFonts w:asciiTheme="majorHAnsi" w:hAnsiTheme="majorHAnsi" w:cstheme="majorHAnsi"/>
          <w:sz w:val="24"/>
          <w:szCs w:val="24"/>
        </w:rPr>
        <w:t>MDL</w:t>
      </w:r>
      <w:r w:rsidRPr="00E0310E">
        <w:rPr>
          <w:rFonts w:asciiTheme="majorHAnsi" w:hAnsiTheme="majorHAnsi" w:cstheme="majorHAnsi"/>
          <w:sz w:val="24"/>
          <w:szCs w:val="24"/>
        </w:rPr>
        <w:t>, executarea de casă</w:t>
      </w:r>
      <w:r w:rsidR="00793C62">
        <w:rPr>
          <w:rFonts w:asciiTheme="majorHAnsi" w:hAnsiTheme="majorHAnsi" w:cstheme="majorHAnsi"/>
          <w:sz w:val="24"/>
          <w:szCs w:val="24"/>
        </w:rPr>
        <w:t xml:space="preserve"> </w:t>
      </w:r>
      <w:r w:rsidRPr="00E0310E">
        <w:rPr>
          <w:rFonts w:asciiTheme="majorHAnsi" w:hAnsiTheme="majorHAnsi" w:cstheme="majorHAnsi"/>
          <w:sz w:val="24"/>
          <w:szCs w:val="24"/>
        </w:rPr>
        <w:t>constituind 4</w:t>
      </w:r>
      <w:r>
        <w:rPr>
          <w:rFonts w:asciiTheme="majorHAnsi" w:hAnsiTheme="majorHAnsi" w:cstheme="majorHAnsi"/>
          <w:sz w:val="24"/>
          <w:szCs w:val="24"/>
        </w:rPr>
        <w:t xml:space="preserve"> </w:t>
      </w:r>
      <w:r w:rsidRPr="00E0310E">
        <w:rPr>
          <w:rFonts w:asciiTheme="majorHAnsi" w:hAnsiTheme="majorHAnsi" w:cstheme="majorHAnsi"/>
          <w:sz w:val="24"/>
          <w:szCs w:val="24"/>
        </w:rPr>
        <w:t xml:space="preserve">041,9 mil. </w:t>
      </w:r>
      <w:r w:rsidR="007160B9">
        <w:rPr>
          <w:rFonts w:asciiTheme="majorHAnsi" w:hAnsiTheme="majorHAnsi" w:cstheme="majorHAnsi"/>
          <w:sz w:val="24"/>
          <w:szCs w:val="24"/>
        </w:rPr>
        <w:t>MDL</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sau 94,9%</w:t>
      </w:r>
      <w:r w:rsidR="00793C62">
        <w:rPr>
          <w:rFonts w:asciiTheme="majorHAnsi" w:hAnsiTheme="majorHAnsi" w:cstheme="majorHAnsi"/>
          <w:sz w:val="24"/>
          <w:szCs w:val="24"/>
        </w:rPr>
        <w:t xml:space="preserve"> </w:t>
      </w:r>
      <w:r w:rsidRPr="00E0310E">
        <w:rPr>
          <w:rFonts w:asciiTheme="majorHAnsi" w:hAnsiTheme="majorHAnsi" w:cstheme="majorHAnsi"/>
          <w:sz w:val="24"/>
          <w:szCs w:val="24"/>
        </w:rPr>
        <w:t>comparativ cu cele precizate.</w:t>
      </w:r>
      <w:r w:rsidR="00793C62">
        <w:rPr>
          <w:rFonts w:asciiTheme="majorHAnsi" w:hAnsiTheme="majorHAnsi" w:cstheme="majorHAnsi"/>
          <w:sz w:val="24"/>
          <w:szCs w:val="24"/>
        </w:rPr>
        <w:t xml:space="preserve"> </w:t>
      </w:r>
      <w:r w:rsidRPr="00E0310E">
        <w:rPr>
          <w:rFonts w:asciiTheme="majorHAnsi" w:hAnsiTheme="majorHAnsi" w:cstheme="majorHAnsi"/>
          <w:sz w:val="24"/>
          <w:szCs w:val="24"/>
        </w:rPr>
        <w:t>Din totalul subsidiilor alocate în anul 2018</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ponderea cea mai</w:t>
      </w:r>
      <w:r>
        <w:rPr>
          <w:rFonts w:asciiTheme="majorHAnsi" w:hAnsiTheme="majorHAnsi" w:cstheme="majorHAnsi"/>
          <w:sz w:val="24"/>
          <w:szCs w:val="24"/>
        </w:rPr>
        <w:t xml:space="preserve"> semnificativă revine MEI </w:t>
      </w:r>
      <w:r w:rsidR="00132BC6">
        <w:rPr>
          <w:rFonts w:asciiTheme="majorHAnsi" w:hAnsiTheme="majorHAnsi" w:cstheme="majorHAnsi"/>
          <w:sz w:val="24"/>
          <w:szCs w:val="24"/>
        </w:rPr>
        <w:t xml:space="preserve">– </w:t>
      </w:r>
      <w:r>
        <w:rPr>
          <w:rFonts w:asciiTheme="majorHAnsi" w:hAnsiTheme="majorHAnsi" w:cstheme="majorHAnsi"/>
          <w:sz w:val="24"/>
          <w:szCs w:val="24"/>
        </w:rPr>
        <w:t>62,1</w:t>
      </w:r>
      <w:r w:rsidRPr="00E0310E">
        <w:rPr>
          <w:rFonts w:asciiTheme="majorHAnsi" w:hAnsiTheme="majorHAnsi" w:cstheme="majorHAnsi"/>
          <w:sz w:val="24"/>
          <w:szCs w:val="24"/>
        </w:rPr>
        <w:t>%</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sau 2</w:t>
      </w:r>
      <w:r>
        <w:rPr>
          <w:rFonts w:asciiTheme="majorHAnsi" w:hAnsiTheme="majorHAnsi" w:cstheme="majorHAnsi"/>
          <w:sz w:val="24"/>
          <w:szCs w:val="24"/>
        </w:rPr>
        <w:t xml:space="preserve"> </w:t>
      </w:r>
      <w:r w:rsidRPr="00E0310E">
        <w:rPr>
          <w:rFonts w:asciiTheme="majorHAnsi" w:hAnsiTheme="majorHAnsi" w:cstheme="majorHAnsi"/>
          <w:sz w:val="24"/>
          <w:szCs w:val="24"/>
        </w:rPr>
        <w:t>509,0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E0310E">
        <w:rPr>
          <w:rFonts w:asciiTheme="majorHAnsi" w:hAnsiTheme="majorHAnsi" w:cstheme="majorHAnsi"/>
          <w:sz w:val="24"/>
          <w:szCs w:val="24"/>
        </w:rPr>
        <w:t>, urmate fiind de MADRM – 24,4%</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sau 987,6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Pr="00E0310E">
        <w:rPr>
          <w:rFonts w:asciiTheme="majorHAnsi" w:hAnsiTheme="majorHAnsi" w:cstheme="majorHAnsi"/>
          <w:sz w:val="24"/>
          <w:szCs w:val="24"/>
        </w:rPr>
        <w:t>; MECC – 4,6%</w:t>
      </w:r>
      <w:r w:rsidR="00132BC6">
        <w:rPr>
          <w:rFonts w:asciiTheme="majorHAnsi" w:hAnsiTheme="majorHAnsi" w:cstheme="majorHAnsi"/>
          <w:sz w:val="24"/>
          <w:szCs w:val="24"/>
        </w:rPr>
        <w:t>,</w:t>
      </w:r>
      <w:r w:rsidRPr="00E0310E">
        <w:rPr>
          <w:rFonts w:asciiTheme="majorHAnsi" w:hAnsiTheme="majorHAnsi" w:cstheme="majorHAnsi"/>
          <w:sz w:val="24"/>
          <w:szCs w:val="24"/>
        </w:rPr>
        <w:t xml:space="preserve"> sau 185,4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Pr>
          <w:rFonts w:asciiTheme="majorHAnsi" w:hAnsiTheme="majorHAnsi" w:cstheme="majorHAnsi"/>
          <w:sz w:val="24"/>
          <w:szCs w:val="24"/>
        </w:rPr>
        <w:t xml:space="preserve"> </w:t>
      </w:r>
      <w:r w:rsidRPr="00E0310E">
        <w:rPr>
          <w:rFonts w:asciiTheme="majorHAnsi" w:hAnsiTheme="majorHAnsi" w:cstheme="majorHAnsi"/>
          <w:sz w:val="24"/>
          <w:szCs w:val="24"/>
        </w:rPr>
        <w:t>etc.</w:t>
      </w:r>
      <w:r w:rsidR="00793C62">
        <w:rPr>
          <w:rFonts w:asciiTheme="majorHAnsi" w:hAnsiTheme="majorHAnsi" w:cstheme="majorHAnsi"/>
          <w:sz w:val="24"/>
          <w:szCs w:val="24"/>
        </w:rPr>
        <w:t xml:space="preserve"> </w:t>
      </w:r>
    </w:p>
    <w:p w:rsidR="008420F3" w:rsidRDefault="00A37D70" w:rsidP="00946193">
      <w:pPr>
        <w:tabs>
          <w:tab w:val="left" w:pos="993"/>
        </w:tabs>
        <w:spacing w:after="0" w:line="276" w:lineRule="auto"/>
        <w:ind w:firstLine="709"/>
        <w:contextualSpacing/>
        <w:jc w:val="both"/>
        <w:rPr>
          <w:rFonts w:asciiTheme="majorHAnsi" w:hAnsiTheme="majorHAnsi" w:cstheme="majorHAnsi"/>
          <w:sz w:val="24"/>
          <w:szCs w:val="24"/>
        </w:rPr>
      </w:pPr>
      <w:r>
        <w:rPr>
          <w:rFonts w:asciiTheme="majorHAnsi" w:hAnsiTheme="majorHAnsi" w:cstheme="majorHAnsi"/>
          <w:sz w:val="24"/>
          <w:szCs w:val="24"/>
        </w:rPr>
        <w:t>De</w:t>
      </w:r>
      <w:r w:rsidR="00132BC6">
        <w:rPr>
          <w:rFonts w:asciiTheme="majorHAnsi" w:hAnsiTheme="majorHAnsi" w:cstheme="majorHAnsi"/>
          <w:sz w:val="24"/>
          <w:szCs w:val="24"/>
        </w:rPr>
        <w:t xml:space="preserve"> </w:t>
      </w:r>
      <w:r>
        <w:rPr>
          <w:rFonts w:asciiTheme="majorHAnsi" w:hAnsiTheme="majorHAnsi" w:cstheme="majorHAnsi"/>
          <w:sz w:val="24"/>
          <w:szCs w:val="24"/>
        </w:rPr>
        <w:t>asemenea, î</w:t>
      </w:r>
      <w:r w:rsidR="00832BB4">
        <w:rPr>
          <w:rFonts w:asciiTheme="majorHAnsi" w:hAnsiTheme="majorHAnsi" w:cstheme="majorHAnsi"/>
          <w:sz w:val="24"/>
          <w:szCs w:val="24"/>
        </w:rPr>
        <w:t>n anul 2018</w:t>
      </w:r>
      <w:r w:rsidR="001163CE">
        <w:rPr>
          <w:rFonts w:asciiTheme="majorHAnsi" w:hAnsiTheme="majorHAnsi" w:cstheme="majorHAnsi"/>
          <w:sz w:val="24"/>
          <w:szCs w:val="24"/>
        </w:rPr>
        <w:t>, potrivit datelor raportate de MF</w:t>
      </w:r>
      <w:r w:rsidR="00132BC6">
        <w:rPr>
          <w:rFonts w:asciiTheme="majorHAnsi" w:hAnsiTheme="majorHAnsi" w:cstheme="majorHAnsi"/>
          <w:sz w:val="24"/>
          <w:szCs w:val="24"/>
        </w:rPr>
        <w:t>,</w:t>
      </w:r>
      <w:r w:rsidR="00793C62">
        <w:rPr>
          <w:rFonts w:asciiTheme="majorHAnsi" w:hAnsiTheme="majorHAnsi" w:cstheme="majorHAnsi"/>
          <w:sz w:val="24"/>
          <w:szCs w:val="24"/>
        </w:rPr>
        <w:t xml:space="preserve"> </w:t>
      </w:r>
      <w:r w:rsidR="001027B6">
        <w:rPr>
          <w:rFonts w:asciiTheme="majorHAnsi" w:hAnsiTheme="majorHAnsi" w:cstheme="majorHAnsi"/>
          <w:sz w:val="24"/>
          <w:szCs w:val="24"/>
        </w:rPr>
        <w:t>din BS au fost alocate</w:t>
      </w:r>
      <w:r w:rsidR="00832BB4">
        <w:rPr>
          <w:rFonts w:asciiTheme="majorHAnsi" w:hAnsiTheme="majorHAnsi" w:cstheme="majorHAnsi"/>
          <w:sz w:val="24"/>
          <w:szCs w:val="24"/>
        </w:rPr>
        <w:t xml:space="preserve"> subsidii partidelor politic</w:t>
      </w:r>
      <w:r w:rsidR="00132BC6">
        <w:rPr>
          <w:rFonts w:asciiTheme="majorHAnsi" w:hAnsiTheme="majorHAnsi" w:cstheme="majorHAnsi"/>
          <w:sz w:val="24"/>
          <w:szCs w:val="24"/>
        </w:rPr>
        <w:t>e</w:t>
      </w:r>
      <w:r w:rsidR="00832BB4">
        <w:rPr>
          <w:rFonts w:asciiTheme="majorHAnsi" w:hAnsiTheme="majorHAnsi" w:cstheme="majorHAnsi"/>
          <w:sz w:val="24"/>
          <w:szCs w:val="24"/>
        </w:rPr>
        <w:t xml:space="preserve"> în volum de 40,0 mil.</w:t>
      </w:r>
      <w:r>
        <w:rPr>
          <w:rFonts w:asciiTheme="majorHAnsi" w:hAnsiTheme="majorHAnsi" w:cstheme="majorHAnsi"/>
          <w:sz w:val="24"/>
          <w:szCs w:val="24"/>
        </w:rPr>
        <w:t xml:space="preserve"> </w:t>
      </w:r>
      <w:r w:rsidR="007160B9">
        <w:rPr>
          <w:rFonts w:asciiTheme="majorHAnsi" w:hAnsiTheme="majorHAnsi" w:cstheme="majorHAnsi"/>
          <w:sz w:val="24"/>
          <w:szCs w:val="24"/>
        </w:rPr>
        <w:t>MDL</w:t>
      </w:r>
      <w:r w:rsidR="00832BB4">
        <w:rPr>
          <w:rFonts w:asciiTheme="majorHAnsi" w:hAnsiTheme="majorHAnsi" w:cstheme="majorHAnsi"/>
          <w:sz w:val="24"/>
          <w:szCs w:val="24"/>
        </w:rPr>
        <w:t>. Potrivit „Informației cu privire la executarea subsidiilor acordate din</w:t>
      </w:r>
      <w:r w:rsidR="00793C62">
        <w:rPr>
          <w:rFonts w:asciiTheme="majorHAnsi" w:hAnsiTheme="majorHAnsi" w:cstheme="majorHAnsi"/>
          <w:sz w:val="24"/>
          <w:szCs w:val="24"/>
        </w:rPr>
        <w:t xml:space="preserve"> </w:t>
      </w:r>
      <w:r w:rsidR="00832BB4">
        <w:rPr>
          <w:rFonts w:asciiTheme="majorHAnsi" w:hAnsiTheme="majorHAnsi" w:cstheme="majorHAnsi"/>
          <w:sz w:val="24"/>
          <w:szCs w:val="24"/>
        </w:rPr>
        <w:t xml:space="preserve">buget la situația din 31 decembrie 2018” prezentată de CEC, </w:t>
      </w:r>
      <w:r w:rsidR="001163CE" w:rsidRPr="001163CE">
        <w:rPr>
          <w:rFonts w:asciiTheme="majorHAnsi" w:hAnsiTheme="majorHAnsi" w:cstheme="majorHAnsi"/>
          <w:sz w:val="24"/>
          <w:szCs w:val="24"/>
        </w:rPr>
        <w:t xml:space="preserve">partidelor politice </w:t>
      </w:r>
      <w:r w:rsidR="00132BC6">
        <w:rPr>
          <w:rFonts w:asciiTheme="majorHAnsi" w:hAnsiTheme="majorHAnsi" w:cstheme="majorHAnsi"/>
          <w:sz w:val="24"/>
          <w:szCs w:val="24"/>
        </w:rPr>
        <w:t>le-</w:t>
      </w:r>
      <w:r w:rsidR="00832BB4">
        <w:rPr>
          <w:rFonts w:asciiTheme="majorHAnsi" w:hAnsiTheme="majorHAnsi" w:cstheme="majorHAnsi"/>
          <w:sz w:val="24"/>
          <w:szCs w:val="24"/>
        </w:rPr>
        <w:t xml:space="preserve">au fost transferate </w:t>
      </w:r>
      <w:r w:rsidR="00832BB4" w:rsidRPr="001163CE">
        <w:rPr>
          <w:rFonts w:asciiTheme="majorHAnsi" w:hAnsiTheme="majorHAnsi" w:cstheme="majorHAnsi"/>
          <w:sz w:val="24"/>
          <w:szCs w:val="24"/>
        </w:rPr>
        <w:t>39,8 mil.</w:t>
      </w:r>
      <w:r w:rsidR="00132BC6">
        <w:rPr>
          <w:rFonts w:asciiTheme="majorHAnsi" w:hAnsiTheme="majorHAnsi" w:cstheme="majorHAnsi"/>
          <w:sz w:val="24"/>
          <w:szCs w:val="24"/>
        </w:rPr>
        <w:t xml:space="preserve"> </w:t>
      </w:r>
      <w:r w:rsidR="007160B9">
        <w:rPr>
          <w:rFonts w:asciiTheme="majorHAnsi" w:hAnsiTheme="majorHAnsi" w:cstheme="majorHAnsi"/>
          <w:sz w:val="24"/>
          <w:szCs w:val="24"/>
        </w:rPr>
        <w:t>MDL</w:t>
      </w:r>
      <w:r w:rsidR="001027B6">
        <w:rPr>
          <w:rFonts w:asciiTheme="majorHAnsi" w:hAnsiTheme="majorHAnsi" w:cstheme="majorHAnsi"/>
          <w:sz w:val="24"/>
          <w:szCs w:val="24"/>
        </w:rPr>
        <w:t>, cheltuielile fiind executate în volum de 33,1 mil.</w:t>
      </w:r>
      <w:r w:rsidR="00946193">
        <w:rPr>
          <w:rFonts w:asciiTheme="majorHAnsi" w:hAnsiTheme="majorHAnsi" w:cstheme="majorHAnsi"/>
          <w:sz w:val="24"/>
          <w:szCs w:val="24"/>
        </w:rPr>
        <w:t xml:space="preserve"> </w:t>
      </w:r>
      <w:r w:rsidR="007160B9">
        <w:rPr>
          <w:rFonts w:asciiTheme="majorHAnsi" w:hAnsiTheme="majorHAnsi" w:cstheme="majorHAnsi"/>
          <w:sz w:val="24"/>
          <w:szCs w:val="24"/>
        </w:rPr>
        <w:t>MDL</w:t>
      </w:r>
      <w:r w:rsidR="00946193">
        <w:rPr>
          <w:rFonts w:asciiTheme="majorHAnsi" w:hAnsiTheme="majorHAnsi" w:cstheme="majorHAnsi"/>
          <w:sz w:val="24"/>
          <w:szCs w:val="24"/>
        </w:rPr>
        <w:t xml:space="preserve">. </w:t>
      </w:r>
      <w:r w:rsidR="001027B6">
        <w:rPr>
          <w:rFonts w:asciiTheme="majorHAnsi" w:hAnsiTheme="majorHAnsi" w:cstheme="majorHAnsi"/>
          <w:sz w:val="24"/>
          <w:szCs w:val="24"/>
        </w:rPr>
        <w:t>Se atestă că</w:t>
      </w:r>
      <w:r w:rsidR="00946193">
        <w:rPr>
          <w:rFonts w:asciiTheme="majorHAnsi" w:hAnsiTheme="majorHAnsi" w:cstheme="majorHAnsi"/>
          <w:sz w:val="24"/>
          <w:szCs w:val="24"/>
        </w:rPr>
        <w:t>,</w:t>
      </w:r>
      <w:r w:rsidR="001027B6">
        <w:rPr>
          <w:rFonts w:asciiTheme="majorHAnsi" w:hAnsiTheme="majorHAnsi" w:cstheme="majorHAnsi"/>
          <w:sz w:val="24"/>
          <w:szCs w:val="24"/>
        </w:rPr>
        <w:t xml:space="preserve"> la 01.01.2018</w:t>
      </w:r>
      <w:r w:rsidR="00A9120E">
        <w:rPr>
          <w:rFonts w:asciiTheme="majorHAnsi" w:hAnsiTheme="majorHAnsi" w:cstheme="majorHAnsi"/>
          <w:sz w:val="24"/>
          <w:szCs w:val="24"/>
        </w:rPr>
        <w:t>,</w:t>
      </w:r>
      <w:r w:rsidR="001027B6">
        <w:rPr>
          <w:rFonts w:asciiTheme="majorHAnsi" w:hAnsiTheme="majorHAnsi" w:cstheme="majorHAnsi"/>
          <w:sz w:val="24"/>
          <w:szCs w:val="24"/>
        </w:rPr>
        <w:t xml:space="preserve"> după partidele politice </w:t>
      </w:r>
      <w:r w:rsidR="00946193">
        <w:rPr>
          <w:rFonts w:asciiTheme="majorHAnsi" w:hAnsiTheme="majorHAnsi" w:cstheme="majorHAnsi"/>
          <w:sz w:val="24"/>
          <w:szCs w:val="24"/>
        </w:rPr>
        <w:t>erau</w:t>
      </w:r>
      <w:r w:rsidR="001027B6">
        <w:rPr>
          <w:rFonts w:asciiTheme="majorHAnsi" w:hAnsiTheme="majorHAnsi" w:cstheme="majorHAnsi"/>
          <w:sz w:val="24"/>
          <w:szCs w:val="24"/>
        </w:rPr>
        <w:t xml:space="preserve"> înregistrate solduri de mijloace bugetare</w:t>
      </w:r>
      <w:r w:rsidR="00793C62">
        <w:rPr>
          <w:rFonts w:asciiTheme="majorHAnsi" w:hAnsiTheme="majorHAnsi" w:cstheme="majorHAnsi"/>
          <w:sz w:val="24"/>
          <w:szCs w:val="24"/>
        </w:rPr>
        <w:t xml:space="preserve"> </w:t>
      </w:r>
      <w:r w:rsidR="001027B6">
        <w:rPr>
          <w:rFonts w:asciiTheme="majorHAnsi" w:hAnsiTheme="majorHAnsi" w:cstheme="majorHAnsi"/>
          <w:sz w:val="24"/>
          <w:szCs w:val="24"/>
        </w:rPr>
        <w:t>în sumă de 40,2 mil.</w:t>
      </w:r>
      <w:r w:rsidR="00946193">
        <w:rPr>
          <w:rFonts w:asciiTheme="majorHAnsi" w:hAnsiTheme="majorHAnsi" w:cstheme="majorHAnsi"/>
          <w:sz w:val="24"/>
          <w:szCs w:val="24"/>
        </w:rPr>
        <w:t xml:space="preserve"> </w:t>
      </w:r>
      <w:r w:rsidR="007160B9">
        <w:rPr>
          <w:rFonts w:asciiTheme="majorHAnsi" w:hAnsiTheme="majorHAnsi" w:cstheme="majorHAnsi"/>
          <w:sz w:val="24"/>
          <w:szCs w:val="24"/>
        </w:rPr>
        <w:t>MDL</w:t>
      </w:r>
      <w:r w:rsidR="00946193">
        <w:rPr>
          <w:rFonts w:asciiTheme="majorHAnsi" w:hAnsiTheme="majorHAnsi" w:cstheme="majorHAnsi"/>
          <w:sz w:val="24"/>
          <w:szCs w:val="24"/>
        </w:rPr>
        <w:t xml:space="preserve">, iar la 31.12.2018 </w:t>
      </w:r>
      <w:r w:rsidR="00132BC6">
        <w:rPr>
          <w:rFonts w:asciiTheme="majorHAnsi" w:hAnsiTheme="majorHAnsi" w:cstheme="majorHAnsi"/>
          <w:sz w:val="24"/>
          <w:szCs w:val="24"/>
        </w:rPr>
        <w:t xml:space="preserve">– </w:t>
      </w:r>
      <w:r w:rsidR="00946193">
        <w:rPr>
          <w:rFonts w:asciiTheme="majorHAnsi" w:hAnsiTheme="majorHAnsi" w:cstheme="majorHAnsi"/>
          <w:sz w:val="24"/>
          <w:szCs w:val="24"/>
        </w:rPr>
        <w:t xml:space="preserve">în sumă de 46,9 mil. </w:t>
      </w:r>
      <w:r w:rsidR="007160B9">
        <w:rPr>
          <w:rFonts w:asciiTheme="majorHAnsi" w:hAnsiTheme="majorHAnsi" w:cstheme="majorHAnsi"/>
          <w:sz w:val="24"/>
          <w:szCs w:val="24"/>
        </w:rPr>
        <w:t>MDL</w:t>
      </w:r>
      <w:r w:rsidR="00946193">
        <w:rPr>
          <w:rFonts w:asciiTheme="majorHAnsi" w:hAnsiTheme="majorHAnsi" w:cstheme="majorHAnsi"/>
          <w:sz w:val="24"/>
          <w:szCs w:val="24"/>
        </w:rPr>
        <w:t>.</w:t>
      </w:r>
    </w:p>
    <w:p w:rsidR="008420F3" w:rsidRPr="00270A79" w:rsidRDefault="00793C62" w:rsidP="001027B6">
      <w:pPr>
        <w:spacing w:line="276" w:lineRule="auto"/>
        <w:contextualSpacing/>
        <w:jc w:val="both"/>
        <w:rPr>
          <w:rFonts w:asciiTheme="majorHAnsi" w:hAnsiTheme="majorHAnsi" w:cstheme="majorHAnsi"/>
          <w:b/>
          <w:sz w:val="24"/>
          <w:szCs w:val="24"/>
        </w:rPr>
      </w:pPr>
      <w:r>
        <w:rPr>
          <w:rFonts w:asciiTheme="majorHAnsi" w:hAnsiTheme="majorHAnsi" w:cstheme="majorHAnsi"/>
          <w:sz w:val="24"/>
          <w:szCs w:val="24"/>
        </w:rPr>
        <w:t xml:space="preserve">    </w:t>
      </w:r>
      <w:r w:rsidR="00A9120E">
        <w:rPr>
          <w:rFonts w:asciiTheme="majorHAnsi" w:hAnsiTheme="majorHAnsi" w:cstheme="majorHAnsi"/>
          <w:sz w:val="24"/>
          <w:szCs w:val="24"/>
        </w:rPr>
        <w:tab/>
      </w:r>
      <w:r w:rsidR="008420F3" w:rsidRPr="00270A79">
        <w:rPr>
          <w:rFonts w:asciiTheme="majorHAnsi" w:eastAsiaTheme="minorEastAsia" w:hAnsiTheme="majorHAnsi" w:cstheme="majorHAnsi"/>
          <w:bCs/>
          <w:iCs/>
          <w:sz w:val="24"/>
          <w:szCs w:val="24"/>
          <w:lang w:eastAsia="ru-RU"/>
        </w:rPr>
        <w:t xml:space="preserve">Analiza cheltuielilor în </w:t>
      </w:r>
      <w:r w:rsidR="008420F3" w:rsidRPr="00270A79">
        <w:rPr>
          <w:rFonts w:asciiTheme="majorHAnsi" w:hAnsiTheme="majorHAnsi" w:cstheme="majorHAnsi"/>
          <w:sz w:val="24"/>
          <w:szCs w:val="24"/>
        </w:rPr>
        <w:t>aspectul clasificației funcționale</w:t>
      </w:r>
      <w:r w:rsidR="008420F3" w:rsidRPr="00270A79">
        <w:rPr>
          <w:rFonts w:asciiTheme="majorHAnsi" w:eastAsiaTheme="minorEastAsia" w:hAnsiTheme="majorHAnsi" w:cstheme="majorHAnsi"/>
          <w:bCs/>
          <w:iCs/>
          <w:sz w:val="24"/>
          <w:szCs w:val="24"/>
          <w:lang w:eastAsia="ru-RU"/>
        </w:rPr>
        <w:t xml:space="preserve"> denotă că limitele alocațiilor precizate pe an pentru executarea cheltuielilor nu au fost valorificate integral </w:t>
      </w:r>
      <w:r w:rsidR="008420F3">
        <w:rPr>
          <w:rFonts w:asciiTheme="majorHAnsi" w:eastAsiaTheme="minorEastAsia" w:hAnsiTheme="majorHAnsi" w:cstheme="majorHAnsi"/>
          <w:bCs/>
          <w:iCs/>
          <w:sz w:val="24"/>
          <w:szCs w:val="24"/>
          <w:lang w:eastAsia="ru-RU"/>
        </w:rPr>
        <w:t xml:space="preserve">în sumă totală de 3 323,6 mil. </w:t>
      </w:r>
      <w:r w:rsidR="007160B9">
        <w:rPr>
          <w:rFonts w:asciiTheme="majorHAnsi" w:eastAsiaTheme="minorEastAsia" w:hAnsiTheme="majorHAnsi" w:cstheme="majorHAnsi"/>
          <w:bCs/>
          <w:iCs/>
          <w:sz w:val="24"/>
          <w:szCs w:val="24"/>
          <w:lang w:eastAsia="ru-RU"/>
        </w:rPr>
        <w:t>MDL</w:t>
      </w:r>
      <w:r w:rsidR="008420F3" w:rsidRPr="00270A79">
        <w:rPr>
          <w:rFonts w:asciiTheme="majorHAnsi" w:eastAsiaTheme="minorEastAsia" w:hAnsiTheme="majorHAnsi" w:cstheme="majorHAnsi"/>
          <w:bCs/>
          <w:iCs/>
          <w:sz w:val="24"/>
          <w:szCs w:val="24"/>
          <w:lang w:eastAsia="ru-RU"/>
        </w:rPr>
        <w:t xml:space="preserve"> </w:t>
      </w:r>
      <w:r w:rsidR="008420F3">
        <w:rPr>
          <w:rFonts w:asciiTheme="majorHAnsi" w:eastAsiaTheme="minorEastAsia" w:hAnsiTheme="majorHAnsi" w:cstheme="majorHAnsi"/>
          <w:bCs/>
          <w:iCs/>
          <w:sz w:val="24"/>
          <w:szCs w:val="24"/>
          <w:lang w:eastAsia="ru-RU"/>
        </w:rPr>
        <w:t xml:space="preserve">și, respectiv, </w:t>
      </w:r>
      <w:r w:rsidR="008420F3" w:rsidRPr="00270A79">
        <w:rPr>
          <w:rFonts w:asciiTheme="majorHAnsi" w:eastAsiaTheme="minorEastAsia" w:hAnsiTheme="majorHAnsi" w:cstheme="majorHAnsi"/>
          <w:bCs/>
          <w:iCs/>
          <w:sz w:val="24"/>
          <w:szCs w:val="24"/>
          <w:lang w:eastAsia="ru-RU"/>
        </w:rPr>
        <w:t xml:space="preserve">la niciuna din grupele principale de cheltuieli. </w:t>
      </w:r>
      <w:r w:rsidR="008420F3" w:rsidRPr="00270A79">
        <w:rPr>
          <w:rFonts w:asciiTheme="majorHAnsi" w:eastAsiaTheme="minorEastAsia" w:hAnsiTheme="majorHAnsi" w:cstheme="majorHAnsi"/>
          <w:bCs/>
          <w:i/>
          <w:iCs/>
          <w:sz w:val="24"/>
          <w:szCs w:val="24"/>
          <w:lang w:eastAsia="ru-RU"/>
        </w:rPr>
        <w:t xml:space="preserve">Situația analizată este prezentată </w:t>
      </w:r>
      <w:r w:rsidR="008420F3" w:rsidRPr="00270A79">
        <w:rPr>
          <w:rFonts w:asciiTheme="majorHAnsi" w:hAnsiTheme="majorHAnsi" w:cstheme="majorHAnsi"/>
          <w:i/>
          <w:sz w:val="24"/>
          <w:szCs w:val="24"/>
        </w:rPr>
        <w:t>în</w:t>
      </w:r>
      <w:r w:rsidR="008420F3" w:rsidRPr="00270A79">
        <w:rPr>
          <w:rFonts w:asciiTheme="majorHAnsi" w:hAnsiTheme="majorHAnsi" w:cstheme="majorHAnsi"/>
          <w:sz w:val="24"/>
          <w:szCs w:val="24"/>
        </w:rPr>
        <w:t xml:space="preserve"> </w:t>
      </w:r>
      <w:r w:rsidR="008420F3" w:rsidRPr="00270A79">
        <w:rPr>
          <w:rFonts w:asciiTheme="majorHAnsi" w:hAnsiTheme="majorHAnsi" w:cstheme="majorHAnsi"/>
          <w:i/>
          <w:sz w:val="24"/>
          <w:szCs w:val="24"/>
        </w:rPr>
        <w:t>Tabelul nr.</w:t>
      </w:r>
      <w:r w:rsidR="00523058">
        <w:rPr>
          <w:rFonts w:asciiTheme="majorHAnsi" w:hAnsiTheme="majorHAnsi" w:cstheme="majorHAnsi"/>
          <w:i/>
          <w:sz w:val="24"/>
          <w:szCs w:val="24"/>
        </w:rPr>
        <w:t>13</w:t>
      </w:r>
      <w:r w:rsidR="008420F3" w:rsidRPr="00270A79">
        <w:rPr>
          <w:rFonts w:asciiTheme="majorHAnsi" w:hAnsiTheme="majorHAnsi" w:cstheme="majorHAnsi"/>
          <w:sz w:val="24"/>
          <w:szCs w:val="24"/>
        </w:rPr>
        <w:t>.</w:t>
      </w:r>
    </w:p>
    <w:p w:rsidR="008420F3" w:rsidRPr="007D1242" w:rsidRDefault="00523058" w:rsidP="00321962">
      <w:pPr>
        <w:spacing w:after="0" w:line="240" w:lineRule="auto"/>
        <w:ind w:firstLine="709"/>
        <w:jc w:val="right"/>
        <w:rPr>
          <w:rFonts w:asciiTheme="majorHAnsi" w:eastAsia="Times New Roman" w:hAnsiTheme="majorHAnsi" w:cstheme="majorHAnsi"/>
          <w:i/>
          <w:sz w:val="24"/>
          <w:szCs w:val="24"/>
          <w:lang w:eastAsia="ru-RU"/>
        </w:rPr>
      </w:pPr>
      <w:r>
        <w:rPr>
          <w:rFonts w:asciiTheme="majorHAnsi" w:eastAsia="Times New Roman" w:hAnsiTheme="majorHAnsi" w:cstheme="majorHAnsi"/>
          <w:i/>
          <w:sz w:val="24"/>
          <w:szCs w:val="24"/>
          <w:lang w:eastAsia="ru-RU"/>
        </w:rPr>
        <w:t>Tabelul nr.13</w:t>
      </w:r>
    </w:p>
    <w:p w:rsidR="00D608D4" w:rsidRDefault="008420F3" w:rsidP="00321962">
      <w:pPr>
        <w:spacing w:after="0" w:line="240" w:lineRule="auto"/>
        <w:jc w:val="center"/>
        <w:rPr>
          <w:rFonts w:asciiTheme="majorHAnsi" w:eastAsia="Times New Roman" w:hAnsiTheme="majorHAnsi" w:cstheme="majorHAnsi"/>
          <w:b/>
          <w:sz w:val="24"/>
          <w:szCs w:val="24"/>
          <w:lang w:eastAsia="ru-RU"/>
        </w:rPr>
      </w:pPr>
      <w:r w:rsidRPr="007D1242">
        <w:rPr>
          <w:rFonts w:asciiTheme="majorHAnsi" w:eastAsia="Times New Roman" w:hAnsiTheme="majorHAnsi" w:cstheme="majorHAnsi"/>
          <w:b/>
          <w:sz w:val="24"/>
          <w:szCs w:val="24"/>
          <w:lang w:eastAsia="ru-RU"/>
        </w:rPr>
        <w:t xml:space="preserve">Analiza executării cheltuielilor bugetului de stat în aspect funcțional pe anul 2018, </w:t>
      </w:r>
    </w:p>
    <w:p w:rsidR="008420F3" w:rsidRDefault="008420F3" w:rsidP="00321962">
      <w:pPr>
        <w:spacing w:after="0" w:line="240" w:lineRule="auto"/>
        <w:jc w:val="center"/>
        <w:rPr>
          <w:rFonts w:asciiTheme="majorHAnsi" w:eastAsia="Times New Roman" w:hAnsiTheme="majorHAnsi" w:cstheme="majorHAnsi"/>
          <w:b/>
          <w:sz w:val="24"/>
          <w:szCs w:val="24"/>
          <w:lang w:eastAsia="ru-RU"/>
        </w:rPr>
      </w:pPr>
      <w:r w:rsidRPr="007D1242">
        <w:rPr>
          <w:rFonts w:asciiTheme="majorHAnsi" w:eastAsia="Times New Roman" w:hAnsiTheme="majorHAnsi" w:cstheme="majorHAnsi"/>
          <w:b/>
          <w:sz w:val="24"/>
          <w:szCs w:val="24"/>
          <w:lang w:eastAsia="ru-RU"/>
        </w:rPr>
        <w:t>comparativ cu anul 2017</w:t>
      </w:r>
    </w:p>
    <w:p w:rsidR="008420F3" w:rsidRPr="007D1242" w:rsidRDefault="008420F3" w:rsidP="00321962">
      <w:pPr>
        <w:spacing w:after="0" w:line="240" w:lineRule="auto"/>
        <w:jc w:val="right"/>
        <w:rPr>
          <w:rFonts w:asciiTheme="majorHAnsi" w:eastAsia="Times New Roman" w:hAnsiTheme="majorHAnsi" w:cstheme="majorHAnsi"/>
          <w:b/>
          <w:sz w:val="24"/>
          <w:szCs w:val="24"/>
          <w:lang w:eastAsia="ru-RU"/>
        </w:rPr>
      </w:pPr>
      <w:r>
        <w:rPr>
          <w:rFonts w:asciiTheme="majorHAnsi" w:eastAsia="Times New Roman" w:hAnsiTheme="majorHAnsi" w:cstheme="majorHAnsi"/>
          <w:b/>
          <w:sz w:val="24"/>
          <w:szCs w:val="24"/>
          <w:lang w:eastAsia="ru-RU"/>
        </w:rPr>
        <w:t xml:space="preserve">(mil. </w:t>
      </w:r>
      <w:r w:rsidR="007160B9">
        <w:rPr>
          <w:rFonts w:asciiTheme="majorHAnsi" w:eastAsia="Times New Roman" w:hAnsiTheme="majorHAnsi" w:cstheme="majorHAnsi"/>
          <w:b/>
          <w:sz w:val="24"/>
          <w:szCs w:val="24"/>
          <w:lang w:eastAsia="ru-RU"/>
        </w:rPr>
        <w:t>MDL</w:t>
      </w:r>
      <w:r>
        <w:rPr>
          <w:rFonts w:asciiTheme="majorHAnsi" w:eastAsia="Times New Roman" w:hAnsiTheme="majorHAnsi" w:cstheme="majorHAnsi"/>
          <w:b/>
          <w:sz w:val="24"/>
          <w:szCs w:val="24"/>
          <w:lang w:eastAsia="ru-RU"/>
        </w:rPr>
        <w:t>)</w:t>
      </w:r>
    </w:p>
    <w:tbl>
      <w:tblPr>
        <w:tblStyle w:val="GridTable1Light1"/>
        <w:tblW w:w="9631" w:type="dxa"/>
        <w:tblLayout w:type="fixed"/>
        <w:tblLook w:val="04A0" w:firstRow="1" w:lastRow="0" w:firstColumn="1" w:lastColumn="0" w:noHBand="0" w:noVBand="1"/>
      </w:tblPr>
      <w:tblGrid>
        <w:gridCol w:w="3256"/>
        <w:gridCol w:w="845"/>
        <w:gridCol w:w="968"/>
        <w:gridCol w:w="992"/>
        <w:gridCol w:w="739"/>
        <w:gridCol w:w="1130"/>
        <w:gridCol w:w="851"/>
        <w:gridCol w:w="850"/>
      </w:tblGrid>
      <w:tr w:rsidR="008420F3" w:rsidRPr="005D45E9" w:rsidTr="007F3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tcPr>
          <w:p w:rsidR="008420F3" w:rsidRPr="005D45E9" w:rsidRDefault="008420F3" w:rsidP="00397B4C">
            <w:pPr>
              <w:jc w:val="center"/>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br w:type="page"/>
              <w:t>Indicatori</w:t>
            </w:r>
          </w:p>
        </w:tc>
        <w:tc>
          <w:tcPr>
            <w:tcW w:w="845" w:type="dxa"/>
            <w:vMerge w:val="restart"/>
          </w:tcPr>
          <w:p w:rsidR="008420F3" w:rsidRPr="005D45E9" w:rsidRDefault="008420F3" w:rsidP="00397B4C">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Precizat pe an</w:t>
            </w:r>
          </w:p>
        </w:tc>
        <w:tc>
          <w:tcPr>
            <w:tcW w:w="968" w:type="dxa"/>
            <w:vMerge w:val="restart"/>
          </w:tcPr>
          <w:p w:rsidR="008420F3" w:rsidRPr="005D45E9" w:rsidRDefault="008420F3" w:rsidP="00397B4C">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 xml:space="preserve">Executat </w:t>
            </w:r>
            <w:r w:rsidR="00132BC6">
              <w:rPr>
                <w:rFonts w:asciiTheme="majorHAnsi" w:eastAsia="Times New Roman" w:hAnsiTheme="majorHAnsi" w:cstheme="majorHAnsi"/>
                <w:lang w:eastAsia="ru-RU"/>
              </w:rPr>
              <w:t xml:space="preserve">în </w:t>
            </w:r>
            <w:r w:rsidRPr="005D45E9">
              <w:rPr>
                <w:rFonts w:asciiTheme="majorHAnsi" w:eastAsia="Times New Roman" w:hAnsiTheme="majorHAnsi" w:cstheme="majorHAnsi"/>
                <w:lang w:eastAsia="ru-RU"/>
              </w:rPr>
              <w:t>anul curent</w:t>
            </w:r>
          </w:p>
        </w:tc>
        <w:tc>
          <w:tcPr>
            <w:tcW w:w="1731" w:type="dxa"/>
            <w:gridSpan w:val="2"/>
          </w:tcPr>
          <w:p w:rsidR="008420F3" w:rsidRPr="005D45E9" w:rsidRDefault="008420F3" w:rsidP="00397B4C">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Executat față de precizat pe an</w:t>
            </w:r>
          </w:p>
        </w:tc>
        <w:tc>
          <w:tcPr>
            <w:tcW w:w="1130" w:type="dxa"/>
            <w:vMerge w:val="restart"/>
          </w:tcPr>
          <w:p w:rsidR="008420F3" w:rsidRDefault="008420F3" w:rsidP="00397B4C">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ru-RU"/>
              </w:rPr>
            </w:pPr>
            <w:r w:rsidRPr="005D45E9">
              <w:rPr>
                <w:rFonts w:asciiTheme="majorHAnsi" w:eastAsia="Times New Roman" w:hAnsiTheme="majorHAnsi" w:cstheme="majorHAnsi"/>
                <w:lang w:eastAsia="ru-RU"/>
              </w:rPr>
              <w:t xml:space="preserve">Executat </w:t>
            </w:r>
          </w:p>
          <w:p w:rsidR="008420F3" w:rsidRPr="005D45E9" w:rsidRDefault="008420F3" w:rsidP="00397B4C">
            <w:pPr>
              <w:ind w:left="-9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în anul precedent</w:t>
            </w:r>
          </w:p>
        </w:tc>
        <w:tc>
          <w:tcPr>
            <w:tcW w:w="1701" w:type="dxa"/>
            <w:gridSpan w:val="2"/>
          </w:tcPr>
          <w:p w:rsidR="008420F3" w:rsidRPr="005D45E9" w:rsidRDefault="008420F3" w:rsidP="00397B4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 xml:space="preserve">Executat </w:t>
            </w:r>
            <w:r w:rsidR="00132BC6">
              <w:rPr>
                <w:rFonts w:asciiTheme="majorHAnsi" w:eastAsia="Times New Roman" w:hAnsiTheme="majorHAnsi" w:cstheme="majorHAnsi"/>
                <w:lang w:eastAsia="ru-RU"/>
              </w:rPr>
              <w:t xml:space="preserve">în </w:t>
            </w:r>
            <w:r w:rsidRPr="005D45E9">
              <w:rPr>
                <w:rFonts w:asciiTheme="majorHAnsi" w:eastAsia="Times New Roman" w:hAnsiTheme="majorHAnsi" w:cstheme="majorHAnsi"/>
                <w:lang w:eastAsia="ru-RU"/>
              </w:rPr>
              <w:t xml:space="preserve">anul curent față de </w:t>
            </w:r>
            <w:r w:rsidR="00132BC6">
              <w:rPr>
                <w:rFonts w:asciiTheme="majorHAnsi" w:eastAsia="Times New Roman" w:hAnsiTheme="majorHAnsi" w:cstheme="majorHAnsi"/>
                <w:lang w:eastAsia="ru-RU"/>
              </w:rPr>
              <w:t xml:space="preserve">anul </w:t>
            </w:r>
            <w:r w:rsidRPr="005D45E9">
              <w:rPr>
                <w:rFonts w:asciiTheme="majorHAnsi" w:eastAsia="Times New Roman" w:hAnsiTheme="majorHAnsi" w:cstheme="majorHAnsi"/>
                <w:lang w:eastAsia="ru-RU"/>
              </w:rPr>
              <w:t>precedent</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vMerge/>
          </w:tcPr>
          <w:p w:rsidR="008420F3" w:rsidRPr="005D45E9" w:rsidRDefault="008420F3" w:rsidP="00397B4C">
            <w:pPr>
              <w:jc w:val="center"/>
              <w:rPr>
                <w:rFonts w:asciiTheme="majorHAnsi" w:eastAsia="Times New Roman" w:hAnsiTheme="majorHAnsi" w:cstheme="majorHAnsi"/>
                <w:lang w:eastAsia="ru-RU"/>
              </w:rPr>
            </w:pPr>
          </w:p>
        </w:tc>
        <w:tc>
          <w:tcPr>
            <w:tcW w:w="845" w:type="dxa"/>
            <w:vMerge/>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968" w:type="dxa"/>
            <w:vMerge/>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992" w:type="dxa"/>
          </w:tcPr>
          <w:p w:rsidR="008420F3"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5D45E9">
              <w:rPr>
                <w:rFonts w:asciiTheme="majorHAnsi" w:eastAsia="Times New Roman" w:hAnsiTheme="majorHAnsi" w:cstheme="majorHAnsi"/>
                <w:b/>
                <w:lang w:eastAsia="ru-RU"/>
              </w:rPr>
              <w:t xml:space="preserve">devieri </w:t>
            </w:r>
          </w:p>
          <w:p w:rsidR="008420F3" w:rsidRPr="005D45E9"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5D45E9">
              <w:rPr>
                <w:rFonts w:asciiTheme="majorHAnsi" w:eastAsia="Times New Roman" w:hAnsiTheme="majorHAnsi" w:cstheme="majorHAnsi"/>
                <w:b/>
                <w:lang w:eastAsia="ru-RU"/>
              </w:rPr>
              <w:t>(+/-)</w:t>
            </w:r>
          </w:p>
        </w:tc>
        <w:tc>
          <w:tcPr>
            <w:tcW w:w="739"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5D45E9">
              <w:rPr>
                <w:rFonts w:asciiTheme="majorHAnsi" w:eastAsia="Times New Roman" w:hAnsiTheme="majorHAnsi" w:cstheme="majorHAnsi"/>
                <w:b/>
                <w:lang w:eastAsia="ru-RU"/>
              </w:rPr>
              <w:t>în %</w:t>
            </w:r>
          </w:p>
        </w:tc>
        <w:tc>
          <w:tcPr>
            <w:tcW w:w="1130" w:type="dxa"/>
            <w:vMerge/>
          </w:tcPr>
          <w:p w:rsidR="008420F3" w:rsidRPr="005D45E9"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p>
        </w:tc>
        <w:tc>
          <w:tcPr>
            <w:tcW w:w="851" w:type="dxa"/>
          </w:tcPr>
          <w:p w:rsidR="008420F3" w:rsidRPr="005D45E9"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5D45E9">
              <w:rPr>
                <w:rFonts w:asciiTheme="majorHAnsi" w:eastAsia="Times New Roman" w:hAnsiTheme="majorHAnsi" w:cstheme="majorHAnsi"/>
                <w:b/>
                <w:lang w:eastAsia="ru-RU"/>
              </w:rPr>
              <w:t>devieri (+/-)</w:t>
            </w:r>
          </w:p>
        </w:tc>
        <w:tc>
          <w:tcPr>
            <w:tcW w:w="850"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eastAsia="ru-RU"/>
              </w:rPr>
            </w:pPr>
            <w:r w:rsidRPr="005D45E9">
              <w:rPr>
                <w:rFonts w:asciiTheme="majorHAnsi" w:eastAsia="Times New Roman" w:hAnsiTheme="majorHAnsi" w:cstheme="majorHAnsi"/>
                <w:b/>
                <w:lang w:eastAsia="ru-RU"/>
              </w:rPr>
              <w:t>în %</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ind w:right="-105"/>
              <w:jc w:val="center"/>
              <w:rPr>
                <w:rFonts w:asciiTheme="majorHAnsi" w:eastAsia="Times New Roman" w:hAnsiTheme="majorHAnsi" w:cstheme="majorHAnsi"/>
                <w:b w:val="0"/>
                <w:i/>
                <w:sz w:val="16"/>
                <w:szCs w:val="16"/>
                <w:lang w:eastAsia="ru-RU"/>
              </w:rPr>
            </w:pPr>
            <w:r w:rsidRPr="005D45E9">
              <w:rPr>
                <w:rFonts w:asciiTheme="majorHAnsi" w:eastAsia="Times New Roman" w:hAnsiTheme="majorHAnsi" w:cstheme="majorHAnsi"/>
                <w:b w:val="0"/>
                <w:i/>
                <w:sz w:val="16"/>
                <w:szCs w:val="16"/>
                <w:lang w:eastAsia="ru-RU"/>
              </w:rPr>
              <w:t>1</w:t>
            </w:r>
          </w:p>
        </w:tc>
        <w:tc>
          <w:tcPr>
            <w:tcW w:w="845"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en-US"/>
              </w:rPr>
            </w:pPr>
            <w:r>
              <w:rPr>
                <w:rFonts w:asciiTheme="majorHAnsi" w:eastAsia="Times New Roman" w:hAnsiTheme="majorHAnsi" w:cstheme="majorHAnsi"/>
                <w:i/>
                <w:color w:val="000000"/>
                <w:sz w:val="16"/>
                <w:szCs w:val="16"/>
                <w:lang w:val="en-US"/>
              </w:rPr>
              <w:t>2</w:t>
            </w:r>
          </w:p>
        </w:tc>
        <w:tc>
          <w:tcPr>
            <w:tcW w:w="968"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eastAsia="ru-RU"/>
              </w:rPr>
            </w:pPr>
            <w:r w:rsidRPr="005D45E9">
              <w:rPr>
                <w:rFonts w:asciiTheme="majorHAnsi" w:eastAsia="Times New Roman" w:hAnsiTheme="majorHAnsi" w:cstheme="majorHAnsi"/>
                <w:i/>
                <w:sz w:val="16"/>
                <w:szCs w:val="16"/>
                <w:lang w:eastAsia="ru-RU"/>
              </w:rPr>
              <w:t>3</w:t>
            </w:r>
          </w:p>
        </w:tc>
        <w:tc>
          <w:tcPr>
            <w:tcW w:w="992" w:type="dxa"/>
          </w:tcPr>
          <w:p w:rsidR="008420F3" w:rsidRPr="005D45E9" w:rsidRDefault="008420F3" w:rsidP="00397B4C">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en-US"/>
              </w:rPr>
            </w:pPr>
            <w:r w:rsidRPr="005D45E9">
              <w:rPr>
                <w:rFonts w:asciiTheme="majorHAnsi" w:eastAsia="Times New Roman" w:hAnsiTheme="majorHAnsi" w:cstheme="majorHAnsi"/>
                <w:bCs/>
                <w:i/>
                <w:color w:val="000000"/>
                <w:sz w:val="16"/>
                <w:szCs w:val="16"/>
                <w:lang w:val="en-US"/>
              </w:rPr>
              <w:t>4=3-2</w:t>
            </w:r>
          </w:p>
        </w:tc>
        <w:tc>
          <w:tcPr>
            <w:tcW w:w="739"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5D45E9">
              <w:rPr>
                <w:rFonts w:asciiTheme="majorHAnsi" w:hAnsiTheme="majorHAnsi" w:cstheme="majorHAnsi"/>
                <w:i/>
                <w:sz w:val="16"/>
                <w:szCs w:val="16"/>
              </w:rPr>
              <w:t>5=3/2*100</w:t>
            </w:r>
          </w:p>
        </w:tc>
        <w:tc>
          <w:tcPr>
            <w:tcW w:w="1130" w:type="dxa"/>
          </w:tcPr>
          <w:p w:rsidR="008420F3" w:rsidRPr="005D45E9"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5D45E9">
              <w:rPr>
                <w:rFonts w:asciiTheme="majorHAnsi" w:hAnsiTheme="majorHAnsi" w:cstheme="majorHAnsi"/>
                <w:i/>
                <w:sz w:val="16"/>
                <w:szCs w:val="16"/>
              </w:rPr>
              <w:t>6</w:t>
            </w:r>
          </w:p>
        </w:tc>
        <w:tc>
          <w:tcPr>
            <w:tcW w:w="851" w:type="dxa"/>
          </w:tcPr>
          <w:p w:rsidR="008420F3" w:rsidRPr="005D45E9" w:rsidRDefault="008420F3" w:rsidP="00397B4C">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5D45E9">
              <w:rPr>
                <w:rFonts w:asciiTheme="majorHAnsi" w:hAnsiTheme="majorHAnsi" w:cstheme="majorHAnsi"/>
                <w:i/>
                <w:sz w:val="16"/>
                <w:szCs w:val="16"/>
              </w:rPr>
              <w:t>7=3-6</w:t>
            </w:r>
          </w:p>
        </w:tc>
        <w:tc>
          <w:tcPr>
            <w:tcW w:w="850" w:type="dxa"/>
          </w:tcPr>
          <w:p w:rsidR="008420F3" w:rsidRPr="005D45E9" w:rsidRDefault="008420F3" w:rsidP="00397B4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rPr>
            </w:pPr>
            <w:r w:rsidRPr="005D45E9">
              <w:rPr>
                <w:rFonts w:asciiTheme="majorHAnsi" w:hAnsiTheme="majorHAnsi" w:cstheme="majorHAnsi"/>
                <w:i/>
                <w:sz w:val="16"/>
                <w:szCs w:val="16"/>
              </w:rPr>
              <w:t>8=3/6*100</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ind w:right="-105"/>
              <w:rPr>
                <w:rFonts w:asciiTheme="majorHAnsi" w:eastAsia="Times New Roman" w:hAnsiTheme="majorHAnsi" w:cstheme="majorHAnsi"/>
                <w:b w:val="0"/>
                <w:lang w:eastAsia="ru-RU"/>
              </w:rPr>
            </w:pPr>
            <w:r w:rsidRPr="005D45E9">
              <w:rPr>
                <w:rFonts w:asciiTheme="majorHAnsi" w:eastAsia="Times New Roman" w:hAnsiTheme="majorHAnsi" w:cstheme="majorHAnsi"/>
                <w:lang w:eastAsia="ru-RU"/>
              </w:rPr>
              <w:t>CHELTUIELI, total:</w:t>
            </w:r>
          </w:p>
        </w:tc>
        <w:tc>
          <w:tcPr>
            <w:tcW w:w="845" w:type="dxa"/>
          </w:tcPr>
          <w:p w:rsidR="008420F3" w:rsidRPr="00981899" w:rsidRDefault="008420F3" w:rsidP="00397B4C">
            <w:pPr>
              <w:ind w:left="-104"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en-US"/>
              </w:rPr>
            </w:pPr>
            <w:r w:rsidRPr="00981899">
              <w:rPr>
                <w:rFonts w:asciiTheme="majorHAnsi" w:eastAsia="Times New Roman" w:hAnsiTheme="majorHAnsi" w:cstheme="majorHAnsi"/>
                <w:b/>
                <w:color w:val="000000"/>
                <w:sz w:val="20"/>
                <w:szCs w:val="20"/>
                <w:lang w:val="en-US"/>
              </w:rPr>
              <w:t>42 031,9</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981899">
              <w:rPr>
                <w:rFonts w:asciiTheme="majorHAnsi" w:eastAsia="Times New Roman" w:hAnsiTheme="majorHAnsi" w:cstheme="majorHAnsi"/>
                <w:b/>
                <w:sz w:val="20"/>
                <w:szCs w:val="20"/>
                <w:lang w:eastAsia="ru-RU"/>
              </w:rPr>
              <w:t>38 708,3</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en-US"/>
              </w:rPr>
            </w:pPr>
            <w:r w:rsidRPr="00981899">
              <w:rPr>
                <w:rFonts w:asciiTheme="majorHAnsi" w:hAnsiTheme="majorHAnsi" w:cstheme="majorHAnsi"/>
                <w:b/>
                <w:color w:val="000000"/>
              </w:rPr>
              <w:t>-3 323,6</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en-US"/>
              </w:rPr>
            </w:pPr>
            <w:r w:rsidRPr="00981899">
              <w:rPr>
                <w:rFonts w:asciiTheme="majorHAnsi" w:hAnsiTheme="majorHAnsi" w:cstheme="majorHAnsi"/>
                <w:b/>
                <w:color w:val="000000"/>
              </w:rPr>
              <w:t>92,1</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eastAsia="ru-RU"/>
              </w:rPr>
            </w:pPr>
            <w:r w:rsidRPr="00981899">
              <w:rPr>
                <w:rFonts w:asciiTheme="majorHAnsi" w:eastAsia="Times New Roman" w:hAnsiTheme="majorHAnsi" w:cstheme="majorHAnsi"/>
                <w:b/>
                <w:sz w:val="20"/>
                <w:szCs w:val="20"/>
                <w:lang w:eastAsia="ru-RU"/>
              </w:rPr>
              <w:t>35479,1</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en-US"/>
              </w:rPr>
            </w:pPr>
            <w:r w:rsidRPr="00981899">
              <w:rPr>
                <w:rFonts w:asciiTheme="majorHAnsi" w:hAnsiTheme="majorHAnsi" w:cstheme="majorHAnsi"/>
                <w:b/>
                <w:color w:val="000000"/>
              </w:rPr>
              <w:t>3229,2</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en-US"/>
              </w:rPr>
            </w:pPr>
            <w:r w:rsidRPr="00981899">
              <w:rPr>
                <w:rFonts w:asciiTheme="majorHAnsi" w:hAnsiTheme="majorHAnsi" w:cstheme="majorHAnsi"/>
                <w:b/>
                <w:color w:val="000000"/>
              </w:rPr>
              <w:t>109,1</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7F3D51">
            <w:pPr>
              <w:ind w:right="37"/>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Servicii de stat cu destinație generală</w:t>
            </w:r>
          </w:p>
        </w:tc>
        <w:tc>
          <w:tcPr>
            <w:tcW w:w="845" w:type="dxa"/>
          </w:tcPr>
          <w:p w:rsidR="008420F3" w:rsidRPr="00981899" w:rsidRDefault="008420F3" w:rsidP="00397B4C">
            <w:pPr>
              <w:ind w:left="-100"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6 439,6</w:t>
            </w:r>
          </w:p>
        </w:tc>
        <w:tc>
          <w:tcPr>
            <w:tcW w:w="968" w:type="dxa"/>
          </w:tcPr>
          <w:p w:rsidR="008420F3" w:rsidRPr="00981899" w:rsidRDefault="008420F3" w:rsidP="00397B4C">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5 926,9</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-512,7</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92,0</w:t>
            </w:r>
          </w:p>
        </w:tc>
        <w:tc>
          <w:tcPr>
            <w:tcW w:w="1130" w:type="dxa"/>
          </w:tcPr>
          <w:p w:rsidR="008420F3" w:rsidRPr="00981899" w:rsidRDefault="008420F3" w:rsidP="00397B4C">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5896,5</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30,4</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100,5</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Apărare națională</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639,7</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631,7</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-8,0</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98,7</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557,4</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74,3</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113,3</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Ordine publică și securitate națională</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4 583,7</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4 357,6</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-226,1</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95,1</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4021,1</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336,5</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108,4</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Servicii în domeniul economiei</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7 461,5</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5 807,6</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-1 653,9</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77,8</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4769,8</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1037,8</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121,8</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Protecția mediului</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110,5</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99,5</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-11,0</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90,0</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104,2</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-4,7</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95,5</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 xml:space="preserve">Gospodăria de locuințe și gospodăria serviciilor </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459,2</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371,9</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-87,3</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81,0</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356,3</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15,6</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104,4</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 xml:space="preserve">Ocrotirea sănătății </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4 016,1</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3 646,0</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-370,1</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90,8</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3459,6</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186,4</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105,4</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lastRenderedPageBreak/>
              <w:t>Cultură, sport, tineret, culte și odihnă</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735,4</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700,2</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-35,2</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95,2</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658,8</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41,4</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106,3</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Învățământ</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9 964,3</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9 730,8</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-233,5</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97,7</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9001,7</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729,1</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108,1</w:t>
            </w:r>
          </w:p>
        </w:tc>
      </w:tr>
      <w:tr w:rsidR="008420F3" w:rsidRPr="005D45E9" w:rsidTr="007F3D51">
        <w:tc>
          <w:tcPr>
            <w:cnfStyle w:val="001000000000" w:firstRow="0" w:lastRow="0" w:firstColumn="1" w:lastColumn="0" w:oddVBand="0" w:evenVBand="0" w:oddHBand="0" w:evenHBand="0" w:firstRowFirstColumn="0" w:firstRowLastColumn="0" w:lastRowFirstColumn="0" w:lastRowLastColumn="0"/>
            <w:tcW w:w="3256" w:type="dxa"/>
          </w:tcPr>
          <w:p w:rsidR="008420F3" w:rsidRPr="005D45E9" w:rsidRDefault="008420F3" w:rsidP="00397B4C">
            <w:pPr>
              <w:rPr>
                <w:rFonts w:asciiTheme="majorHAnsi" w:eastAsia="Times New Roman" w:hAnsiTheme="majorHAnsi" w:cstheme="majorHAnsi"/>
                <w:b w:val="0"/>
                <w:lang w:eastAsia="ru-RU"/>
              </w:rPr>
            </w:pPr>
            <w:r w:rsidRPr="005D45E9">
              <w:rPr>
                <w:rFonts w:asciiTheme="majorHAnsi" w:eastAsia="Times New Roman" w:hAnsiTheme="majorHAnsi" w:cstheme="majorHAnsi"/>
                <w:b w:val="0"/>
                <w:lang w:eastAsia="ru-RU"/>
              </w:rPr>
              <w:t>Protecție socială</w:t>
            </w:r>
          </w:p>
        </w:tc>
        <w:tc>
          <w:tcPr>
            <w:tcW w:w="845" w:type="dxa"/>
          </w:tcPr>
          <w:p w:rsidR="008420F3" w:rsidRPr="00981899" w:rsidRDefault="008420F3" w:rsidP="00397B4C">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ru-RU"/>
              </w:rPr>
            </w:pPr>
            <w:r w:rsidRPr="00981899">
              <w:rPr>
                <w:rFonts w:asciiTheme="majorHAnsi" w:eastAsia="Times New Roman" w:hAnsiTheme="majorHAnsi" w:cstheme="majorHAnsi"/>
                <w:color w:val="000000"/>
                <w:sz w:val="20"/>
                <w:szCs w:val="20"/>
                <w:lang w:eastAsia="ru-RU"/>
              </w:rPr>
              <w:t>7 621,9</w:t>
            </w:r>
          </w:p>
        </w:tc>
        <w:tc>
          <w:tcPr>
            <w:tcW w:w="968"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7 436,1</w:t>
            </w:r>
          </w:p>
        </w:tc>
        <w:tc>
          <w:tcPr>
            <w:tcW w:w="992"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-185,8</w:t>
            </w:r>
          </w:p>
        </w:tc>
        <w:tc>
          <w:tcPr>
            <w:tcW w:w="739"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97,6</w:t>
            </w:r>
          </w:p>
        </w:tc>
        <w:tc>
          <w:tcPr>
            <w:tcW w:w="113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ru-RU"/>
              </w:rPr>
            </w:pPr>
            <w:r w:rsidRPr="00981899">
              <w:rPr>
                <w:rFonts w:asciiTheme="majorHAnsi" w:eastAsia="Times New Roman" w:hAnsiTheme="majorHAnsi" w:cstheme="majorHAnsi"/>
                <w:sz w:val="20"/>
                <w:szCs w:val="20"/>
                <w:lang w:eastAsia="ru-RU"/>
              </w:rPr>
              <w:t>6653,7</w:t>
            </w:r>
          </w:p>
        </w:tc>
        <w:tc>
          <w:tcPr>
            <w:tcW w:w="851"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782,4</w:t>
            </w:r>
          </w:p>
        </w:tc>
        <w:tc>
          <w:tcPr>
            <w:tcW w:w="850" w:type="dxa"/>
          </w:tcPr>
          <w:p w:rsidR="008420F3" w:rsidRPr="00981899" w:rsidRDefault="008420F3"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981899">
              <w:rPr>
                <w:rFonts w:asciiTheme="majorHAnsi" w:hAnsiTheme="majorHAnsi" w:cstheme="majorHAnsi"/>
                <w:color w:val="000000"/>
              </w:rPr>
              <w:t>111,8</w:t>
            </w:r>
          </w:p>
        </w:tc>
      </w:tr>
    </w:tbl>
    <w:p w:rsidR="008420F3" w:rsidRDefault="008420F3" w:rsidP="008420F3">
      <w:pPr>
        <w:spacing w:after="0" w:line="240" w:lineRule="auto"/>
        <w:jc w:val="both"/>
        <w:rPr>
          <w:rFonts w:asciiTheme="majorHAnsi" w:eastAsia="Times New Roman" w:hAnsiTheme="majorHAnsi" w:cstheme="majorHAnsi"/>
          <w:i/>
          <w:sz w:val="20"/>
          <w:szCs w:val="24"/>
          <w:lang w:eastAsia="ru-RU"/>
        </w:rPr>
      </w:pPr>
      <w:r w:rsidRPr="004B5FFC">
        <w:rPr>
          <w:rFonts w:asciiTheme="majorHAnsi" w:eastAsia="Times New Roman" w:hAnsiTheme="majorHAnsi" w:cstheme="majorHAnsi"/>
          <w:b/>
          <w:i/>
          <w:sz w:val="20"/>
          <w:szCs w:val="24"/>
          <w:lang w:eastAsia="ru-RU"/>
        </w:rPr>
        <w:t>Sursă:</w:t>
      </w:r>
      <w:r w:rsidRPr="004B5FFC">
        <w:rPr>
          <w:rFonts w:asciiTheme="majorHAnsi" w:eastAsia="Times New Roman" w:hAnsiTheme="majorHAnsi" w:cstheme="majorHAnsi"/>
          <w:i/>
          <w:sz w:val="20"/>
          <w:szCs w:val="24"/>
          <w:lang w:eastAsia="ru-RU"/>
        </w:rPr>
        <w:t xml:space="preserve"> Informații generalizate de echipa de audit conform Raportului privind executarea bugetului de stat pe anul 2018, Formularul nr.11.</w:t>
      </w:r>
    </w:p>
    <w:p w:rsidR="008420F3" w:rsidRPr="004B5FFC" w:rsidRDefault="008420F3" w:rsidP="008420F3">
      <w:pPr>
        <w:spacing w:after="0" w:line="240" w:lineRule="auto"/>
        <w:jc w:val="both"/>
        <w:rPr>
          <w:rFonts w:asciiTheme="majorHAnsi" w:eastAsia="Times New Roman" w:hAnsiTheme="majorHAnsi" w:cstheme="majorHAnsi"/>
          <w:szCs w:val="24"/>
          <w:lang w:eastAsia="ru-RU"/>
        </w:rPr>
      </w:pPr>
    </w:p>
    <w:p w:rsidR="008420F3" w:rsidRDefault="008420F3" w:rsidP="00FB186A">
      <w:pPr>
        <w:spacing w:after="0" w:line="276" w:lineRule="auto"/>
        <w:ind w:firstLine="709"/>
        <w:contextualSpacing/>
        <w:jc w:val="both"/>
        <w:rPr>
          <w:rFonts w:asciiTheme="majorHAnsi" w:eastAsiaTheme="minorEastAsia" w:hAnsiTheme="majorHAnsi" w:cstheme="majorHAnsi"/>
          <w:bCs/>
          <w:iCs/>
          <w:sz w:val="24"/>
          <w:szCs w:val="24"/>
          <w:lang w:eastAsia="ru-RU"/>
        </w:rPr>
      </w:pPr>
      <w:r w:rsidRPr="00A625E6">
        <w:rPr>
          <w:rFonts w:asciiTheme="majorHAnsi" w:eastAsiaTheme="minorEastAsia" w:hAnsiTheme="majorHAnsi" w:cstheme="majorHAnsi"/>
          <w:bCs/>
          <w:iCs/>
          <w:sz w:val="24"/>
          <w:szCs w:val="24"/>
          <w:lang w:eastAsia="ru-RU"/>
        </w:rPr>
        <w:t xml:space="preserve">Datele din tabel </w:t>
      </w:r>
      <w:r w:rsidR="00465934">
        <w:rPr>
          <w:rFonts w:asciiTheme="majorHAnsi" w:eastAsiaTheme="minorEastAsia" w:hAnsiTheme="majorHAnsi" w:cstheme="majorHAnsi"/>
          <w:bCs/>
          <w:iCs/>
          <w:sz w:val="24"/>
          <w:szCs w:val="24"/>
          <w:lang w:eastAsia="ru-RU"/>
        </w:rPr>
        <w:t>relevă</w:t>
      </w:r>
      <w:r w:rsidRPr="00A625E6">
        <w:rPr>
          <w:rFonts w:asciiTheme="majorHAnsi" w:eastAsiaTheme="minorEastAsia" w:hAnsiTheme="majorHAnsi" w:cstheme="majorHAnsi"/>
          <w:bCs/>
          <w:iCs/>
          <w:sz w:val="24"/>
          <w:szCs w:val="24"/>
          <w:lang w:eastAsia="ru-RU"/>
        </w:rPr>
        <w:t xml:space="preserve"> că c</w:t>
      </w:r>
      <w:r w:rsidRPr="00F65F26">
        <w:rPr>
          <w:rFonts w:asciiTheme="majorHAnsi" w:eastAsiaTheme="minorEastAsia" w:hAnsiTheme="majorHAnsi" w:cstheme="majorHAnsi"/>
          <w:bCs/>
          <w:iCs/>
          <w:sz w:val="24"/>
          <w:szCs w:val="24"/>
          <w:lang w:eastAsia="ru-RU"/>
        </w:rPr>
        <w:t xml:space="preserve">el mai scăzut nivel de realizare a cheltuielilor precizate pe an se atestă la </w:t>
      </w:r>
      <w:r w:rsidR="00132BC6">
        <w:rPr>
          <w:rFonts w:asciiTheme="majorHAnsi" w:eastAsiaTheme="minorEastAsia" w:hAnsiTheme="majorHAnsi" w:cstheme="majorHAnsi"/>
          <w:bCs/>
          <w:iCs/>
          <w:sz w:val="24"/>
          <w:szCs w:val="24"/>
          <w:lang w:eastAsia="ru-RU"/>
        </w:rPr>
        <w:t>„</w:t>
      </w:r>
      <w:r w:rsidRPr="00A625E6">
        <w:rPr>
          <w:rFonts w:asciiTheme="majorHAnsi" w:eastAsia="Times New Roman" w:hAnsiTheme="majorHAnsi" w:cstheme="majorHAnsi"/>
          <w:sz w:val="24"/>
          <w:szCs w:val="24"/>
          <w:lang w:eastAsia="ru-RU"/>
        </w:rPr>
        <w:t xml:space="preserve">Serviciile în domeniul economiei” (77,8%), </w:t>
      </w:r>
      <w:r w:rsidRPr="00F65F26">
        <w:rPr>
          <w:rFonts w:asciiTheme="majorHAnsi" w:eastAsiaTheme="minorEastAsia" w:hAnsiTheme="majorHAnsi" w:cstheme="majorHAnsi"/>
          <w:bCs/>
          <w:iCs/>
          <w:sz w:val="24"/>
          <w:szCs w:val="24"/>
          <w:lang w:eastAsia="ru-RU"/>
        </w:rPr>
        <w:t>„Gospodăria de locuințe și gospodăria serviciilor</w:t>
      </w:r>
      <w:r w:rsidRPr="00A625E6">
        <w:rPr>
          <w:rFonts w:asciiTheme="majorHAnsi" w:eastAsiaTheme="minorEastAsia" w:hAnsiTheme="majorHAnsi" w:cstheme="majorHAnsi"/>
          <w:bCs/>
          <w:iCs/>
          <w:sz w:val="24"/>
          <w:szCs w:val="24"/>
          <w:lang w:eastAsia="ru-RU"/>
        </w:rPr>
        <w:t>” (81,0</w:t>
      </w:r>
      <w:r>
        <w:rPr>
          <w:rFonts w:asciiTheme="majorHAnsi" w:eastAsiaTheme="minorEastAsia" w:hAnsiTheme="majorHAnsi" w:cstheme="majorHAnsi"/>
          <w:bCs/>
          <w:iCs/>
          <w:sz w:val="24"/>
          <w:szCs w:val="24"/>
          <w:lang w:eastAsia="ru-RU"/>
        </w:rPr>
        <w:t>%) și</w:t>
      </w:r>
      <w:r w:rsidRPr="00F65F26">
        <w:rPr>
          <w:rFonts w:asciiTheme="majorHAnsi" w:eastAsiaTheme="minorEastAsia" w:hAnsiTheme="majorHAnsi" w:cstheme="majorHAnsi"/>
          <w:bCs/>
          <w:iCs/>
          <w:sz w:val="24"/>
          <w:szCs w:val="24"/>
          <w:lang w:eastAsia="ru-RU"/>
        </w:rPr>
        <w:t xml:space="preserve"> „Protecția mediului</w:t>
      </w:r>
      <w:r w:rsidRPr="00A625E6">
        <w:rPr>
          <w:rFonts w:asciiTheme="majorHAnsi" w:eastAsiaTheme="minorEastAsia" w:hAnsiTheme="majorHAnsi" w:cstheme="majorHAnsi"/>
          <w:bCs/>
          <w:iCs/>
          <w:sz w:val="24"/>
          <w:szCs w:val="24"/>
          <w:lang w:eastAsia="ru-RU"/>
        </w:rPr>
        <w:t>” (90,0</w:t>
      </w:r>
      <w:r w:rsidRPr="00F65F26">
        <w:rPr>
          <w:rFonts w:asciiTheme="majorHAnsi" w:eastAsiaTheme="minorEastAsia" w:hAnsiTheme="majorHAnsi" w:cstheme="majorHAnsi"/>
          <w:bCs/>
          <w:iCs/>
          <w:sz w:val="24"/>
          <w:szCs w:val="24"/>
          <w:lang w:eastAsia="ru-RU"/>
        </w:rPr>
        <w:t>%)</w:t>
      </w:r>
      <w:r>
        <w:rPr>
          <w:rFonts w:asciiTheme="majorHAnsi" w:eastAsiaTheme="minorEastAsia" w:hAnsiTheme="majorHAnsi" w:cstheme="majorHAnsi"/>
          <w:bCs/>
          <w:iCs/>
          <w:sz w:val="24"/>
          <w:szCs w:val="24"/>
          <w:lang w:eastAsia="ru-RU"/>
        </w:rPr>
        <w:t>.</w:t>
      </w:r>
    </w:p>
    <w:p w:rsidR="008420F3" w:rsidRPr="004A6D24" w:rsidRDefault="008420F3" w:rsidP="008420F3">
      <w:pPr>
        <w:spacing w:after="0" w:line="276" w:lineRule="auto"/>
        <w:ind w:firstLine="709"/>
        <w:contextualSpacing/>
        <w:jc w:val="both"/>
        <w:rPr>
          <w:rFonts w:asciiTheme="majorHAnsi" w:eastAsiaTheme="minorEastAsia" w:hAnsiTheme="majorHAnsi" w:cstheme="majorHAnsi"/>
          <w:bCs/>
          <w:iCs/>
          <w:sz w:val="24"/>
          <w:szCs w:val="24"/>
          <w:lang w:eastAsia="ru-RU"/>
        </w:rPr>
      </w:pPr>
      <w:r w:rsidRPr="00F65F26">
        <w:rPr>
          <w:rFonts w:asciiTheme="majorHAnsi" w:eastAsiaTheme="minorEastAsia" w:hAnsiTheme="majorHAnsi" w:cstheme="majorHAnsi"/>
          <w:bCs/>
          <w:iCs/>
          <w:sz w:val="24"/>
          <w:szCs w:val="24"/>
          <w:lang w:eastAsia="ru-RU"/>
        </w:rPr>
        <w:t>Comparând cheltuielile executate în 201</w:t>
      </w:r>
      <w:r w:rsidRPr="00B2592C">
        <w:rPr>
          <w:rFonts w:asciiTheme="majorHAnsi" w:eastAsiaTheme="minorEastAsia" w:hAnsiTheme="majorHAnsi" w:cstheme="majorHAnsi"/>
          <w:bCs/>
          <w:iCs/>
          <w:sz w:val="24"/>
          <w:szCs w:val="24"/>
          <w:lang w:eastAsia="ru-RU"/>
        </w:rPr>
        <w:t>8</w:t>
      </w:r>
      <w:r w:rsidRPr="00F65F26">
        <w:rPr>
          <w:rFonts w:asciiTheme="majorHAnsi" w:eastAsiaTheme="minorEastAsia" w:hAnsiTheme="majorHAnsi" w:cstheme="majorHAnsi"/>
          <w:bCs/>
          <w:iCs/>
          <w:sz w:val="24"/>
          <w:szCs w:val="24"/>
          <w:lang w:eastAsia="ru-RU"/>
        </w:rPr>
        <w:t>, față de anul 201</w:t>
      </w:r>
      <w:r w:rsidRPr="00B2592C">
        <w:rPr>
          <w:rFonts w:asciiTheme="majorHAnsi" w:eastAsiaTheme="minorEastAsia" w:hAnsiTheme="majorHAnsi" w:cstheme="majorHAnsi"/>
          <w:bCs/>
          <w:iCs/>
          <w:sz w:val="24"/>
          <w:szCs w:val="24"/>
          <w:lang w:eastAsia="ru-RU"/>
        </w:rPr>
        <w:t>7</w:t>
      </w:r>
      <w:r w:rsidRPr="00F65F26">
        <w:rPr>
          <w:rFonts w:asciiTheme="majorHAnsi" w:eastAsiaTheme="minorEastAsia" w:hAnsiTheme="majorHAnsi" w:cstheme="majorHAnsi"/>
          <w:bCs/>
          <w:iCs/>
          <w:sz w:val="24"/>
          <w:szCs w:val="24"/>
          <w:lang w:eastAsia="ru-RU"/>
        </w:rPr>
        <w:t>, se observă că cele mai semnificative creșteri au fost înregistrate la „Servicii în domeniul economiei</w:t>
      </w:r>
      <w:r w:rsidRPr="00B2592C">
        <w:rPr>
          <w:rFonts w:asciiTheme="majorHAnsi" w:eastAsiaTheme="minorEastAsia" w:hAnsiTheme="majorHAnsi" w:cstheme="majorHAnsi"/>
          <w:bCs/>
          <w:iCs/>
          <w:sz w:val="24"/>
          <w:szCs w:val="24"/>
          <w:lang w:eastAsia="ru-RU"/>
        </w:rPr>
        <w:t>” – cu 21,8</w:t>
      </w:r>
      <w:r w:rsidRPr="00F65F26">
        <w:rPr>
          <w:rFonts w:asciiTheme="majorHAnsi" w:eastAsiaTheme="minorEastAsia" w:hAnsiTheme="majorHAnsi" w:cstheme="majorHAnsi"/>
          <w:bCs/>
          <w:iCs/>
          <w:sz w:val="24"/>
          <w:szCs w:val="24"/>
          <w:lang w:eastAsia="ru-RU"/>
        </w:rPr>
        <w:t xml:space="preserve">%, sau </w:t>
      </w:r>
      <w:r w:rsidRPr="00B2592C">
        <w:rPr>
          <w:rFonts w:asciiTheme="majorHAnsi" w:eastAsiaTheme="minorEastAsia" w:hAnsiTheme="majorHAnsi" w:cstheme="majorHAnsi"/>
          <w:bCs/>
          <w:iCs/>
          <w:sz w:val="24"/>
          <w:szCs w:val="24"/>
          <w:lang w:eastAsia="ru-RU"/>
        </w:rPr>
        <w:t>1 037,8</w:t>
      </w:r>
      <w:r w:rsidRPr="00F65F26">
        <w:rPr>
          <w:rFonts w:asciiTheme="majorHAnsi" w:eastAsiaTheme="minorEastAsia" w:hAnsiTheme="majorHAnsi" w:cstheme="majorHAnsi"/>
          <w:bCs/>
          <w:iCs/>
          <w:sz w:val="24"/>
          <w:szCs w:val="24"/>
          <w:lang w:eastAsia="ru-RU"/>
        </w:rPr>
        <w:t xml:space="preserve"> mil.</w:t>
      </w:r>
      <w:r w:rsidRPr="00B2592C">
        <w:rPr>
          <w:rFonts w:asciiTheme="majorHAnsi" w:eastAsiaTheme="minorEastAsia" w:hAnsiTheme="majorHAnsi" w:cstheme="majorHAnsi"/>
          <w:bCs/>
          <w:iCs/>
          <w:sz w:val="24"/>
          <w:szCs w:val="24"/>
          <w:lang w:eastAsia="ru-RU"/>
        </w:rPr>
        <w:t xml:space="preserve"> </w:t>
      </w:r>
      <w:r w:rsidR="007160B9">
        <w:rPr>
          <w:rFonts w:asciiTheme="majorHAnsi" w:eastAsiaTheme="minorEastAsia" w:hAnsiTheme="majorHAnsi" w:cstheme="majorHAnsi"/>
          <w:bCs/>
          <w:iCs/>
          <w:sz w:val="24"/>
          <w:szCs w:val="24"/>
          <w:lang w:eastAsia="ru-RU"/>
        </w:rPr>
        <w:t>MDL</w:t>
      </w:r>
      <w:r w:rsidRPr="00F65F26">
        <w:rPr>
          <w:rFonts w:asciiTheme="majorHAnsi" w:eastAsiaTheme="minorEastAsia" w:hAnsiTheme="majorHAnsi" w:cstheme="majorHAnsi"/>
          <w:bCs/>
          <w:iCs/>
          <w:sz w:val="24"/>
          <w:szCs w:val="24"/>
          <w:lang w:eastAsia="ru-RU"/>
        </w:rPr>
        <w:t>, urmate de cele executate la capitolele</w:t>
      </w:r>
      <w:r w:rsidRPr="00B2592C">
        <w:rPr>
          <w:rFonts w:asciiTheme="majorHAnsi" w:eastAsiaTheme="minorEastAsia" w:hAnsiTheme="majorHAnsi" w:cstheme="majorHAnsi"/>
          <w:bCs/>
          <w:iCs/>
          <w:sz w:val="24"/>
          <w:szCs w:val="24"/>
          <w:lang w:eastAsia="ru-RU"/>
        </w:rPr>
        <w:t xml:space="preserve"> </w:t>
      </w:r>
      <w:r w:rsidR="00132BC6">
        <w:rPr>
          <w:rFonts w:asciiTheme="majorHAnsi" w:eastAsiaTheme="minorEastAsia" w:hAnsiTheme="majorHAnsi" w:cstheme="majorHAnsi"/>
          <w:bCs/>
          <w:iCs/>
          <w:sz w:val="24"/>
          <w:szCs w:val="24"/>
          <w:lang w:eastAsia="ru-RU"/>
        </w:rPr>
        <w:t>„</w:t>
      </w:r>
      <w:r w:rsidRPr="00B2592C">
        <w:rPr>
          <w:rFonts w:asciiTheme="majorHAnsi" w:eastAsiaTheme="minorEastAsia" w:hAnsiTheme="majorHAnsi" w:cstheme="majorHAnsi"/>
          <w:bCs/>
          <w:iCs/>
          <w:sz w:val="24"/>
          <w:szCs w:val="24"/>
          <w:lang w:eastAsia="ru-RU"/>
        </w:rPr>
        <w:t>apărare națională” – cu 13,3%</w:t>
      </w:r>
      <w:r w:rsidR="00132BC6">
        <w:rPr>
          <w:rFonts w:asciiTheme="majorHAnsi" w:eastAsiaTheme="minorEastAsia" w:hAnsiTheme="majorHAnsi" w:cstheme="majorHAnsi"/>
          <w:bCs/>
          <w:iCs/>
          <w:sz w:val="24"/>
          <w:szCs w:val="24"/>
          <w:lang w:eastAsia="ru-RU"/>
        </w:rPr>
        <w:t>,</w:t>
      </w:r>
      <w:r w:rsidRPr="00B2592C">
        <w:rPr>
          <w:rFonts w:asciiTheme="majorHAnsi" w:eastAsiaTheme="minorEastAsia" w:hAnsiTheme="majorHAnsi" w:cstheme="majorHAnsi"/>
          <w:bCs/>
          <w:iCs/>
          <w:sz w:val="24"/>
          <w:szCs w:val="24"/>
          <w:lang w:eastAsia="ru-RU"/>
        </w:rPr>
        <w:t xml:space="preserve"> sau 74,3 mil. </w:t>
      </w:r>
      <w:r w:rsidR="007160B9">
        <w:rPr>
          <w:rFonts w:asciiTheme="majorHAnsi" w:eastAsiaTheme="minorEastAsia" w:hAnsiTheme="majorHAnsi" w:cstheme="majorHAnsi"/>
          <w:bCs/>
          <w:iCs/>
          <w:sz w:val="24"/>
          <w:szCs w:val="24"/>
          <w:lang w:eastAsia="ru-RU"/>
        </w:rPr>
        <w:t>MDL</w:t>
      </w:r>
      <w:r w:rsidR="00407E52">
        <w:rPr>
          <w:rFonts w:asciiTheme="majorHAnsi" w:eastAsiaTheme="minorEastAsia" w:hAnsiTheme="majorHAnsi" w:cstheme="majorHAnsi"/>
          <w:bCs/>
          <w:iCs/>
          <w:sz w:val="24"/>
          <w:szCs w:val="24"/>
          <w:lang w:eastAsia="ru-RU"/>
        </w:rPr>
        <w:t>,</w:t>
      </w:r>
      <w:r w:rsidRPr="00B2592C">
        <w:rPr>
          <w:rFonts w:asciiTheme="majorHAnsi" w:eastAsiaTheme="minorEastAsia" w:hAnsiTheme="majorHAnsi" w:cstheme="majorHAnsi"/>
          <w:bCs/>
          <w:iCs/>
          <w:sz w:val="24"/>
          <w:szCs w:val="24"/>
          <w:lang w:eastAsia="ru-RU"/>
        </w:rPr>
        <w:t xml:space="preserve"> și </w:t>
      </w:r>
      <w:r w:rsidRPr="00F65F26">
        <w:rPr>
          <w:rFonts w:asciiTheme="majorHAnsi" w:eastAsiaTheme="minorEastAsia" w:hAnsiTheme="majorHAnsi" w:cstheme="majorHAnsi"/>
          <w:bCs/>
          <w:iCs/>
          <w:sz w:val="24"/>
          <w:szCs w:val="24"/>
          <w:lang w:eastAsia="ru-RU"/>
        </w:rPr>
        <w:t xml:space="preserve">„Ordine publică și securitate națională” – cu </w:t>
      </w:r>
      <w:r w:rsidRPr="00B2592C">
        <w:rPr>
          <w:rFonts w:asciiTheme="majorHAnsi" w:eastAsiaTheme="minorEastAsia" w:hAnsiTheme="majorHAnsi" w:cstheme="majorHAnsi"/>
          <w:bCs/>
          <w:iCs/>
          <w:sz w:val="24"/>
          <w:szCs w:val="24"/>
          <w:lang w:eastAsia="ru-RU"/>
        </w:rPr>
        <w:t>8,4</w:t>
      </w:r>
      <w:r w:rsidRPr="00F65F26">
        <w:rPr>
          <w:rFonts w:asciiTheme="majorHAnsi" w:eastAsiaTheme="minorEastAsia" w:hAnsiTheme="majorHAnsi" w:cstheme="majorHAnsi"/>
          <w:bCs/>
          <w:iCs/>
          <w:sz w:val="24"/>
          <w:szCs w:val="24"/>
          <w:lang w:eastAsia="ru-RU"/>
        </w:rPr>
        <w:t xml:space="preserve">%, sau </w:t>
      </w:r>
      <w:r w:rsidRPr="00B2592C">
        <w:rPr>
          <w:rFonts w:asciiTheme="majorHAnsi" w:eastAsiaTheme="minorEastAsia" w:hAnsiTheme="majorHAnsi" w:cstheme="majorHAnsi"/>
          <w:bCs/>
          <w:iCs/>
          <w:sz w:val="24"/>
          <w:szCs w:val="24"/>
          <w:lang w:eastAsia="ru-RU"/>
        </w:rPr>
        <w:t>336,5</w:t>
      </w:r>
      <w:r w:rsidRPr="00F65F26">
        <w:rPr>
          <w:rFonts w:asciiTheme="majorHAnsi" w:eastAsiaTheme="minorEastAsia" w:hAnsiTheme="majorHAnsi" w:cstheme="majorHAnsi"/>
          <w:bCs/>
          <w:iCs/>
          <w:sz w:val="24"/>
          <w:szCs w:val="24"/>
          <w:lang w:eastAsia="ru-RU"/>
        </w:rPr>
        <w:t xml:space="preserve"> mil.</w:t>
      </w:r>
      <w:r w:rsidR="00132BC6">
        <w:rPr>
          <w:rFonts w:asciiTheme="majorHAnsi" w:eastAsiaTheme="minorEastAsia" w:hAnsiTheme="majorHAnsi" w:cstheme="majorHAnsi"/>
          <w:bCs/>
          <w:iCs/>
          <w:sz w:val="24"/>
          <w:szCs w:val="24"/>
          <w:lang w:eastAsia="ru-RU"/>
        </w:rPr>
        <w:t xml:space="preserve"> </w:t>
      </w:r>
      <w:r w:rsidR="007160B9">
        <w:rPr>
          <w:rFonts w:asciiTheme="majorHAnsi" w:eastAsiaTheme="minorEastAsia" w:hAnsiTheme="majorHAnsi" w:cstheme="majorHAnsi"/>
          <w:bCs/>
          <w:iCs/>
          <w:sz w:val="24"/>
          <w:szCs w:val="24"/>
          <w:lang w:eastAsia="ru-RU"/>
        </w:rPr>
        <w:t>MDL</w:t>
      </w:r>
      <w:r w:rsidRPr="00B2592C">
        <w:rPr>
          <w:rFonts w:asciiTheme="majorHAnsi" w:eastAsiaTheme="minorEastAsia" w:hAnsiTheme="majorHAnsi" w:cstheme="majorHAnsi"/>
          <w:bCs/>
          <w:iCs/>
          <w:sz w:val="24"/>
          <w:szCs w:val="24"/>
          <w:lang w:eastAsia="ru-RU"/>
        </w:rPr>
        <w:t>.</w:t>
      </w:r>
      <w:r w:rsidRPr="00F65F26">
        <w:rPr>
          <w:rFonts w:asciiTheme="majorHAnsi" w:eastAsiaTheme="minorEastAsia" w:hAnsiTheme="majorHAnsi" w:cstheme="majorHAnsi"/>
          <w:bCs/>
          <w:iCs/>
          <w:sz w:val="24"/>
          <w:szCs w:val="24"/>
          <w:lang w:eastAsia="ru-RU"/>
        </w:rPr>
        <w:t xml:space="preserve"> Concomitent, pentru „Protecția mediului” </w:t>
      </w:r>
      <w:r w:rsidRPr="00B2592C">
        <w:rPr>
          <w:rFonts w:asciiTheme="majorHAnsi" w:eastAsiaTheme="minorEastAsia" w:hAnsiTheme="majorHAnsi" w:cstheme="majorHAnsi"/>
          <w:bCs/>
          <w:iCs/>
          <w:sz w:val="24"/>
          <w:szCs w:val="24"/>
          <w:lang w:eastAsia="ru-RU"/>
        </w:rPr>
        <w:t>s-au diminuat</w:t>
      </w:r>
      <w:r w:rsidRPr="00F65F26">
        <w:rPr>
          <w:rFonts w:asciiTheme="majorHAnsi" w:eastAsiaTheme="minorEastAsia" w:hAnsiTheme="majorHAnsi" w:cstheme="majorHAnsi"/>
          <w:bCs/>
          <w:iCs/>
          <w:sz w:val="24"/>
          <w:szCs w:val="24"/>
          <w:lang w:eastAsia="ru-RU"/>
        </w:rPr>
        <w:t xml:space="preserve"> </w:t>
      </w:r>
      <w:r w:rsidRPr="00B2592C">
        <w:rPr>
          <w:rFonts w:asciiTheme="majorHAnsi" w:eastAsiaTheme="minorEastAsia" w:hAnsiTheme="majorHAnsi" w:cstheme="majorHAnsi"/>
          <w:bCs/>
          <w:iCs/>
          <w:sz w:val="24"/>
          <w:szCs w:val="24"/>
          <w:lang w:eastAsia="ru-RU"/>
        </w:rPr>
        <w:t xml:space="preserve">cu 4,7 mil. </w:t>
      </w:r>
      <w:r w:rsidR="007160B9">
        <w:rPr>
          <w:rFonts w:asciiTheme="majorHAnsi" w:eastAsiaTheme="minorEastAsia" w:hAnsiTheme="majorHAnsi" w:cstheme="majorHAnsi"/>
          <w:bCs/>
          <w:iCs/>
          <w:sz w:val="24"/>
          <w:szCs w:val="24"/>
          <w:lang w:eastAsia="ru-RU"/>
        </w:rPr>
        <w:t>MDL</w:t>
      </w:r>
      <w:r w:rsidR="00132BC6">
        <w:rPr>
          <w:rFonts w:asciiTheme="majorHAnsi" w:eastAsiaTheme="minorEastAsia" w:hAnsiTheme="majorHAnsi" w:cstheme="majorHAnsi"/>
          <w:bCs/>
          <w:iCs/>
          <w:sz w:val="24"/>
          <w:szCs w:val="24"/>
          <w:lang w:eastAsia="ru-RU"/>
        </w:rPr>
        <w:t>,</w:t>
      </w:r>
      <w:r w:rsidRPr="00B2592C">
        <w:rPr>
          <w:rFonts w:asciiTheme="majorHAnsi" w:eastAsiaTheme="minorEastAsia" w:hAnsiTheme="majorHAnsi" w:cstheme="majorHAnsi"/>
          <w:bCs/>
          <w:iCs/>
          <w:sz w:val="24"/>
          <w:szCs w:val="24"/>
          <w:lang w:eastAsia="ru-RU"/>
        </w:rPr>
        <w:t xml:space="preserve"> sau </w:t>
      </w:r>
      <w:r w:rsidR="00407E52">
        <w:rPr>
          <w:rFonts w:asciiTheme="majorHAnsi" w:eastAsiaTheme="minorEastAsia" w:hAnsiTheme="majorHAnsi" w:cstheme="majorHAnsi"/>
          <w:bCs/>
          <w:iCs/>
          <w:sz w:val="24"/>
          <w:szCs w:val="24"/>
          <w:lang w:eastAsia="ru-RU"/>
        </w:rPr>
        <w:t>cu</w:t>
      </w:r>
      <w:r w:rsidRPr="00B2592C">
        <w:rPr>
          <w:rFonts w:asciiTheme="majorHAnsi" w:eastAsiaTheme="minorEastAsia" w:hAnsiTheme="majorHAnsi" w:cstheme="majorHAnsi"/>
          <w:bCs/>
          <w:iCs/>
          <w:sz w:val="24"/>
          <w:szCs w:val="24"/>
          <w:lang w:eastAsia="ru-RU"/>
        </w:rPr>
        <w:t xml:space="preserve"> 4,5%.</w:t>
      </w:r>
      <w:r>
        <w:rPr>
          <w:rFonts w:asciiTheme="majorHAnsi" w:eastAsiaTheme="minorEastAsia" w:hAnsiTheme="majorHAnsi" w:cstheme="majorHAnsi"/>
          <w:bCs/>
          <w:iCs/>
          <w:sz w:val="24"/>
          <w:szCs w:val="24"/>
          <w:lang w:eastAsia="ru-RU"/>
        </w:rPr>
        <w:t xml:space="preserve"> </w:t>
      </w:r>
      <w:r w:rsidRPr="004A6D24">
        <w:rPr>
          <w:rFonts w:asciiTheme="majorHAnsi" w:eastAsiaTheme="minorEastAsia" w:hAnsiTheme="majorHAnsi" w:cstheme="majorHAnsi"/>
          <w:bCs/>
          <w:i/>
          <w:iCs/>
          <w:sz w:val="24"/>
          <w:szCs w:val="24"/>
          <w:lang w:eastAsia="ru-RU"/>
        </w:rPr>
        <w:t>Analiza auditului privind ponderea cheltuielilor bugetului de stat, în aspect funcțional, este prezentată în</w:t>
      </w:r>
      <w:r w:rsidRPr="004A6D24">
        <w:rPr>
          <w:rFonts w:asciiTheme="majorHAnsi" w:eastAsiaTheme="minorEastAsia" w:hAnsiTheme="majorHAnsi" w:cstheme="majorHAnsi"/>
          <w:bCs/>
          <w:iCs/>
          <w:sz w:val="24"/>
          <w:szCs w:val="24"/>
          <w:lang w:eastAsia="ru-RU"/>
        </w:rPr>
        <w:t xml:space="preserve"> </w:t>
      </w:r>
      <w:r w:rsidRPr="004A6D24">
        <w:rPr>
          <w:rFonts w:asciiTheme="majorHAnsi" w:eastAsiaTheme="minorEastAsia" w:hAnsiTheme="majorHAnsi" w:cstheme="majorHAnsi"/>
          <w:bCs/>
          <w:i/>
          <w:iCs/>
          <w:sz w:val="24"/>
          <w:szCs w:val="24"/>
          <w:lang w:eastAsia="ru-RU"/>
        </w:rPr>
        <w:t>Diagrama nr.</w:t>
      </w:r>
      <w:r w:rsidR="008C396F">
        <w:rPr>
          <w:rFonts w:asciiTheme="majorHAnsi" w:eastAsiaTheme="minorEastAsia" w:hAnsiTheme="majorHAnsi" w:cstheme="majorHAnsi"/>
          <w:bCs/>
          <w:i/>
          <w:iCs/>
          <w:sz w:val="24"/>
          <w:szCs w:val="24"/>
          <w:lang w:eastAsia="ru-RU"/>
        </w:rPr>
        <w:t>8</w:t>
      </w:r>
      <w:r w:rsidRPr="004A6D24">
        <w:rPr>
          <w:rFonts w:asciiTheme="majorHAnsi" w:eastAsiaTheme="minorEastAsia" w:hAnsiTheme="majorHAnsi" w:cstheme="majorHAnsi"/>
          <w:bCs/>
          <w:iCs/>
          <w:sz w:val="24"/>
          <w:szCs w:val="24"/>
          <w:lang w:eastAsia="ru-RU"/>
        </w:rPr>
        <w:t xml:space="preserve">. </w:t>
      </w:r>
    </w:p>
    <w:p w:rsidR="008420F3" w:rsidRDefault="008420F3" w:rsidP="008420F3">
      <w:pPr>
        <w:spacing w:line="276" w:lineRule="auto"/>
        <w:ind w:firstLine="709"/>
        <w:contextualSpacing/>
        <w:jc w:val="right"/>
        <w:rPr>
          <w:rFonts w:asciiTheme="majorHAnsi" w:eastAsiaTheme="minorEastAsia" w:hAnsiTheme="majorHAnsi" w:cstheme="majorHAnsi"/>
          <w:bCs/>
          <w:i/>
          <w:iCs/>
          <w:sz w:val="24"/>
          <w:szCs w:val="24"/>
          <w:lang w:eastAsia="ru-RU"/>
        </w:rPr>
      </w:pPr>
      <w:r w:rsidRPr="004A6D24">
        <w:rPr>
          <w:rFonts w:asciiTheme="majorHAnsi" w:eastAsiaTheme="minorEastAsia" w:hAnsiTheme="majorHAnsi" w:cstheme="majorHAnsi"/>
          <w:bCs/>
          <w:i/>
          <w:iCs/>
          <w:sz w:val="24"/>
          <w:szCs w:val="24"/>
          <w:lang w:eastAsia="ru-RU"/>
        </w:rPr>
        <w:t>Diagrama nr.</w:t>
      </w:r>
      <w:r w:rsidR="008C396F">
        <w:rPr>
          <w:rFonts w:asciiTheme="majorHAnsi" w:eastAsiaTheme="minorEastAsia" w:hAnsiTheme="majorHAnsi" w:cstheme="majorHAnsi"/>
          <w:bCs/>
          <w:i/>
          <w:iCs/>
          <w:sz w:val="24"/>
          <w:szCs w:val="24"/>
          <w:lang w:eastAsia="ru-RU"/>
        </w:rPr>
        <w:t>8</w:t>
      </w:r>
    </w:p>
    <w:p w:rsidR="008420F3" w:rsidRPr="00AD4764" w:rsidRDefault="008420F3" w:rsidP="008420F3">
      <w:pPr>
        <w:spacing w:line="276" w:lineRule="auto"/>
        <w:ind w:firstLine="709"/>
        <w:contextualSpacing/>
        <w:jc w:val="center"/>
        <w:rPr>
          <w:rFonts w:asciiTheme="majorHAnsi" w:eastAsiaTheme="minorEastAsia" w:hAnsiTheme="majorHAnsi" w:cstheme="majorHAnsi"/>
          <w:b/>
          <w:bCs/>
          <w:iCs/>
          <w:sz w:val="24"/>
          <w:szCs w:val="24"/>
          <w:lang w:eastAsia="ru-RU"/>
        </w:rPr>
      </w:pPr>
      <w:r w:rsidRPr="00AD4764">
        <w:rPr>
          <w:rFonts w:asciiTheme="majorHAnsi" w:eastAsiaTheme="minorEastAsia" w:hAnsiTheme="majorHAnsi" w:cstheme="majorHAnsi"/>
          <w:b/>
          <w:bCs/>
          <w:iCs/>
          <w:sz w:val="24"/>
          <w:szCs w:val="24"/>
          <w:lang w:eastAsia="ru-RU"/>
        </w:rPr>
        <w:t xml:space="preserve">Ponderea cheltuielilor </w:t>
      </w:r>
      <w:r w:rsidR="00407E52">
        <w:rPr>
          <w:rFonts w:asciiTheme="majorHAnsi" w:eastAsiaTheme="minorEastAsia" w:hAnsiTheme="majorHAnsi" w:cstheme="majorHAnsi"/>
          <w:b/>
          <w:bCs/>
          <w:iCs/>
          <w:sz w:val="24"/>
          <w:szCs w:val="24"/>
          <w:lang w:eastAsia="ru-RU"/>
        </w:rPr>
        <w:t>bugetului de stat</w:t>
      </w:r>
      <w:r w:rsidRPr="00AD4764">
        <w:rPr>
          <w:rFonts w:asciiTheme="majorHAnsi" w:eastAsiaTheme="minorEastAsia" w:hAnsiTheme="majorHAnsi" w:cstheme="majorHAnsi"/>
          <w:b/>
          <w:bCs/>
          <w:iCs/>
          <w:sz w:val="24"/>
          <w:szCs w:val="24"/>
          <w:lang w:eastAsia="ru-RU"/>
        </w:rPr>
        <w:t xml:space="preserve"> sub aspect funcțional</w:t>
      </w:r>
    </w:p>
    <w:p w:rsidR="008420F3" w:rsidRPr="00AE1750" w:rsidRDefault="008420F3" w:rsidP="008420F3">
      <w:pPr>
        <w:spacing w:line="276" w:lineRule="auto"/>
        <w:contextualSpacing/>
        <w:jc w:val="center"/>
        <w:rPr>
          <w:rFonts w:ascii="Times New Roman" w:eastAsiaTheme="minorEastAsia" w:hAnsi="Times New Roman" w:cs="Times New Roman"/>
          <w:bCs/>
          <w:i/>
          <w:iCs/>
          <w:sz w:val="28"/>
          <w:szCs w:val="28"/>
          <w:lang w:eastAsia="ru-RU"/>
        </w:rPr>
      </w:pPr>
      <w:r w:rsidRPr="004A6D24">
        <w:rPr>
          <w:rFonts w:ascii="Times New Roman" w:eastAsiaTheme="minorEastAsia" w:hAnsi="Times New Roman" w:cs="Times New Roman"/>
          <w:bCs/>
          <w:iCs/>
          <w:noProof/>
          <w:color w:val="000000" w:themeColor="text1"/>
          <w:sz w:val="28"/>
          <w:szCs w:val="28"/>
          <w:lang w:val="en-US"/>
        </w:rPr>
        <w:drawing>
          <wp:inline distT="0" distB="0" distL="0" distR="0" wp14:anchorId="40F16D2D" wp14:editId="08F62846">
            <wp:extent cx="5958840" cy="2606040"/>
            <wp:effectExtent l="0" t="0" r="3810" b="381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20F3" w:rsidRDefault="008420F3" w:rsidP="00222F03">
      <w:pPr>
        <w:spacing w:line="276" w:lineRule="auto"/>
        <w:ind w:right="283"/>
        <w:contextualSpacing/>
        <w:jc w:val="both"/>
        <w:rPr>
          <w:rFonts w:asciiTheme="majorHAnsi" w:eastAsia="Times New Roman" w:hAnsiTheme="majorHAnsi" w:cstheme="majorHAnsi"/>
          <w:i/>
          <w:sz w:val="20"/>
          <w:szCs w:val="24"/>
          <w:lang w:eastAsia="ru-RU"/>
        </w:rPr>
      </w:pPr>
      <w:r w:rsidRPr="00FB186A">
        <w:rPr>
          <w:rFonts w:asciiTheme="majorHAnsi" w:eastAsia="Times New Roman" w:hAnsiTheme="majorHAnsi" w:cstheme="majorHAnsi"/>
          <w:b/>
          <w:i/>
          <w:sz w:val="20"/>
          <w:szCs w:val="24"/>
          <w:lang w:eastAsia="ru-RU"/>
        </w:rPr>
        <w:t>Sursă:</w:t>
      </w:r>
      <w:r w:rsidRPr="00FB186A">
        <w:rPr>
          <w:rFonts w:asciiTheme="majorHAnsi" w:eastAsia="Times New Roman" w:hAnsiTheme="majorHAnsi" w:cstheme="majorHAnsi"/>
          <w:i/>
          <w:sz w:val="20"/>
          <w:szCs w:val="24"/>
          <w:lang w:eastAsia="ru-RU"/>
        </w:rPr>
        <w:t xml:space="preserve"> Informație generalizată de echipa de audit conform Raportului privind executarea </w:t>
      </w:r>
      <w:r w:rsidR="00D57620">
        <w:rPr>
          <w:rFonts w:asciiTheme="majorHAnsi" w:eastAsia="Times New Roman" w:hAnsiTheme="majorHAnsi" w:cstheme="majorHAnsi"/>
          <w:i/>
          <w:sz w:val="20"/>
          <w:szCs w:val="24"/>
          <w:lang w:eastAsia="ru-RU"/>
        </w:rPr>
        <w:t>bugetului de stat pe anul 2018.</w:t>
      </w:r>
    </w:p>
    <w:p w:rsidR="00D57620" w:rsidRPr="007F53A7" w:rsidRDefault="00D57620" w:rsidP="00222F03">
      <w:pPr>
        <w:spacing w:line="276" w:lineRule="auto"/>
        <w:ind w:right="283"/>
        <w:contextualSpacing/>
        <w:jc w:val="both"/>
        <w:rPr>
          <w:rFonts w:asciiTheme="majorHAnsi" w:eastAsiaTheme="minorEastAsia" w:hAnsiTheme="majorHAnsi" w:cstheme="majorHAnsi"/>
          <w:bCs/>
          <w:iCs/>
          <w:sz w:val="24"/>
          <w:szCs w:val="24"/>
          <w:lang w:eastAsia="ru-RU"/>
        </w:rPr>
      </w:pPr>
    </w:p>
    <w:p w:rsidR="008420F3" w:rsidRPr="007F53A7" w:rsidRDefault="008420F3" w:rsidP="008420F3">
      <w:pPr>
        <w:spacing w:after="0" w:line="276" w:lineRule="auto"/>
        <w:ind w:firstLine="567"/>
        <w:jc w:val="both"/>
        <w:rPr>
          <w:rFonts w:asciiTheme="majorHAnsi" w:eastAsiaTheme="minorEastAsia" w:hAnsiTheme="majorHAnsi" w:cstheme="majorHAnsi"/>
          <w:bCs/>
          <w:iCs/>
          <w:sz w:val="24"/>
          <w:szCs w:val="24"/>
          <w:lang w:eastAsia="ru-RU"/>
        </w:rPr>
      </w:pPr>
      <w:r w:rsidRPr="007F53A7">
        <w:rPr>
          <w:rFonts w:asciiTheme="majorHAnsi" w:eastAsiaTheme="minorEastAsia" w:hAnsiTheme="majorHAnsi" w:cstheme="majorHAnsi"/>
          <w:bCs/>
          <w:iCs/>
          <w:sz w:val="24"/>
          <w:szCs w:val="24"/>
          <w:lang w:eastAsia="ru-RU"/>
        </w:rPr>
        <w:t xml:space="preserve">Auditul relevă că ponderea majoră în totalul cheltuielilor BS revine cheltuielilor executate pentru „Învățământ” – 25,1%, sau 9 730,8 mil. </w:t>
      </w:r>
      <w:r w:rsidR="007160B9">
        <w:rPr>
          <w:rFonts w:asciiTheme="majorHAnsi" w:eastAsiaTheme="minorEastAsia" w:hAnsiTheme="majorHAnsi" w:cstheme="majorHAnsi"/>
          <w:bCs/>
          <w:iCs/>
          <w:sz w:val="24"/>
          <w:szCs w:val="24"/>
          <w:lang w:eastAsia="ru-RU"/>
        </w:rPr>
        <w:t>MDL</w:t>
      </w:r>
      <w:r w:rsidRPr="007F53A7">
        <w:rPr>
          <w:rFonts w:asciiTheme="majorHAnsi" w:eastAsiaTheme="minorEastAsia" w:hAnsiTheme="majorHAnsi" w:cstheme="majorHAnsi"/>
          <w:bCs/>
          <w:iCs/>
          <w:sz w:val="24"/>
          <w:szCs w:val="24"/>
          <w:lang w:eastAsia="ru-RU"/>
        </w:rPr>
        <w:t>, fiind urmat</w:t>
      </w:r>
      <w:r w:rsidR="00132BC6">
        <w:rPr>
          <w:rFonts w:asciiTheme="majorHAnsi" w:eastAsiaTheme="minorEastAsia" w:hAnsiTheme="majorHAnsi" w:cstheme="majorHAnsi"/>
          <w:bCs/>
          <w:iCs/>
          <w:sz w:val="24"/>
          <w:szCs w:val="24"/>
          <w:lang w:eastAsia="ru-RU"/>
        </w:rPr>
        <w:t>ă</w:t>
      </w:r>
      <w:r w:rsidRPr="007F53A7">
        <w:rPr>
          <w:rFonts w:asciiTheme="majorHAnsi" w:eastAsiaTheme="minorEastAsia" w:hAnsiTheme="majorHAnsi" w:cstheme="majorHAnsi"/>
          <w:bCs/>
          <w:iCs/>
          <w:sz w:val="24"/>
          <w:szCs w:val="24"/>
          <w:lang w:eastAsia="ru-RU"/>
        </w:rPr>
        <w:t xml:space="preserve"> de cele pentru „Protecție socială” – 19,2%, sau 7 436,1 mil. </w:t>
      </w:r>
      <w:r w:rsidR="007160B9">
        <w:rPr>
          <w:rFonts w:asciiTheme="majorHAnsi" w:eastAsiaTheme="minorEastAsia" w:hAnsiTheme="majorHAnsi" w:cstheme="majorHAnsi"/>
          <w:bCs/>
          <w:iCs/>
          <w:sz w:val="24"/>
          <w:szCs w:val="24"/>
          <w:lang w:eastAsia="ru-RU"/>
        </w:rPr>
        <w:t>MDL</w:t>
      </w:r>
      <w:r w:rsidRPr="007F53A7">
        <w:rPr>
          <w:rFonts w:asciiTheme="majorHAnsi" w:eastAsiaTheme="minorEastAsia" w:hAnsiTheme="majorHAnsi" w:cstheme="majorHAnsi"/>
          <w:bCs/>
          <w:iCs/>
          <w:sz w:val="24"/>
          <w:szCs w:val="24"/>
          <w:lang w:eastAsia="ru-RU"/>
        </w:rPr>
        <w:t xml:space="preserve">, și „Servicii de stat cu destinație generală” – 15,3%, sau 5 926,9 mil. </w:t>
      </w:r>
      <w:r w:rsidR="007160B9">
        <w:rPr>
          <w:rFonts w:asciiTheme="majorHAnsi" w:eastAsiaTheme="minorEastAsia" w:hAnsiTheme="majorHAnsi" w:cstheme="majorHAnsi"/>
          <w:bCs/>
          <w:iCs/>
          <w:sz w:val="24"/>
          <w:szCs w:val="24"/>
          <w:lang w:eastAsia="ru-RU"/>
        </w:rPr>
        <w:t>MDL</w:t>
      </w:r>
      <w:r w:rsidRPr="007F53A7">
        <w:rPr>
          <w:rFonts w:asciiTheme="majorHAnsi" w:eastAsiaTheme="minorEastAsia" w:hAnsiTheme="majorHAnsi" w:cstheme="majorHAnsi"/>
          <w:bCs/>
          <w:iCs/>
          <w:sz w:val="24"/>
          <w:szCs w:val="24"/>
          <w:lang w:eastAsia="ru-RU"/>
        </w:rPr>
        <w:t>.</w:t>
      </w:r>
    </w:p>
    <w:p w:rsidR="008420F3" w:rsidRDefault="008420F3" w:rsidP="000070C0">
      <w:pPr>
        <w:spacing w:before="240" w:after="0" w:line="276" w:lineRule="auto"/>
        <w:ind w:firstLine="709"/>
        <w:contextualSpacing/>
        <w:jc w:val="both"/>
        <w:rPr>
          <w:rFonts w:asciiTheme="majorHAnsi" w:hAnsiTheme="majorHAnsi" w:cstheme="majorHAnsi"/>
          <w:color w:val="FF0000"/>
          <w:sz w:val="24"/>
          <w:szCs w:val="24"/>
        </w:rPr>
      </w:pPr>
    </w:p>
    <w:p w:rsidR="008420F3" w:rsidRPr="001B0366" w:rsidRDefault="00A251BC" w:rsidP="008420F3">
      <w:pPr>
        <w:pStyle w:val="ListParagraph"/>
        <w:tabs>
          <w:tab w:val="left" w:pos="993"/>
        </w:tabs>
        <w:spacing w:after="0" w:line="276" w:lineRule="auto"/>
        <w:ind w:left="0"/>
        <w:jc w:val="both"/>
        <w:outlineLvl w:val="2"/>
        <w:rPr>
          <w:rFonts w:asciiTheme="majorHAnsi" w:hAnsiTheme="majorHAnsi" w:cstheme="majorHAnsi"/>
          <w:b/>
          <w:sz w:val="24"/>
          <w:szCs w:val="24"/>
        </w:rPr>
      </w:pPr>
      <w:bookmarkStart w:id="25" w:name="_Toc10126096"/>
      <w:r>
        <w:rPr>
          <w:rFonts w:asciiTheme="majorHAnsi" w:hAnsiTheme="majorHAnsi" w:cstheme="majorHAnsi"/>
          <w:b/>
          <w:sz w:val="24"/>
          <w:szCs w:val="24"/>
        </w:rPr>
        <w:t>3.3</w:t>
      </w:r>
      <w:r w:rsidR="008420F3">
        <w:rPr>
          <w:rFonts w:asciiTheme="majorHAnsi" w:hAnsiTheme="majorHAnsi" w:cstheme="majorHAnsi"/>
          <w:b/>
          <w:sz w:val="24"/>
          <w:szCs w:val="24"/>
        </w:rPr>
        <w:t>.5</w:t>
      </w:r>
      <w:r w:rsidR="00793C62">
        <w:rPr>
          <w:rFonts w:asciiTheme="majorHAnsi" w:hAnsiTheme="majorHAnsi" w:cstheme="majorHAnsi"/>
          <w:b/>
          <w:sz w:val="24"/>
          <w:szCs w:val="24"/>
        </w:rPr>
        <w:t xml:space="preserve"> </w:t>
      </w:r>
      <w:r w:rsidR="00F4263C">
        <w:rPr>
          <w:rFonts w:asciiTheme="majorHAnsi" w:hAnsiTheme="majorHAnsi" w:cstheme="majorHAnsi"/>
          <w:b/>
          <w:sz w:val="24"/>
          <w:szCs w:val="24"/>
        </w:rPr>
        <w:t xml:space="preserve">Alocațiile aprobate pentru </w:t>
      </w:r>
      <w:r w:rsidR="008420F3">
        <w:rPr>
          <w:rFonts w:asciiTheme="majorHAnsi" w:hAnsiTheme="majorHAnsi" w:cstheme="majorHAnsi"/>
          <w:b/>
          <w:sz w:val="24"/>
          <w:szCs w:val="24"/>
        </w:rPr>
        <w:t xml:space="preserve">Programul </w:t>
      </w:r>
      <w:r w:rsidR="00F4263C">
        <w:rPr>
          <w:rFonts w:asciiTheme="majorHAnsi" w:hAnsiTheme="majorHAnsi" w:cstheme="majorHAnsi"/>
          <w:b/>
          <w:sz w:val="24"/>
          <w:szCs w:val="24"/>
        </w:rPr>
        <w:t>,,</w:t>
      </w:r>
      <w:r w:rsidR="008420F3">
        <w:rPr>
          <w:rFonts w:asciiTheme="majorHAnsi" w:hAnsiTheme="majorHAnsi" w:cstheme="majorHAnsi"/>
          <w:b/>
          <w:sz w:val="24"/>
          <w:szCs w:val="24"/>
        </w:rPr>
        <w:t>Prima casă</w:t>
      </w:r>
      <w:r w:rsidR="00F4263C">
        <w:rPr>
          <w:rFonts w:asciiTheme="majorHAnsi" w:hAnsiTheme="majorHAnsi" w:cstheme="majorHAnsi"/>
          <w:b/>
          <w:sz w:val="24"/>
          <w:szCs w:val="24"/>
        </w:rPr>
        <w:t>” nu au fost valorificate pe deplin.</w:t>
      </w:r>
      <w:bookmarkEnd w:id="25"/>
    </w:p>
    <w:p w:rsidR="008420F3" w:rsidRPr="001B0366" w:rsidRDefault="008420F3" w:rsidP="008420F3">
      <w:pPr>
        <w:pStyle w:val="ListParagraph"/>
        <w:tabs>
          <w:tab w:val="left" w:pos="993"/>
        </w:tabs>
        <w:spacing w:after="0" w:line="276" w:lineRule="auto"/>
        <w:ind w:left="0"/>
        <w:jc w:val="both"/>
        <w:rPr>
          <w:rFonts w:asciiTheme="majorHAnsi" w:hAnsiTheme="majorHAnsi" w:cstheme="majorHAnsi"/>
          <w:sz w:val="24"/>
          <w:szCs w:val="24"/>
        </w:rPr>
      </w:pPr>
      <w:r w:rsidRPr="001B0366">
        <w:rPr>
          <w:rFonts w:asciiTheme="majorHAnsi" w:hAnsiTheme="majorHAnsi" w:cstheme="majorHAnsi"/>
          <w:sz w:val="24"/>
          <w:szCs w:val="24"/>
        </w:rPr>
        <w:t xml:space="preserve">Programul de stat „Prima casă” a fost </w:t>
      </w:r>
      <w:r w:rsidR="00A65870">
        <w:rPr>
          <w:rFonts w:asciiTheme="majorHAnsi" w:hAnsiTheme="majorHAnsi" w:cstheme="majorHAnsi"/>
          <w:sz w:val="24"/>
          <w:szCs w:val="24"/>
        </w:rPr>
        <w:t>inițiat</w:t>
      </w:r>
      <w:r w:rsidR="00A65870" w:rsidRPr="001B0366">
        <w:rPr>
          <w:rFonts w:asciiTheme="majorHAnsi" w:hAnsiTheme="majorHAnsi" w:cstheme="majorHAnsi"/>
          <w:sz w:val="24"/>
          <w:szCs w:val="24"/>
        </w:rPr>
        <w:t xml:space="preserve"> </w:t>
      </w:r>
      <w:r w:rsidRPr="001B0366">
        <w:rPr>
          <w:rFonts w:asciiTheme="majorHAnsi" w:hAnsiTheme="majorHAnsi" w:cstheme="majorHAnsi"/>
          <w:sz w:val="24"/>
          <w:szCs w:val="24"/>
        </w:rPr>
        <w:t>în scopul susținerii familiilor cu copii și angajaților instituțiilor</w:t>
      </w:r>
      <w:r w:rsidR="00793C62">
        <w:rPr>
          <w:rFonts w:asciiTheme="majorHAnsi" w:hAnsiTheme="majorHAnsi" w:cstheme="majorHAnsi"/>
          <w:sz w:val="24"/>
          <w:szCs w:val="24"/>
        </w:rPr>
        <w:t xml:space="preserve"> </w:t>
      </w:r>
      <w:r w:rsidRPr="001B0366">
        <w:rPr>
          <w:rFonts w:asciiTheme="majorHAnsi" w:hAnsiTheme="majorHAnsi" w:cstheme="majorHAnsi"/>
          <w:sz w:val="24"/>
          <w:szCs w:val="24"/>
        </w:rPr>
        <w:t>publice prin facilitarea accesului la achiziționarea unei locuințe prin contractarea de credite garantate parțial de stat.</w:t>
      </w:r>
      <w:r>
        <w:rPr>
          <w:rFonts w:asciiTheme="majorHAnsi" w:hAnsiTheme="majorHAnsi" w:cstheme="majorHAnsi"/>
          <w:sz w:val="24"/>
          <w:szCs w:val="24"/>
        </w:rPr>
        <w:t xml:space="preserve"> </w:t>
      </w:r>
      <w:r w:rsidRPr="001B0366">
        <w:rPr>
          <w:rFonts w:asciiTheme="majorHAnsi" w:hAnsiTheme="majorHAnsi" w:cstheme="majorHAnsi"/>
          <w:sz w:val="24"/>
          <w:szCs w:val="24"/>
        </w:rPr>
        <w:t xml:space="preserve">Compensația bănească se acordă pentru acoperirea parțială a cheltuielilor pe care le suportă beneficiarul pentru achitarea creditului ipotecar în cadrul Programului de stat „Prima casă”. </w:t>
      </w:r>
    </w:p>
    <w:p w:rsidR="008420F3" w:rsidRPr="001B0366" w:rsidRDefault="008420F3" w:rsidP="008420F3">
      <w:pPr>
        <w:pStyle w:val="ListParagraph"/>
        <w:tabs>
          <w:tab w:val="left" w:pos="993"/>
        </w:tabs>
        <w:spacing w:after="0" w:line="276" w:lineRule="auto"/>
        <w:ind w:left="0" w:firstLine="709"/>
        <w:jc w:val="both"/>
        <w:rPr>
          <w:rFonts w:asciiTheme="majorHAnsi" w:hAnsiTheme="majorHAnsi" w:cstheme="majorHAnsi"/>
          <w:sz w:val="24"/>
          <w:szCs w:val="24"/>
        </w:rPr>
      </w:pPr>
      <w:r w:rsidRPr="001B0366">
        <w:rPr>
          <w:rFonts w:asciiTheme="majorHAnsi" w:hAnsiTheme="majorHAnsi" w:cstheme="majorHAnsi"/>
          <w:sz w:val="24"/>
          <w:szCs w:val="24"/>
        </w:rPr>
        <w:lastRenderedPageBreak/>
        <w:t>Transferul compensației bănești se efectuează lunar, pe parcursul anului bugetar, de către Ministerul Finanțelor, direct la contul utilizat de către beneficiar la instituția creditară pentru decontăril</w:t>
      </w:r>
      <w:r>
        <w:rPr>
          <w:rFonts w:asciiTheme="majorHAnsi" w:hAnsiTheme="majorHAnsi" w:cstheme="majorHAnsi"/>
          <w:sz w:val="24"/>
          <w:szCs w:val="24"/>
        </w:rPr>
        <w:t xml:space="preserve">e aferente creditului ipotecar. </w:t>
      </w:r>
      <w:r w:rsidRPr="001B0366">
        <w:rPr>
          <w:rFonts w:asciiTheme="majorHAnsi" w:hAnsiTheme="majorHAnsi" w:cstheme="majorHAnsi"/>
          <w:sz w:val="24"/>
          <w:szCs w:val="24"/>
        </w:rPr>
        <w:t>În cazul stingerii anticipate a creditului ipotecar, acordarea compensației bănești încetează la momentul achitării de către beneficiar a ultimei rate.</w:t>
      </w:r>
    </w:p>
    <w:p w:rsidR="008420F3" w:rsidRPr="001B0366" w:rsidRDefault="008420F3" w:rsidP="008420F3">
      <w:pPr>
        <w:spacing w:after="0" w:line="276" w:lineRule="auto"/>
        <w:ind w:firstLine="709"/>
        <w:jc w:val="both"/>
        <w:rPr>
          <w:rFonts w:asciiTheme="majorHAnsi" w:eastAsia="Times New Roman" w:hAnsiTheme="majorHAnsi" w:cstheme="majorHAnsi"/>
          <w:sz w:val="24"/>
          <w:szCs w:val="24"/>
          <w:lang w:val="ro-MD"/>
        </w:rPr>
      </w:pPr>
      <w:r w:rsidRPr="001B0366">
        <w:rPr>
          <w:rFonts w:asciiTheme="majorHAnsi" w:eastAsia="Times New Roman" w:hAnsiTheme="majorHAnsi" w:cstheme="majorHAnsi"/>
          <w:bCs/>
          <w:sz w:val="24"/>
          <w:szCs w:val="24"/>
          <w:lang w:val="ro-MD"/>
        </w:rPr>
        <w:t>Conform Legii bugetului de stat pentru anul 2018</w:t>
      </w:r>
      <w:r w:rsidRPr="004C5663">
        <w:rPr>
          <w:rFonts w:asciiTheme="majorHAnsi" w:eastAsia="Times New Roman" w:hAnsiTheme="majorHAnsi" w:cstheme="majorHAnsi"/>
          <w:bCs/>
          <w:sz w:val="24"/>
          <w:szCs w:val="24"/>
          <w:vertAlign w:val="superscript"/>
          <w:lang w:val="ro-MD"/>
        </w:rPr>
        <w:footnoteReference w:id="53"/>
      </w:r>
      <w:r w:rsidRPr="004C5663">
        <w:rPr>
          <w:rFonts w:asciiTheme="majorHAnsi" w:eastAsia="Times New Roman" w:hAnsiTheme="majorHAnsi" w:cstheme="majorHAnsi"/>
          <w:bCs/>
          <w:sz w:val="24"/>
          <w:szCs w:val="24"/>
          <w:lang w:val="ro-MD"/>
        </w:rPr>
        <w:t>,</w:t>
      </w:r>
      <w:r w:rsidRPr="001B0366">
        <w:rPr>
          <w:rFonts w:asciiTheme="majorHAnsi" w:eastAsia="Times New Roman" w:hAnsiTheme="majorHAnsi" w:cstheme="majorHAnsi"/>
          <w:bCs/>
          <w:sz w:val="24"/>
          <w:szCs w:val="24"/>
          <w:lang w:val="ro-MD"/>
        </w:rPr>
        <w:t xml:space="preserve"> p</w:t>
      </w:r>
      <w:r w:rsidRPr="001B0366">
        <w:rPr>
          <w:rFonts w:asciiTheme="majorHAnsi" w:eastAsia="Times New Roman" w:hAnsiTheme="majorHAnsi" w:cstheme="majorHAnsi"/>
          <w:sz w:val="24"/>
          <w:szCs w:val="24"/>
          <w:lang w:val="ro-MD"/>
        </w:rPr>
        <w:t xml:space="preserve">entru implementarea Programului de stat „Prima casă” au </w:t>
      </w:r>
      <w:r w:rsidR="00A65870">
        <w:rPr>
          <w:rFonts w:asciiTheme="majorHAnsi" w:eastAsia="Times New Roman" w:hAnsiTheme="majorHAnsi" w:cstheme="majorHAnsi"/>
          <w:sz w:val="24"/>
          <w:szCs w:val="24"/>
          <w:lang w:val="ro-MD"/>
        </w:rPr>
        <w:t xml:space="preserve">fost </w:t>
      </w:r>
      <w:r w:rsidRPr="001B0366">
        <w:rPr>
          <w:rFonts w:asciiTheme="majorHAnsi" w:eastAsia="Times New Roman" w:hAnsiTheme="majorHAnsi" w:cstheme="majorHAnsi"/>
          <w:sz w:val="24"/>
          <w:szCs w:val="24"/>
          <w:lang w:val="ro-MD"/>
        </w:rPr>
        <w:t>prevăzut</w:t>
      </w:r>
      <w:r w:rsidR="00A65870">
        <w:rPr>
          <w:rFonts w:asciiTheme="majorHAnsi" w:eastAsia="Times New Roman" w:hAnsiTheme="majorHAnsi" w:cstheme="majorHAnsi"/>
          <w:sz w:val="24"/>
          <w:szCs w:val="24"/>
          <w:lang w:val="ro-MD"/>
        </w:rPr>
        <w:t>e</w:t>
      </w:r>
      <w:r w:rsidRPr="001B0366">
        <w:rPr>
          <w:rFonts w:asciiTheme="majorHAnsi" w:eastAsia="Times New Roman" w:hAnsiTheme="majorHAnsi" w:cstheme="majorHAnsi"/>
          <w:sz w:val="24"/>
          <w:szCs w:val="24"/>
          <w:lang w:val="ro-MD"/>
        </w:rPr>
        <w:t xml:space="preserve"> alocații în sumă de 55</w:t>
      </w:r>
      <w:r>
        <w:rPr>
          <w:rFonts w:asciiTheme="majorHAnsi" w:eastAsia="Times New Roman" w:hAnsiTheme="majorHAnsi" w:cstheme="majorHAnsi"/>
          <w:sz w:val="24"/>
          <w:szCs w:val="24"/>
          <w:lang w:val="ro-MD"/>
        </w:rPr>
        <w:t>,0 mil.</w:t>
      </w:r>
      <w:r w:rsidRPr="001B036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B0366">
        <w:rPr>
          <w:rFonts w:asciiTheme="majorHAnsi" w:eastAsia="Times New Roman" w:hAnsiTheme="majorHAnsi" w:cstheme="majorHAnsi"/>
          <w:sz w:val="24"/>
          <w:szCs w:val="24"/>
          <w:lang w:val="ro-MD"/>
        </w:rPr>
        <w:t>, din care pentru:</w:t>
      </w:r>
      <w:r w:rsidRPr="00347A49">
        <w:rPr>
          <w:rFonts w:asciiTheme="majorHAnsi" w:eastAsia="Times New Roman" w:hAnsiTheme="majorHAnsi" w:cstheme="majorHAnsi"/>
          <w:sz w:val="24"/>
          <w:szCs w:val="24"/>
          <w:lang w:val="ro-MD"/>
        </w:rPr>
        <w:t xml:space="preserve"> </w:t>
      </w:r>
      <w:r w:rsidRPr="001B0366">
        <w:rPr>
          <w:rFonts w:asciiTheme="majorHAnsi" w:eastAsia="Times New Roman" w:hAnsiTheme="majorHAnsi" w:cstheme="majorHAnsi"/>
          <w:sz w:val="24"/>
          <w:szCs w:val="24"/>
          <w:lang w:val="ro-MD"/>
        </w:rPr>
        <w:t>Garanții de stat interne (514) în sumă de 50</w:t>
      </w:r>
      <w:r>
        <w:rPr>
          <w:rFonts w:asciiTheme="majorHAnsi" w:eastAsia="Times New Roman" w:hAnsiTheme="majorHAnsi" w:cstheme="majorHAnsi"/>
          <w:sz w:val="24"/>
          <w:szCs w:val="24"/>
          <w:lang w:val="ro-MD"/>
        </w:rPr>
        <w:t>, 0 mil.</w:t>
      </w:r>
      <w:r w:rsidRPr="001B036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B0366">
        <w:rPr>
          <w:rFonts w:asciiTheme="majorHAnsi" w:eastAsia="Times New Roman" w:hAnsiTheme="majorHAnsi" w:cstheme="majorHAnsi"/>
          <w:sz w:val="24"/>
          <w:szCs w:val="24"/>
          <w:lang w:val="ro-MD"/>
        </w:rPr>
        <w:t>, Protecție în domeniul asigurării cu locuințe (9009) în sumă de 8</w:t>
      </w:r>
      <w:r>
        <w:rPr>
          <w:rFonts w:asciiTheme="majorHAnsi" w:eastAsia="Times New Roman" w:hAnsiTheme="majorHAnsi" w:cstheme="majorHAnsi"/>
          <w:sz w:val="24"/>
          <w:szCs w:val="24"/>
          <w:lang w:val="ro-MD"/>
        </w:rPr>
        <w:t xml:space="preserve">,5 mil. </w:t>
      </w:r>
      <w:r w:rsidR="007160B9">
        <w:rPr>
          <w:rFonts w:asciiTheme="majorHAnsi" w:eastAsia="Times New Roman" w:hAnsiTheme="majorHAnsi" w:cstheme="majorHAnsi"/>
          <w:sz w:val="24"/>
          <w:szCs w:val="24"/>
          <w:lang w:val="ro-MD"/>
        </w:rPr>
        <w:t>MDL</w:t>
      </w:r>
      <w:r w:rsidR="003B55B1">
        <w:rPr>
          <w:rFonts w:asciiTheme="majorHAnsi" w:eastAsia="Times New Roman" w:hAnsiTheme="majorHAnsi" w:cstheme="majorHAnsi"/>
          <w:sz w:val="24"/>
          <w:szCs w:val="24"/>
          <w:lang w:val="ro-MD"/>
        </w:rPr>
        <w:t>, inclusiv</w:t>
      </w:r>
      <w:r>
        <w:rPr>
          <w:rFonts w:asciiTheme="majorHAnsi" w:eastAsia="Times New Roman" w:hAnsiTheme="majorHAnsi" w:cstheme="majorHAnsi"/>
          <w:sz w:val="24"/>
          <w:szCs w:val="24"/>
          <w:lang w:val="ro-MD"/>
        </w:rPr>
        <w:t xml:space="preserve"> 5,0 mil.</w:t>
      </w:r>
      <w:r w:rsidRPr="001B036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B0366">
        <w:rPr>
          <w:rFonts w:asciiTheme="majorHAnsi" w:eastAsia="Times New Roman" w:hAnsiTheme="majorHAnsi" w:cstheme="majorHAnsi"/>
          <w:sz w:val="24"/>
          <w:szCs w:val="24"/>
          <w:lang w:val="ro-MD"/>
        </w:rPr>
        <w:t xml:space="preserve"> pentru Programul de stat</w:t>
      </w:r>
      <w:r w:rsidR="00407E52">
        <w:rPr>
          <w:rFonts w:asciiTheme="majorHAnsi" w:eastAsia="Times New Roman" w:hAnsiTheme="majorHAnsi" w:cstheme="majorHAnsi"/>
          <w:sz w:val="24"/>
          <w:szCs w:val="24"/>
          <w:lang w:val="ro-MD"/>
        </w:rPr>
        <w:t xml:space="preserve"> „</w:t>
      </w:r>
      <w:r w:rsidRPr="001B0366">
        <w:rPr>
          <w:rFonts w:asciiTheme="majorHAnsi" w:eastAsia="Times New Roman" w:hAnsiTheme="majorHAnsi" w:cstheme="majorHAnsi"/>
          <w:sz w:val="24"/>
          <w:szCs w:val="24"/>
          <w:lang w:val="ro-MD"/>
        </w:rPr>
        <w:t>Prima casă”.</w:t>
      </w:r>
    </w:p>
    <w:p w:rsidR="008420F3" w:rsidRPr="001B0366" w:rsidRDefault="008420F3" w:rsidP="008420F3">
      <w:pPr>
        <w:spacing w:after="0" w:line="276" w:lineRule="auto"/>
        <w:ind w:firstLine="709"/>
        <w:jc w:val="both"/>
        <w:rPr>
          <w:rFonts w:asciiTheme="majorHAnsi" w:eastAsia="Times New Roman" w:hAnsiTheme="majorHAnsi" w:cstheme="majorHAnsi"/>
          <w:sz w:val="24"/>
          <w:szCs w:val="24"/>
          <w:lang w:val="ro-MD"/>
        </w:rPr>
      </w:pPr>
      <w:r w:rsidRPr="001B0366">
        <w:rPr>
          <w:rFonts w:asciiTheme="majorHAnsi" w:eastAsia="Times New Roman" w:hAnsiTheme="majorHAnsi" w:cstheme="majorHAnsi"/>
          <w:sz w:val="24"/>
          <w:szCs w:val="24"/>
          <w:lang w:val="ro-MD" w:eastAsia="ro-RO"/>
        </w:rPr>
        <w:t xml:space="preserve">În anul 2018 (august – decembrie), în cadrul </w:t>
      </w:r>
      <w:r w:rsidRPr="001B0366">
        <w:rPr>
          <w:rFonts w:asciiTheme="majorHAnsi" w:eastAsia="Times New Roman" w:hAnsiTheme="majorHAnsi" w:cstheme="majorHAnsi"/>
          <w:sz w:val="24"/>
          <w:szCs w:val="24"/>
          <w:lang w:val="ro-MD"/>
        </w:rPr>
        <w:t>Programului</w:t>
      </w:r>
      <w:r w:rsidR="00407E52">
        <w:rPr>
          <w:rFonts w:asciiTheme="majorHAnsi" w:eastAsia="Times New Roman" w:hAnsiTheme="majorHAnsi" w:cstheme="majorHAnsi"/>
          <w:sz w:val="24"/>
          <w:szCs w:val="24"/>
          <w:lang w:val="ro-MD"/>
        </w:rPr>
        <w:t xml:space="preserve"> </w:t>
      </w:r>
      <w:r w:rsidRPr="001B0366">
        <w:rPr>
          <w:rFonts w:asciiTheme="majorHAnsi" w:eastAsia="Times New Roman" w:hAnsiTheme="majorHAnsi" w:cstheme="majorHAnsi"/>
          <w:sz w:val="24"/>
          <w:szCs w:val="24"/>
          <w:lang w:val="ro-MD"/>
        </w:rPr>
        <w:t xml:space="preserve">au beneficiat de compensații bănești </w:t>
      </w:r>
      <w:r w:rsidRPr="001B0366">
        <w:rPr>
          <w:rFonts w:asciiTheme="majorHAnsi" w:eastAsia="Times New Roman" w:hAnsiTheme="majorHAnsi" w:cstheme="majorHAnsi"/>
          <w:sz w:val="24"/>
          <w:szCs w:val="24"/>
          <w:lang w:val="ro-MD" w:eastAsia="ro-RO"/>
        </w:rPr>
        <w:t>d</w:t>
      </w:r>
      <w:r w:rsidRPr="001B0366">
        <w:rPr>
          <w:rFonts w:asciiTheme="majorHAnsi" w:eastAsia="Times New Roman" w:hAnsiTheme="majorHAnsi" w:cstheme="majorHAnsi"/>
          <w:sz w:val="24"/>
          <w:szCs w:val="24"/>
          <w:lang w:eastAsia="ro-RO"/>
        </w:rPr>
        <w:t xml:space="preserve">in bugetul de stat </w:t>
      </w:r>
      <w:r w:rsidRPr="001B0366">
        <w:rPr>
          <w:rFonts w:asciiTheme="majorHAnsi" w:eastAsia="Times New Roman" w:hAnsiTheme="majorHAnsi" w:cstheme="majorHAnsi"/>
          <w:sz w:val="24"/>
          <w:szCs w:val="24"/>
          <w:lang w:val="ro-MD"/>
        </w:rPr>
        <w:t>246 de persoane</w:t>
      </w:r>
      <w:r w:rsidR="00A65870">
        <w:rPr>
          <w:rFonts w:asciiTheme="majorHAnsi" w:eastAsia="Times New Roman" w:hAnsiTheme="majorHAnsi" w:cstheme="majorHAnsi"/>
          <w:sz w:val="24"/>
          <w:szCs w:val="24"/>
          <w:lang w:val="ro-MD"/>
        </w:rPr>
        <w:t>,</w:t>
      </w:r>
      <w:r w:rsidRPr="001B0366">
        <w:rPr>
          <w:rFonts w:asciiTheme="majorHAnsi" w:eastAsia="Times New Roman" w:hAnsiTheme="majorHAnsi" w:cstheme="majorHAnsi"/>
          <w:sz w:val="24"/>
          <w:szCs w:val="24"/>
          <w:lang w:val="ro-MD"/>
        </w:rPr>
        <w:t xml:space="preserve"> </w:t>
      </w:r>
      <w:r w:rsidRPr="001B0366">
        <w:rPr>
          <w:rFonts w:asciiTheme="majorHAnsi" w:eastAsia="Times New Roman" w:hAnsiTheme="majorHAnsi" w:cstheme="majorHAnsi"/>
          <w:sz w:val="24"/>
          <w:szCs w:val="24"/>
          <w:lang w:val="ro-MD" w:eastAsia="ro-RO"/>
        </w:rPr>
        <w:t xml:space="preserve">în sumă totală </w:t>
      </w:r>
      <w:r w:rsidRPr="00A575C4">
        <w:rPr>
          <w:rFonts w:asciiTheme="majorHAnsi" w:eastAsia="Times New Roman" w:hAnsiTheme="majorHAnsi" w:cstheme="majorHAnsi"/>
          <w:sz w:val="24"/>
          <w:szCs w:val="24"/>
          <w:lang w:val="ro-MD" w:eastAsia="ro-RO"/>
        </w:rPr>
        <w:t>de</w:t>
      </w:r>
      <w:r w:rsidRPr="00A575C4">
        <w:rPr>
          <w:rFonts w:asciiTheme="majorHAnsi" w:eastAsia="Times New Roman" w:hAnsiTheme="majorHAnsi" w:cstheme="majorHAnsi"/>
          <w:sz w:val="24"/>
          <w:szCs w:val="24"/>
          <w:lang w:val="ro-MD"/>
        </w:rPr>
        <w:t xml:space="preserve"> 0,4 mil. </w:t>
      </w:r>
      <w:r w:rsidR="007160B9" w:rsidRPr="00A575C4">
        <w:rPr>
          <w:rFonts w:asciiTheme="majorHAnsi" w:eastAsia="Times New Roman" w:hAnsiTheme="majorHAnsi" w:cstheme="majorHAnsi"/>
          <w:sz w:val="24"/>
          <w:szCs w:val="24"/>
          <w:lang w:val="ro-MD"/>
        </w:rPr>
        <w:t>MDL</w:t>
      </w:r>
      <w:r w:rsidRPr="001B0366">
        <w:rPr>
          <w:rFonts w:asciiTheme="majorHAnsi" w:eastAsia="Times New Roman" w:hAnsiTheme="majorHAnsi" w:cstheme="majorHAnsi"/>
          <w:sz w:val="24"/>
          <w:szCs w:val="24"/>
          <w:lang w:val="ro-MD"/>
        </w:rPr>
        <w:t>, sau 8,2% din suma precizată (5</w:t>
      </w:r>
      <w:r>
        <w:rPr>
          <w:rFonts w:asciiTheme="majorHAnsi" w:eastAsia="Times New Roman" w:hAnsiTheme="majorHAnsi" w:cstheme="majorHAnsi"/>
          <w:sz w:val="24"/>
          <w:szCs w:val="24"/>
          <w:lang w:val="ro-MD"/>
        </w:rPr>
        <w:t>,0 mil.</w:t>
      </w:r>
      <w:r w:rsidRPr="001B0366">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B0366">
        <w:rPr>
          <w:rFonts w:asciiTheme="majorHAnsi" w:eastAsia="Times New Roman" w:hAnsiTheme="majorHAnsi" w:cstheme="majorHAnsi"/>
          <w:sz w:val="24"/>
          <w:szCs w:val="24"/>
          <w:lang w:val="ro-MD"/>
        </w:rPr>
        <w:t>).</w:t>
      </w:r>
    </w:p>
    <w:p w:rsidR="008420F3" w:rsidRPr="001B0366" w:rsidRDefault="008420F3" w:rsidP="008420F3">
      <w:pPr>
        <w:spacing w:after="0" w:line="276" w:lineRule="auto"/>
        <w:ind w:firstLine="709"/>
        <w:jc w:val="both"/>
        <w:rPr>
          <w:rFonts w:asciiTheme="majorHAnsi" w:eastAsia="Times New Roman" w:hAnsiTheme="majorHAnsi" w:cstheme="majorHAnsi"/>
          <w:sz w:val="24"/>
          <w:szCs w:val="24"/>
        </w:rPr>
      </w:pPr>
      <w:r w:rsidRPr="001B0366">
        <w:rPr>
          <w:rFonts w:asciiTheme="majorHAnsi" w:eastAsia="Times New Roman" w:hAnsiTheme="majorHAnsi" w:cstheme="majorHAnsi"/>
          <w:sz w:val="24"/>
          <w:szCs w:val="24"/>
          <w:lang w:eastAsia="ro-RO"/>
        </w:rPr>
        <w:t>Astfel, din 309 cereri înregistrate</w:t>
      </w:r>
      <w:r w:rsidR="00A65870">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au </w:t>
      </w:r>
      <w:r w:rsidR="00A65870">
        <w:rPr>
          <w:rFonts w:asciiTheme="majorHAnsi" w:eastAsia="Times New Roman" w:hAnsiTheme="majorHAnsi" w:cstheme="majorHAnsi"/>
          <w:sz w:val="24"/>
          <w:szCs w:val="24"/>
          <w:lang w:eastAsia="ro-RO"/>
        </w:rPr>
        <w:t xml:space="preserve">fost </w:t>
      </w:r>
      <w:r w:rsidRPr="001B0366">
        <w:rPr>
          <w:rFonts w:asciiTheme="majorHAnsi" w:eastAsia="Times New Roman" w:hAnsiTheme="majorHAnsi" w:cstheme="majorHAnsi"/>
          <w:sz w:val="24"/>
          <w:szCs w:val="24"/>
          <w:lang w:eastAsia="ro-RO"/>
        </w:rPr>
        <w:t>acordat</w:t>
      </w:r>
      <w:r w:rsidR="00A65870">
        <w:rPr>
          <w:rFonts w:asciiTheme="majorHAnsi" w:eastAsia="Times New Roman" w:hAnsiTheme="majorHAnsi" w:cstheme="majorHAnsi"/>
          <w:sz w:val="24"/>
          <w:szCs w:val="24"/>
          <w:lang w:eastAsia="ro-RO"/>
        </w:rPr>
        <w:t>e</w:t>
      </w:r>
      <w:r w:rsidRPr="001B0366">
        <w:rPr>
          <w:rFonts w:asciiTheme="majorHAnsi" w:eastAsia="Times New Roman" w:hAnsiTheme="majorHAnsi" w:cstheme="majorHAnsi"/>
          <w:sz w:val="24"/>
          <w:szCs w:val="24"/>
          <w:lang w:eastAsia="ro-RO"/>
        </w:rPr>
        <w:t xml:space="preserve"> compensații pentru 45 </w:t>
      </w:r>
      <w:r w:rsidR="00A65870">
        <w:rPr>
          <w:rFonts w:asciiTheme="majorHAnsi" w:eastAsia="Times New Roman" w:hAnsiTheme="majorHAnsi" w:cstheme="majorHAnsi"/>
          <w:sz w:val="24"/>
          <w:szCs w:val="24"/>
          <w:lang w:eastAsia="ro-RO"/>
        </w:rPr>
        <w:t xml:space="preserve">de </w:t>
      </w:r>
      <w:r w:rsidRPr="001B0366">
        <w:rPr>
          <w:rFonts w:asciiTheme="majorHAnsi" w:eastAsia="Times New Roman" w:hAnsiTheme="majorHAnsi" w:cstheme="majorHAnsi"/>
          <w:sz w:val="24"/>
          <w:szCs w:val="24"/>
          <w:lang w:eastAsia="ro-RO"/>
        </w:rPr>
        <w:t>angajați din sectorul public</w:t>
      </w:r>
      <w:r w:rsidR="00A65870">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participanți </w:t>
      </w:r>
      <w:r w:rsidR="00A65870">
        <w:rPr>
          <w:rFonts w:asciiTheme="majorHAnsi" w:eastAsia="Times New Roman" w:hAnsiTheme="majorHAnsi" w:cstheme="majorHAnsi"/>
          <w:sz w:val="24"/>
          <w:szCs w:val="24"/>
          <w:lang w:eastAsia="ro-RO"/>
        </w:rPr>
        <w:t>ai</w:t>
      </w:r>
      <w:r w:rsidRPr="001B0366">
        <w:rPr>
          <w:rFonts w:asciiTheme="majorHAnsi" w:eastAsia="Times New Roman" w:hAnsiTheme="majorHAnsi" w:cstheme="majorHAnsi"/>
          <w:sz w:val="24"/>
          <w:szCs w:val="24"/>
          <w:lang w:eastAsia="ro-RO"/>
        </w:rPr>
        <w:t xml:space="preserve"> Programului de stat „Prima casă – 2”</w:t>
      </w:r>
      <w:r w:rsidR="00A65870">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în sumă de </w:t>
      </w:r>
      <w:r>
        <w:rPr>
          <w:rFonts w:asciiTheme="majorHAnsi" w:eastAsia="Times New Roman" w:hAnsiTheme="majorHAnsi" w:cstheme="majorHAnsi"/>
          <w:sz w:val="24"/>
          <w:szCs w:val="24"/>
          <w:lang w:eastAsia="ro-RO"/>
        </w:rPr>
        <w:t>0,2 mil.</w:t>
      </w:r>
      <w:r w:rsidRPr="001B0366">
        <w:rPr>
          <w:rFonts w:asciiTheme="majorHAnsi" w:eastAsia="Times New Roman" w:hAnsiTheme="majorHAnsi" w:cstheme="majorHAnsi"/>
          <w:sz w:val="24"/>
          <w:szCs w:val="24"/>
          <w:lang w:eastAsia="ro-RO"/>
        </w:rPr>
        <w:t xml:space="preserve"> </w:t>
      </w:r>
      <w:r w:rsidR="007160B9">
        <w:rPr>
          <w:rFonts w:asciiTheme="majorHAnsi" w:eastAsia="Times New Roman" w:hAnsiTheme="majorHAnsi" w:cstheme="majorHAnsi"/>
          <w:sz w:val="24"/>
          <w:szCs w:val="24"/>
          <w:lang w:eastAsia="ro-RO"/>
        </w:rPr>
        <w:t>MDL</w:t>
      </w:r>
      <w:r w:rsidR="00A65870">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pentru 138 </w:t>
      </w:r>
      <w:r w:rsidR="00A65870">
        <w:rPr>
          <w:rFonts w:asciiTheme="majorHAnsi" w:eastAsia="Times New Roman" w:hAnsiTheme="majorHAnsi" w:cstheme="majorHAnsi"/>
          <w:sz w:val="24"/>
          <w:szCs w:val="24"/>
          <w:lang w:eastAsia="ro-RO"/>
        </w:rPr>
        <w:t xml:space="preserve">de </w:t>
      </w:r>
      <w:r w:rsidRPr="001B0366">
        <w:rPr>
          <w:rFonts w:asciiTheme="majorHAnsi" w:eastAsia="Times New Roman" w:hAnsiTheme="majorHAnsi" w:cstheme="majorHAnsi"/>
          <w:sz w:val="24"/>
          <w:szCs w:val="24"/>
          <w:lang w:eastAsia="ro-RO"/>
        </w:rPr>
        <w:t>persoane fizice care sunt părinte și/sau tutore/curator al copilului/copiilor</w:t>
      </w:r>
      <w:r w:rsidR="00407E52">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în cadrul Programului de stat „Prima casă – 3”</w:t>
      </w:r>
      <w:r w:rsidR="00A65870">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în sumă de </w:t>
      </w:r>
      <w:r>
        <w:rPr>
          <w:rFonts w:asciiTheme="majorHAnsi" w:eastAsia="Times New Roman" w:hAnsiTheme="majorHAnsi" w:cstheme="majorHAnsi"/>
          <w:sz w:val="24"/>
          <w:szCs w:val="24"/>
          <w:lang w:eastAsia="ro-RO"/>
        </w:rPr>
        <w:t>0,25 mil.</w:t>
      </w:r>
      <w:r w:rsidRPr="001B0366">
        <w:rPr>
          <w:rFonts w:asciiTheme="majorHAnsi" w:eastAsia="Times New Roman" w:hAnsiTheme="majorHAnsi" w:cstheme="majorHAnsi"/>
          <w:sz w:val="24"/>
          <w:szCs w:val="24"/>
          <w:lang w:eastAsia="ro-RO"/>
        </w:rPr>
        <w:t xml:space="preserve"> </w:t>
      </w:r>
      <w:r w:rsidR="007160B9">
        <w:rPr>
          <w:rFonts w:asciiTheme="majorHAnsi" w:eastAsia="Times New Roman" w:hAnsiTheme="majorHAnsi" w:cstheme="majorHAnsi"/>
          <w:sz w:val="24"/>
          <w:szCs w:val="24"/>
          <w:lang w:eastAsia="ro-RO"/>
        </w:rPr>
        <w:t>MDL</w:t>
      </w:r>
      <w:r w:rsidRPr="001B0366">
        <w:rPr>
          <w:rFonts w:asciiTheme="majorHAnsi" w:eastAsia="Times New Roman" w:hAnsiTheme="majorHAnsi" w:cstheme="majorHAnsi"/>
          <w:sz w:val="24"/>
          <w:szCs w:val="24"/>
          <w:lang w:eastAsia="ro-RO"/>
        </w:rPr>
        <w:t xml:space="preserve">, </w:t>
      </w:r>
      <w:r w:rsidR="00A65870">
        <w:rPr>
          <w:rFonts w:asciiTheme="majorHAnsi" w:eastAsia="Times New Roman" w:hAnsiTheme="majorHAnsi" w:cstheme="majorHAnsi"/>
          <w:sz w:val="24"/>
          <w:szCs w:val="24"/>
          <w:lang w:eastAsia="ro-RO"/>
        </w:rPr>
        <w:t>i</w:t>
      </w:r>
      <w:r w:rsidR="003451A9">
        <w:rPr>
          <w:rFonts w:asciiTheme="majorHAnsi" w:eastAsia="Times New Roman" w:hAnsiTheme="majorHAnsi" w:cstheme="majorHAnsi"/>
          <w:sz w:val="24"/>
          <w:szCs w:val="24"/>
          <w:lang w:eastAsia="ro-RO"/>
        </w:rPr>
        <w:t>ar</w:t>
      </w:r>
      <w:r w:rsidR="00A65870">
        <w:rPr>
          <w:rFonts w:asciiTheme="majorHAnsi" w:eastAsia="Times New Roman" w:hAnsiTheme="majorHAnsi" w:cstheme="majorHAnsi"/>
          <w:sz w:val="24"/>
          <w:szCs w:val="24"/>
          <w:lang w:eastAsia="ro-RO"/>
        </w:rPr>
        <w:t xml:space="preserve"> </w:t>
      </w:r>
      <w:r w:rsidRPr="001B0366">
        <w:rPr>
          <w:rFonts w:asciiTheme="majorHAnsi" w:eastAsia="Times New Roman" w:hAnsiTheme="majorHAnsi" w:cstheme="majorHAnsi"/>
          <w:sz w:val="24"/>
          <w:szCs w:val="24"/>
          <w:lang w:eastAsia="ro-RO"/>
        </w:rPr>
        <w:t xml:space="preserve">63 de persoane au beneficiat de compensații în cadrul ambelor Programe de stat </w:t>
      </w:r>
      <w:r w:rsidR="003451A9">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Prima casă 2</w:t>
      </w:r>
      <w:r w:rsidR="00407E52">
        <w:rPr>
          <w:rFonts w:asciiTheme="majorHAnsi" w:eastAsia="Times New Roman" w:hAnsiTheme="majorHAnsi" w:cstheme="majorHAnsi"/>
          <w:sz w:val="24"/>
          <w:szCs w:val="24"/>
          <w:lang w:eastAsia="ro-RO"/>
        </w:rPr>
        <w:t>”</w:t>
      </w:r>
      <w:r w:rsidRPr="001B0366">
        <w:rPr>
          <w:rFonts w:asciiTheme="majorHAnsi" w:eastAsia="Times New Roman" w:hAnsiTheme="majorHAnsi" w:cstheme="majorHAnsi"/>
          <w:sz w:val="24"/>
          <w:szCs w:val="24"/>
          <w:lang w:eastAsia="ro-RO"/>
        </w:rPr>
        <w:t xml:space="preserve"> și </w:t>
      </w:r>
      <w:r w:rsidR="00407E52">
        <w:rPr>
          <w:rFonts w:asciiTheme="majorHAnsi" w:eastAsia="Times New Roman" w:hAnsiTheme="majorHAnsi" w:cstheme="majorHAnsi"/>
          <w:sz w:val="24"/>
          <w:szCs w:val="24"/>
          <w:lang w:eastAsia="ro-RO"/>
        </w:rPr>
        <w:t xml:space="preserve">„Prima casă </w:t>
      </w:r>
      <w:r w:rsidRPr="001B0366">
        <w:rPr>
          <w:rFonts w:asciiTheme="majorHAnsi" w:eastAsia="Times New Roman" w:hAnsiTheme="majorHAnsi" w:cstheme="majorHAnsi"/>
          <w:sz w:val="24"/>
          <w:szCs w:val="24"/>
          <w:lang w:eastAsia="ro-RO"/>
        </w:rPr>
        <w:t>3”.</w:t>
      </w:r>
      <w:r w:rsidRPr="001B0366">
        <w:rPr>
          <w:rFonts w:asciiTheme="majorHAnsi" w:eastAsia="Times New Roman" w:hAnsiTheme="majorHAnsi" w:cstheme="majorHAnsi"/>
          <w:sz w:val="24"/>
          <w:szCs w:val="24"/>
        </w:rPr>
        <w:t xml:space="preserve">Suma totală a contractelor de credit încheiate </w:t>
      </w:r>
      <w:r w:rsidR="00407E52" w:rsidRPr="001B0366">
        <w:rPr>
          <w:rFonts w:asciiTheme="majorHAnsi" w:eastAsia="Times New Roman" w:hAnsiTheme="majorHAnsi" w:cstheme="majorHAnsi"/>
          <w:sz w:val="24"/>
          <w:szCs w:val="24"/>
        </w:rPr>
        <w:t>în anul 2018</w:t>
      </w:r>
      <w:r w:rsidR="00407E52">
        <w:rPr>
          <w:rFonts w:asciiTheme="majorHAnsi" w:eastAsia="Times New Roman" w:hAnsiTheme="majorHAnsi" w:cstheme="majorHAnsi"/>
          <w:sz w:val="24"/>
          <w:szCs w:val="24"/>
        </w:rPr>
        <w:t xml:space="preserve"> </w:t>
      </w:r>
      <w:r w:rsidRPr="001B0366">
        <w:rPr>
          <w:rFonts w:asciiTheme="majorHAnsi" w:eastAsia="Times New Roman" w:hAnsiTheme="majorHAnsi" w:cstheme="majorHAnsi"/>
          <w:sz w:val="24"/>
          <w:szCs w:val="24"/>
        </w:rPr>
        <w:t xml:space="preserve">cu băncile comerciale de către beneficiarii Programului </w:t>
      </w:r>
      <w:r w:rsidR="003451A9">
        <w:rPr>
          <w:rFonts w:asciiTheme="majorHAnsi" w:eastAsia="Times New Roman" w:hAnsiTheme="majorHAnsi" w:cstheme="majorHAnsi"/>
          <w:sz w:val="24"/>
          <w:szCs w:val="24"/>
        </w:rPr>
        <w:t>„</w:t>
      </w:r>
      <w:r w:rsidRPr="001B0366">
        <w:rPr>
          <w:rFonts w:asciiTheme="majorHAnsi" w:eastAsia="Times New Roman" w:hAnsiTheme="majorHAnsi" w:cstheme="majorHAnsi"/>
          <w:sz w:val="24"/>
          <w:szCs w:val="24"/>
        </w:rPr>
        <w:t>Prima casă” a constituit 118</w:t>
      </w:r>
      <w:r>
        <w:rPr>
          <w:rFonts w:asciiTheme="majorHAnsi" w:eastAsia="Times New Roman" w:hAnsiTheme="majorHAnsi" w:cstheme="majorHAnsi"/>
          <w:sz w:val="24"/>
          <w:szCs w:val="24"/>
        </w:rPr>
        <w:t>,3</w:t>
      </w:r>
      <w:r w:rsidR="00793C6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mil.</w:t>
      </w:r>
      <w:r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Pr="001B0366">
        <w:rPr>
          <w:rFonts w:asciiTheme="majorHAnsi" w:eastAsia="Times New Roman" w:hAnsiTheme="majorHAnsi" w:cstheme="majorHAnsi"/>
          <w:sz w:val="24"/>
          <w:szCs w:val="24"/>
        </w:rPr>
        <w:t>. Astfel, MF timp de 25 de ani urmează să acorde compensații în baza acestor contracte</w:t>
      </w:r>
      <w:r w:rsidR="00A65870">
        <w:rPr>
          <w:rFonts w:asciiTheme="majorHAnsi" w:eastAsia="Times New Roman" w:hAnsiTheme="majorHAnsi" w:cstheme="majorHAnsi"/>
          <w:sz w:val="24"/>
          <w:szCs w:val="24"/>
        </w:rPr>
        <w:t>,</w:t>
      </w:r>
      <w:r w:rsidRPr="001B0366">
        <w:rPr>
          <w:rFonts w:asciiTheme="majorHAnsi" w:eastAsia="Times New Roman" w:hAnsiTheme="majorHAnsi" w:cstheme="majorHAnsi"/>
          <w:sz w:val="24"/>
          <w:szCs w:val="24"/>
        </w:rPr>
        <w:t xml:space="preserve"> în sumă de circa 59</w:t>
      </w:r>
      <w:r>
        <w:rPr>
          <w:rFonts w:asciiTheme="majorHAnsi" w:eastAsia="Times New Roman" w:hAnsiTheme="majorHAnsi" w:cstheme="majorHAnsi"/>
          <w:sz w:val="24"/>
          <w:szCs w:val="24"/>
        </w:rPr>
        <w:t>,1</w:t>
      </w:r>
      <w:r w:rsidR="00793C6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mil.</w:t>
      </w:r>
      <w:r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Pr="001B0366">
        <w:rPr>
          <w:rFonts w:asciiTheme="majorHAnsi" w:eastAsia="Times New Roman" w:hAnsiTheme="majorHAnsi" w:cstheme="majorHAnsi"/>
          <w:sz w:val="24"/>
          <w:szCs w:val="24"/>
        </w:rPr>
        <w:t xml:space="preserve">, din care în anul 2018 au </w:t>
      </w:r>
      <w:r w:rsidR="00A65870">
        <w:rPr>
          <w:rFonts w:asciiTheme="majorHAnsi" w:eastAsia="Times New Roman" w:hAnsiTheme="majorHAnsi" w:cstheme="majorHAnsi"/>
          <w:sz w:val="24"/>
          <w:szCs w:val="24"/>
        </w:rPr>
        <w:t xml:space="preserve">fost </w:t>
      </w:r>
      <w:r w:rsidRPr="001B0366">
        <w:rPr>
          <w:rFonts w:asciiTheme="majorHAnsi" w:eastAsia="Times New Roman" w:hAnsiTheme="majorHAnsi" w:cstheme="majorHAnsi"/>
          <w:sz w:val="24"/>
          <w:szCs w:val="24"/>
        </w:rPr>
        <w:t>acordat</w:t>
      </w:r>
      <w:r w:rsidR="00A65870">
        <w:rPr>
          <w:rFonts w:asciiTheme="majorHAnsi" w:eastAsia="Times New Roman" w:hAnsiTheme="majorHAnsi" w:cstheme="majorHAnsi"/>
          <w:sz w:val="24"/>
          <w:szCs w:val="24"/>
        </w:rPr>
        <w:t>e</w:t>
      </w:r>
      <w:r w:rsidRPr="001B0366">
        <w:rPr>
          <w:rFonts w:asciiTheme="majorHAnsi" w:eastAsia="Times New Roman" w:hAnsiTheme="majorHAnsi" w:cstheme="majorHAnsi"/>
          <w:sz w:val="24"/>
          <w:szCs w:val="24"/>
        </w:rPr>
        <w:t xml:space="preserve"> în sumă de </w:t>
      </w:r>
      <w:r>
        <w:rPr>
          <w:rFonts w:asciiTheme="majorHAnsi" w:eastAsia="Times New Roman" w:hAnsiTheme="majorHAnsi" w:cstheme="majorHAnsi"/>
          <w:sz w:val="24"/>
          <w:szCs w:val="24"/>
        </w:rPr>
        <w:t>0,4 mil.</w:t>
      </w:r>
      <w:r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00A65870">
        <w:rPr>
          <w:rFonts w:asciiTheme="majorHAnsi" w:eastAsia="Times New Roman" w:hAnsiTheme="majorHAnsi" w:cstheme="majorHAnsi"/>
          <w:sz w:val="24"/>
          <w:szCs w:val="24"/>
        </w:rPr>
        <w:t>,</w:t>
      </w:r>
      <w:r w:rsidRPr="001B0366">
        <w:rPr>
          <w:rFonts w:asciiTheme="majorHAnsi" w:eastAsia="Times New Roman" w:hAnsiTheme="majorHAnsi" w:cstheme="majorHAnsi"/>
          <w:sz w:val="24"/>
          <w:szCs w:val="24"/>
        </w:rPr>
        <w:t xml:space="preserve"> sau 0,7%.</w:t>
      </w:r>
    </w:p>
    <w:p w:rsidR="008420F3" w:rsidRDefault="003451A9" w:rsidP="008420F3">
      <w:pPr>
        <w:spacing w:after="0" w:line="276" w:lineRule="auto"/>
        <w:ind w:firstLine="709"/>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În perioada</w:t>
      </w:r>
      <w:r w:rsidR="008420F3" w:rsidRPr="001B0366">
        <w:rPr>
          <w:rFonts w:asciiTheme="majorHAnsi" w:eastAsia="Times New Roman" w:hAnsiTheme="majorHAnsi" w:cstheme="majorHAnsi"/>
          <w:sz w:val="24"/>
          <w:szCs w:val="24"/>
        </w:rPr>
        <w:t xml:space="preserve"> efectuării auditului, în primul trimestru al anului 2019 </w:t>
      </w:r>
      <w:r>
        <w:rPr>
          <w:rFonts w:asciiTheme="majorHAnsi" w:eastAsia="Times New Roman" w:hAnsiTheme="majorHAnsi" w:cstheme="majorHAnsi"/>
          <w:sz w:val="24"/>
          <w:szCs w:val="24"/>
        </w:rPr>
        <w:t>au fost</w:t>
      </w:r>
      <w:r w:rsidR="008420F3" w:rsidRPr="001B0366">
        <w:rPr>
          <w:rFonts w:asciiTheme="majorHAnsi" w:eastAsia="Times New Roman" w:hAnsiTheme="majorHAnsi" w:cstheme="majorHAnsi"/>
          <w:sz w:val="24"/>
          <w:szCs w:val="24"/>
        </w:rPr>
        <w:t xml:space="preserve"> înregistrați 526 de beneficiari de compensații, fiind executate cereri în sumă totală de </w:t>
      </w:r>
      <w:r w:rsidR="008420F3">
        <w:rPr>
          <w:rFonts w:asciiTheme="majorHAnsi" w:eastAsia="Times New Roman" w:hAnsiTheme="majorHAnsi" w:cstheme="majorHAnsi"/>
          <w:sz w:val="24"/>
          <w:szCs w:val="24"/>
        </w:rPr>
        <w:t>0,94 mil.</w:t>
      </w:r>
      <w:r w:rsidR="008420F3"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Pr>
          <w:rFonts w:asciiTheme="majorHAnsi" w:eastAsia="Times New Roman" w:hAnsiTheme="majorHAnsi" w:cstheme="majorHAnsi"/>
          <w:sz w:val="24"/>
          <w:szCs w:val="24"/>
        </w:rPr>
        <w:t>,</w:t>
      </w:r>
      <w:r w:rsidR="008420F3" w:rsidRPr="001B0366">
        <w:rPr>
          <w:rFonts w:asciiTheme="majorHAnsi" w:eastAsia="Times New Roman" w:hAnsiTheme="majorHAnsi" w:cstheme="majorHAnsi"/>
          <w:sz w:val="24"/>
          <w:szCs w:val="24"/>
        </w:rPr>
        <w:t xml:space="preserve"> din care </w:t>
      </w:r>
      <w:r w:rsidR="008420F3">
        <w:rPr>
          <w:rFonts w:asciiTheme="majorHAnsi" w:eastAsia="Times New Roman" w:hAnsiTheme="majorHAnsi" w:cstheme="majorHAnsi"/>
          <w:sz w:val="24"/>
          <w:szCs w:val="24"/>
        </w:rPr>
        <w:t>0,4 mil.</w:t>
      </w:r>
      <w:r w:rsidR="008420F3"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008420F3" w:rsidRPr="001B0366">
        <w:rPr>
          <w:rFonts w:asciiTheme="majorHAnsi" w:eastAsia="Times New Roman" w:hAnsiTheme="majorHAnsi" w:cstheme="majorHAnsi"/>
          <w:sz w:val="24"/>
          <w:szCs w:val="24"/>
        </w:rPr>
        <w:t xml:space="preserve"> în cadrul </w:t>
      </w:r>
      <w:r>
        <w:rPr>
          <w:rFonts w:asciiTheme="majorHAnsi" w:eastAsia="Times New Roman" w:hAnsiTheme="majorHAnsi" w:cstheme="majorHAnsi"/>
          <w:sz w:val="24"/>
          <w:szCs w:val="24"/>
        </w:rPr>
        <w:t xml:space="preserve"> Programului „</w:t>
      </w:r>
      <w:r w:rsidR="008420F3">
        <w:rPr>
          <w:rFonts w:asciiTheme="majorHAnsi" w:eastAsia="Times New Roman" w:hAnsiTheme="majorHAnsi" w:cstheme="majorHAnsi"/>
          <w:sz w:val="24"/>
          <w:szCs w:val="24"/>
        </w:rPr>
        <w:t xml:space="preserve">Prima casă </w:t>
      </w:r>
      <w:r w:rsidR="008420F3" w:rsidRPr="001B0366">
        <w:rPr>
          <w:rFonts w:asciiTheme="majorHAnsi" w:eastAsia="Times New Roman" w:hAnsiTheme="majorHAnsi" w:cstheme="majorHAnsi"/>
          <w:sz w:val="24"/>
          <w:szCs w:val="24"/>
        </w:rPr>
        <w:t>2</w:t>
      </w:r>
      <w:r w:rsidR="008420F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r w:rsidR="008420F3" w:rsidRPr="001B0366">
        <w:rPr>
          <w:rFonts w:asciiTheme="majorHAnsi" w:eastAsia="Times New Roman" w:hAnsiTheme="majorHAnsi" w:cstheme="majorHAnsi"/>
          <w:sz w:val="24"/>
          <w:szCs w:val="24"/>
        </w:rPr>
        <w:t xml:space="preserve"> iar </w:t>
      </w:r>
      <w:r w:rsidR="008420F3">
        <w:rPr>
          <w:rFonts w:asciiTheme="majorHAnsi" w:eastAsia="Times New Roman" w:hAnsiTheme="majorHAnsi" w:cstheme="majorHAnsi"/>
          <w:sz w:val="24"/>
          <w:szCs w:val="24"/>
        </w:rPr>
        <w:t>0,6 mil.</w:t>
      </w:r>
      <w:r w:rsidR="008420F3" w:rsidRPr="001B0366">
        <w:rPr>
          <w:rFonts w:asciiTheme="majorHAnsi" w:eastAsia="Times New Roman" w:hAnsiTheme="majorHAnsi" w:cstheme="majorHAnsi"/>
          <w:sz w:val="24"/>
          <w:szCs w:val="24"/>
        </w:rPr>
        <w:t xml:space="preserve"> </w:t>
      </w:r>
      <w:r w:rsidR="007160B9">
        <w:rPr>
          <w:rFonts w:asciiTheme="majorHAnsi" w:eastAsia="Times New Roman" w:hAnsiTheme="majorHAnsi" w:cstheme="majorHAnsi"/>
          <w:sz w:val="24"/>
          <w:szCs w:val="24"/>
        </w:rPr>
        <w:t>MDL</w:t>
      </w:r>
      <w:r w:rsidR="008420F3" w:rsidRPr="001B0366">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 </w:t>
      </w:r>
      <w:r w:rsidR="008420F3" w:rsidRPr="001B0366">
        <w:rPr>
          <w:rFonts w:asciiTheme="majorHAnsi" w:eastAsia="Times New Roman" w:hAnsiTheme="majorHAnsi" w:cstheme="majorHAnsi"/>
          <w:sz w:val="24"/>
          <w:szCs w:val="24"/>
        </w:rPr>
        <w:t xml:space="preserve">în cadrul </w:t>
      </w:r>
      <w:r>
        <w:rPr>
          <w:rFonts w:asciiTheme="majorHAnsi" w:eastAsia="Times New Roman" w:hAnsiTheme="majorHAnsi" w:cstheme="majorHAnsi"/>
          <w:sz w:val="24"/>
          <w:szCs w:val="24"/>
        </w:rPr>
        <w:t>Programului „</w:t>
      </w:r>
      <w:r w:rsidR="008420F3">
        <w:rPr>
          <w:rFonts w:asciiTheme="majorHAnsi" w:eastAsia="Times New Roman" w:hAnsiTheme="majorHAnsi" w:cstheme="majorHAnsi"/>
          <w:sz w:val="24"/>
          <w:szCs w:val="24"/>
        </w:rPr>
        <w:t>Prima casă 3”</w:t>
      </w:r>
      <w:r w:rsidR="008420F3" w:rsidRPr="001B0366">
        <w:rPr>
          <w:rFonts w:asciiTheme="majorHAnsi" w:eastAsia="Times New Roman" w:hAnsiTheme="majorHAnsi" w:cstheme="majorHAnsi"/>
          <w:sz w:val="24"/>
          <w:szCs w:val="24"/>
        </w:rPr>
        <w:t>.</w:t>
      </w:r>
    </w:p>
    <w:p w:rsidR="008420F3" w:rsidRDefault="008420F3" w:rsidP="008420F3">
      <w:pPr>
        <w:spacing w:after="0" w:line="276" w:lineRule="auto"/>
        <w:ind w:firstLine="709"/>
        <w:jc w:val="both"/>
        <w:rPr>
          <w:rFonts w:asciiTheme="majorHAnsi" w:eastAsia="Times New Roman" w:hAnsiTheme="majorHAnsi" w:cstheme="majorHAnsi"/>
          <w:sz w:val="24"/>
          <w:szCs w:val="24"/>
        </w:rPr>
      </w:pPr>
    </w:p>
    <w:p w:rsidR="008420F3" w:rsidRPr="00A25EFB" w:rsidRDefault="00A251BC" w:rsidP="008420F3">
      <w:pPr>
        <w:pStyle w:val="Heading3"/>
        <w:rPr>
          <w:rFonts w:cstheme="majorHAnsi"/>
          <w:b/>
          <w:color w:val="000000" w:themeColor="text1"/>
        </w:rPr>
      </w:pPr>
      <w:bookmarkStart w:id="26" w:name="_Toc10126097"/>
      <w:r>
        <w:rPr>
          <w:rFonts w:cstheme="majorHAnsi"/>
          <w:b/>
          <w:color w:val="000000" w:themeColor="text1"/>
        </w:rPr>
        <w:t>3.3</w:t>
      </w:r>
      <w:r w:rsidR="008420F3" w:rsidRPr="00A25EFB">
        <w:rPr>
          <w:rFonts w:cstheme="majorHAnsi"/>
          <w:b/>
          <w:color w:val="000000" w:themeColor="text1"/>
        </w:rPr>
        <w:t>.6</w:t>
      </w:r>
      <w:r w:rsidR="00793C62">
        <w:rPr>
          <w:rFonts w:cstheme="majorHAnsi"/>
          <w:b/>
          <w:color w:val="000000" w:themeColor="text1"/>
        </w:rPr>
        <w:t xml:space="preserve"> </w:t>
      </w:r>
      <w:r w:rsidR="008420F3" w:rsidRPr="00A25EFB">
        <w:rPr>
          <w:rFonts w:cstheme="majorHAnsi"/>
          <w:b/>
          <w:color w:val="000000" w:themeColor="text1"/>
        </w:rPr>
        <w:t>Mijloacele fondurilor de urgență ale Guvernului au fost executate cu unele rezerve.</w:t>
      </w:r>
      <w:bookmarkEnd w:id="26"/>
    </w:p>
    <w:p w:rsidR="008420F3" w:rsidRPr="00194171" w:rsidRDefault="008420F3" w:rsidP="008420F3">
      <w:pPr>
        <w:tabs>
          <w:tab w:val="left" w:pos="993"/>
        </w:tabs>
        <w:spacing w:after="0" w:line="276" w:lineRule="auto"/>
        <w:contextualSpacing/>
        <w:jc w:val="both"/>
        <w:rPr>
          <w:rFonts w:asciiTheme="majorHAnsi" w:hAnsiTheme="majorHAnsi" w:cstheme="majorHAnsi"/>
          <w:b/>
          <w:sz w:val="24"/>
          <w:szCs w:val="24"/>
        </w:rPr>
      </w:pPr>
      <w:r w:rsidRPr="00194171">
        <w:rPr>
          <w:rFonts w:asciiTheme="majorHAnsi" w:eastAsia="Times New Roman" w:hAnsiTheme="majorHAnsi" w:cstheme="majorHAnsi"/>
          <w:sz w:val="24"/>
          <w:szCs w:val="24"/>
          <w:lang w:val="ro-MD"/>
        </w:rPr>
        <w:t xml:space="preserve">Prin Legea bugetului de stat, pentru </w:t>
      </w:r>
      <w:r w:rsidRPr="00237997">
        <w:rPr>
          <w:rFonts w:asciiTheme="majorHAnsi" w:eastAsia="Times New Roman" w:hAnsiTheme="majorHAnsi" w:cstheme="majorHAnsi"/>
          <w:sz w:val="24"/>
          <w:szCs w:val="24"/>
          <w:lang w:val="ro-MD"/>
        </w:rPr>
        <w:t>anul 2018</w:t>
      </w:r>
      <w:r w:rsidRPr="00237997">
        <w:rPr>
          <w:rFonts w:asciiTheme="majorHAnsi" w:eastAsia="Times New Roman" w:hAnsiTheme="majorHAnsi" w:cstheme="majorHAnsi"/>
          <w:sz w:val="24"/>
          <w:szCs w:val="24"/>
          <w:vertAlign w:val="superscript"/>
          <w:lang w:val="ro-MD"/>
        </w:rPr>
        <w:footnoteReference w:id="54"/>
      </w:r>
      <w:r w:rsidR="003451A9" w:rsidRPr="00237997">
        <w:rPr>
          <w:rFonts w:asciiTheme="majorHAnsi" w:eastAsia="Times New Roman" w:hAnsiTheme="majorHAnsi" w:cstheme="majorHAnsi"/>
          <w:sz w:val="24"/>
          <w:szCs w:val="24"/>
          <w:lang w:val="ro-MD"/>
        </w:rPr>
        <w:t xml:space="preserve"> „</w:t>
      </w:r>
      <w:r w:rsidRPr="00237997">
        <w:rPr>
          <w:rFonts w:asciiTheme="majorHAnsi" w:eastAsia="Times New Roman" w:hAnsiTheme="majorHAnsi" w:cstheme="majorHAnsi"/>
          <w:sz w:val="24"/>
          <w:szCs w:val="24"/>
          <w:lang w:val="ro-MD"/>
        </w:rPr>
        <w:t>fondurile</w:t>
      </w:r>
      <w:r w:rsidRPr="00194171">
        <w:rPr>
          <w:rFonts w:asciiTheme="majorHAnsi" w:eastAsia="Times New Roman" w:hAnsiTheme="majorHAnsi" w:cstheme="majorHAnsi"/>
          <w:sz w:val="24"/>
          <w:szCs w:val="24"/>
          <w:lang w:val="ro-MD"/>
        </w:rPr>
        <w:t xml:space="preserve"> de urgență ale Guvernului (constitui</w:t>
      </w:r>
      <w:r w:rsidR="003451A9">
        <w:rPr>
          <w:rFonts w:asciiTheme="majorHAnsi" w:eastAsia="Times New Roman" w:hAnsiTheme="majorHAnsi" w:cstheme="majorHAnsi"/>
          <w:sz w:val="24"/>
          <w:szCs w:val="24"/>
          <w:lang w:val="ro-MD"/>
        </w:rPr>
        <w:t>t</w:t>
      </w:r>
      <w:r w:rsidRPr="00194171">
        <w:rPr>
          <w:rFonts w:asciiTheme="majorHAnsi" w:eastAsia="Times New Roman" w:hAnsiTheme="majorHAnsi" w:cstheme="majorHAnsi"/>
          <w:sz w:val="24"/>
          <w:szCs w:val="24"/>
          <w:lang w:val="ro-MD"/>
        </w:rPr>
        <w:t xml:space="preserve">e din fondul de rezervă și fondul de intervenție) inițial au fost aprobate în volum de 70,0 mil.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inclusiv 50,0 mil.</w:t>
      </w:r>
      <w:r w:rsidR="003451A9">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xml:space="preserve"> pentru fondul de rezervă a</w:t>
      </w:r>
      <w:r w:rsidR="003451A9">
        <w:rPr>
          <w:rFonts w:asciiTheme="majorHAnsi" w:eastAsia="Times New Roman" w:hAnsiTheme="majorHAnsi" w:cstheme="majorHAnsi"/>
          <w:sz w:val="24"/>
          <w:szCs w:val="24"/>
          <w:lang w:val="ro-MD"/>
        </w:rPr>
        <w:t>l</w:t>
      </w:r>
      <w:r w:rsidRPr="00194171">
        <w:rPr>
          <w:rFonts w:asciiTheme="majorHAnsi" w:eastAsia="Times New Roman" w:hAnsiTheme="majorHAnsi" w:cstheme="majorHAnsi"/>
          <w:sz w:val="24"/>
          <w:szCs w:val="24"/>
          <w:lang w:val="ro-MD"/>
        </w:rPr>
        <w:t xml:space="preserve"> Guvernului și 20,0 mil.</w:t>
      </w:r>
      <w:r w:rsidR="003451A9">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xml:space="preserve"> pentru fondul de intervenție al Guvernului. Urmare </w:t>
      </w:r>
      <w:r w:rsidR="003451A9">
        <w:rPr>
          <w:rFonts w:asciiTheme="majorHAnsi" w:eastAsia="Times New Roman" w:hAnsiTheme="majorHAnsi" w:cstheme="majorHAnsi"/>
          <w:sz w:val="24"/>
          <w:szCs w:val="24"/>
          <w:lang w:val="ro-MD"/>
        </w:rPr>
        <w:t xml:space="preserve">a </w:t>
      </w:r>
      <w:r w:rsidRPr="00194171">
        <w:rPr>
          <w:rFonts w:asciiTheme="majorHAnsi" w:eastAsia="Times New Roman" w:hAnsiTheme="majorHAnsi" w:cstheme="majorHAnsi"/>
          <w:sz w:val="24"/>
          <w:szCs w:val="24"/>
          <w:lang w:val="ro-MD"/>
        </w:rPr>
        <w:t>modificărilor operate pe parcursul anului</w:t>
      </w:r>
      <w:r w:rsidR="003451A9">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alocațiile respective au fost majorate cu 49,0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xml:space="preserve"> pentru fondul de rezervă și cu 20,0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 xml:space="preserve">MDL </w:t>
      </w:r>
      <w:r w:rsidR="003451A9">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fondul de intervenție. </w:t>
      </w:r>
    </w:p>
    <w:p w:rsidR="008420F3" w:rsidRPr="00194171" w:rsidRDefault="008420F3" w:rsidP="008420F3">
      <w:pPr>
        <w:tabs>
          <w:tab w:val="left" w:pos="993"/>
        </w:tabs>
        <w:spacing w:after="0" w:line="276" w:lineRule="auto"/>
        <w:ind w:firstLine="709"/>
        <w:contextualSpacing/>
        <w:jc w:val="both"/>
        <w:rPr>
          <w:rFonts w:asciiTheme="majorHAnsi" w:hAnsiTheme="majorHAnsi" w:cstheme="majorHAnsi"/>
          <w:b/>
          <w:i/>
          <w:sz w:val="24"/>
          <w:szCs w:val="24"/>
        </w:rPr>
      </w:pPr>
      <w:r w:rsidRPr="00194171">
        <w:rPr>
          <w:rFonts w:asciiTheme="majorHAnsi" w:eastAsia="Times New Roman" w:hAnsiTheme="majorHAnsi" w:cstheme="majorHAnsi"/>
          <w:sz w:val="24"/>
          <w:szCs w:val="24"/>
          <w:lang w:val="ro-MD"/>
        </w:rPr>
        <w:t>Pentru alocarea și repartizarea mijloacelor din fondul de rezervă</w:t>
      </w:r>
      <w:r w:rsidR="003451A9">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pe parcursul anului 2018 au fost aprobate 17 hotărâri de Guvern în valoare de 75,6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003451A9">
        <w:rPr>
          <w:rFonts w:asciiTheme="majorHAnsi" w:eastAsia="Times New Roman" w:hAnsiTheme="majorHAnsi" w:cstheme="majorHAnsi"/>
          <w:sz w:val="24"/>
          <w:szCs w:val="24"/>
          <w:lang w:val="ro-MD"/>
        </w:rPr>
        <w:t>, iar</w:t>
      </w:r>
      <w:r w:rsidRPr="00194171">
        <w:rPr>
          <w:rFonts w:asciiTheme="majorHAnsi" w:eastAsia="Times New Roman" w:hAnsiTheme="majorHAnsi" w:cstheme="majorHAnsi"/>
          <w:sz w:val="24"/>
          <w:szCs w:val="24"/>
          <w:lang w:val="ro-MD"/>
        </w:rPr>
        <w:t xml:space="preserve"> din fondul de intervenție – 8 hotărâri de Guvern în sumă de 15,9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Totodată, executarea cheltuielilor în scopurile menționate au fost la nivel de 96,1%</w:t>
      </w:r>
      <w:r w:rsidR="003451A9">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sau 72,7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xml:space="preserve"> din fondul de rezervă și</w:t>
      </w:r>
      <w:r>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respectiv</w:t>
      </w:r>
      <w:r>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la nivel de 90,4%</w:t>
      </w:r>
      <w:r w:rsidR="003451A9">
        <w:rPr>
          <w:rFonts w:asciiTheme="majorHAnsi" w:eastAsia="Times New Roman" w:hAnsiTheme="majorHAnsi" w:cstheme="majorHAnsi"/>
          <w:sz w:val="24"/>
          <w:szCs w:val="24"/>
          <w:lang w:val="ro-MD"/>
        </w:rPr>
        <w:t>,</w:t>
      </w:r>
      <w:r w:rsidRPr="00194171">
        <w:rPr>
          <w:rFonts w:asciiTheme="majorHAnsi" w:eastAsia="Times New Roman" w:hAnsiTheme="majorHAnsi" w:cstheme="majorHAnsi"/>
          <w:sz w:val="24"/>
          <w:szCs w:val="24"/>
          <w:lang w:val="ro-MD"/>
        </w:rPr>
        <w:t xml:space="preserve"> sau 14,4 mil.</w:t>
      </w:r>
      <w:r>
        <w:rPr>
          <w:rFonts w:asciiTheme="majorHAnsi" w:eastAsia="Times New Roman" w:hAnsiTheme="majorHAnsi" w:cstheme="majorHAnsi"/>
          <w:sz w:val="24"/>
          <w:szCs w:val="24"/>
          <w:lang w:val="ro-MD"/>
        </w:rPr>
        <w:t xml:space="preserve"> </w:t>
      </w:r>
      <w:r w:rsidR="007160B9">
        <w:rPr>
          <w:rFonts w:asciiTheme="majorHAnsi" w:eastAsia="Times New Roman" w:hAnsiTheme="majorHAnsi" w:cstheme="majorHAnsi"/>
          <w:sz w:val="24"/>
          <w:szCs w:val="24"/>
          <w:lang w:val="ro-MD"/>
        </w:rPr>
        <w:t>MDL</w:t>
      </w:r>
      <w:r w:rsidRPr="00194171">
        <w:rPr>
          <w:rFonts w:asciiTheme="majorHAnsi" w:eastAsia="Times New Roman" w:hAnsiTheme="majorHAnsi" w:cstheme="majorHAnsi"/>
          <w:sz w:val="24"/>
          <w:szCs w:val="24"/>
          <w:lang w:val="ro-MD"/>
        </w:rPr>
        <w:t xml:space="preserve"> din fondul de intervenție.</w:t>
      </w:r>
      <w:r w:rsidRPr="00194171">
        <w:rPr>
          <w:rFonts w:asciiTheme="majorHAnsi" w:eastAsia="Calibri" w:hAnsiTheme="majorHAnsi" w:cstheme="majorHAnsi"/>
          <w:color w:val="000000"/>
          <w:sz w:val="24"/>
          <w:szCs w:val="24"/>
          <w:lang w:val="ro-MD"/>
        </w:rPr>
        <w:t xml:space="preserve"> </w:t>
      </w:r>
      <w:r w:rsidRPr="00194171">
        <w:rPr>
          <w:rFonts w:asciiTheme="majorHAnsi" w:eastAsia="Times New Roman" w:hAnsiTheme="majorHAnsi" w:cstheme="majorHAnsi"/>
          <w:i/>
          <w:sz w:val="24"/>
          <w:szCs w:val="24"/>
          <w:lang w:val="ro-MD"/>
        </w:rPr>
        <w:t>Sinteza executării mijloacelor financiare din fondurile de rezervă și de</w:t>
      </w:r>
      <w:r w:rsidR="00793C62">
        <w:rPr>
          <w:rFonts w:asciiTheme="majorHAnsi" w:eastAsia="Times New Roman" w:hAnsiTheme="majorHAnsi" w:cstheme="majorHAnsi"/>
          <w:i/>
          <w:sz w:val="24"/>
          <w:szCs w:val="24"/>
          <w:lang w:val="ro-MD"/>
        </w:rPr>
        <w:t xml:space="preserve"> </w:t>
      </w:r>
      <w:r w:rsidRPr="00194171">
        <w:rPr>
          <w:rFonts w:asciiTheme="majorHAnsi" w:eastAsia="Times New Roman" w:hAnsiTheme="majorHAnsi" w:cstheme="majorHAnsi"/>
          <w:i/>
          <w:sz w:val="24"/>
          <w:szCs w:val="24"/>
          <w:lang w:val="ro-MD"/>
        </w:rPr>
        <w:t xml:space="preserve">intervenție ale Guvernului se prezintă în </w:t>
      </w:r>
      <w:r w:rsidR="008C396F">
        <w:rPr>
          <w:rFonts w:asciiTheme="majorHAnsi" w:eastAsia="Times New Roman" w:hAnsiTheme="majorHAnsi" w:cstheme="majorHAnsi"/>
          <w:i/>
          <w:sz w:val="24"/>
          <w:szCs w:val="24"/>
          <w:lang w:val="ro-MD"/>
        </w:rPr>
        <w:t>Diagrama nr.9</w:t>
      </w:r>
      <w:r w:rsidRPr="00194171">
        <w:rPr>
          <w:rFonts w:asciiTheme="majorHAnsi" w:eastAsia="Times New Roman" w:hAnsiTheme="majorHAnsi" w:cstheme="majorHAnsi"/>
          <w:i/>
          <w:sz w:val="24"/>
          <w:szCs w:val="24"/>
          <w:lang w:val="ro-MD"/>
        </w:rPr>
        <w:t>.</w:t>
      </w:r>
    </w:p>
    <w:p w:rsidR="008420F3" w:rsidRPr="00D92673" w:rsidRDefault="00793C62" w:rsidP="00FB186A">
      <w:pPr>
        <w:spacing w:line="256" w:lineRule="auto"/>
        <w:jc w:val="right"/>
        <w:rPr>
          <w:rFonts w:asciiTheme="majorHAnsi" w:eastAsia="Times New Roman" w:hAnsiTheme="majorHAnsi" w:cs="Times New Roman"/>
          <w:i/>
          <w:sz w:val="24"/>
          <w:szCs w:val="24"/>
          <w:lang w:val="ro-MD"/>
        </w:rPr>
      </w:pPr>
      <w:r>
        <w:rPr>
          <w:rFonts w:ascii="Times New Roman" w:eastAsia="Calibri" w:hAnsi="Times New Roman" w:cs="Times New Roman"/>
          <w:color w:val="000000"/>
          <w:sz w:val="28"/>
          <w:szCs w:val="28"/>
          <w:lang w:val="ro-MD"/>
        </w:rPr>
        <w:t xml:space="preserve">                                                           </w:t>
      </w:r>
      <w:r w:rsidR="008C396F">
        <w:rPr>
          <w:rFonts w:asciiTheme="majorHAnsi" w:eastAsia="Times New Roman" w:hAnsiTheme="majorHAnsi" w:cs="Times New Roman"/>
          <w:i/>
          <w:sz w:val="24"/>
          <w:szCs w:val="24"/>
          <w:lang w:val="ro-MD"/>
        </w:rPr>
        <w:t>Diagrama nr.9</w:t>
      </w:r>
    </w:p>
    <w:p w:rsidR="008420F3" w:rsidRDefault="008420F3" w:rsidP="008420F3">
      <w:pPr>
        <w:spacing w:after="0" w:line="257" w:lineRule="auto"/>
        <w:jc w:val="center"/>
        <w:rPr>
          <w:rFonts w:asciiTheme="majorHAnsi" w:eastAsia="Times New Roman" w:hAnsiTheme="majorHAnsi" w:cs="Times New Roman"/>
          <w:b/>
          <w:sz w:val="24"/>
          <w:szCs w:val="24"/>
          <w:lang w:val="ro-MD"/>
        </w:rPr>
      </w:pPr>
      <w:r w:rsidRPr="00194171">
        <w:rPr>
          <w:rFonts w:asciiTheme="majorHAnsi" w:eastAsia="Times New Roman" w:hAnsiTheme="majorHAnsi" w:cs="Times New Roman"/>
          <w:b/>
          <w:sz w:val="24"/>
          <w:szCs w:val="24"/>
          <w:lang w:val="ro-MD"/>
        </w:rPr>
        <w:lastRenderedPageBreak/>
        <w:t xml:space="preserve">Sinteza executării în anul 2018 a mijloacelor financiare din fondurile de rezervă și de intervenție ale Guvernului </w:t>
      </w:r>
    </w:p>
    <w:p w:rsidR="008420F3" w:rsidRPr="00194171" w:rsidRDefault="008420F3" w:rsidP="008420F3">
      <w:pPr>
        <w:spacing w:after="0" w:line="257" w:lineRule="auto"/>
        <w:ind w:right="616"/>
        <w:jc w:val="right"/>
        <w:rPr>
          <w:rFonts w:ascii="Times New Roman" w:eastAsiaTheme="minorEastAsia" w:hAnsi="Times New Roman" w:cs="Times New Roman"/>
          <w:b/>
          <w:bCs/>
          <w:i/>
          <w:iCs/>
          <w:szCs w:val="28"/>
          <w:lang w:val="ro-MD" w:eastAsia="ru-RU"/>
        </w:rPr>
      </w:pPr>
      <w:r w:rsidRPr="00194171">
        <w:rPr>
          <w:rFonts w:asciiTheme="majorHAnsi" w:eastAsia="Times New Roman" w:hAnsiTheme="majorHAnsi" w:cs="Times New Roman"/>
          <w:b/>
          <w:sz w:val="24"/>
          <w:szCs w:val="24"/>
          <w:lang w:val="ro-MD"/>
        </w:rPr>
        <w:t>(mil</w:t>
      </w:r>
      <w:r w:rsidRPr="001E05B5">
        <w:rPr>
          <w:rFonts w:asciiTheme="majorHAnsi" w:eastAsia="Times New Roman" w:hAnsiTheme="majorHAnsi" w:cstheme="majorHAnsi"/>
          <w:b/>
          <w:sz w:val="24"/>
          <w:szCs w:val="24"/>
          <w:lang w:val="ro-MD"/>
        </w:rPr>
        <w:t xml:space="preserve">. </w:t>
      </w:r>
      <w:r w:rsidR="007160B9">
        <w:rPr>
          <w:rFonts w:asciiTheme="majorHAnsi" w:eastAsiaTheme="minorEastAsia" w:hAnsiTheme="majorHAnsi" w:cstheme="majorHAnsi"/>
          <w:b/>
          <w:bCs/>
          <w:iCs/>
          <w:sz w:val="24"/>
          <w:szCs w:val="28"/>
          <w:lang w:val="ro-MD" w:eastAsia="ru-RU"/>
        </w:rPr>
        <w:t>MDL</w:t>
      </w:r>
      <w:r w:rsidRPr="001E05B5">
        <w:rPr>
          <w:rFonts w:asciiTheme="majorHAnsi" w:eastAsiaTheme="minorEastAsia" w:hAnsiTheme="majorHAnsi" w:cstheme="majorHAnsi"/>
          <w:b/>
          <w:bCs/>
          <w:iCs/>
          <w:sz w:val="24"/>
          <w:szCs w:val="28"/>
          <w:lang w:val="ro-MD" w:eastAsia="ru-RU"/>
        </w:rPr>
        <w:t>)</w:t>
      </w:r>
    </w:p>
    <w:p w:rsidR="008420F3" w:rsidRPr="00B42CED" w:rsidRDefault="008420F3" w:rsidP="008420F3">
      <w:pPr>
        <w:spacing w:after="0" w:line="276" w:lineRule="auto"/>
        <w:jc w:val="center"/>
        <w:rPr>
          <w:rFonts w:ascii="Times New Roman" w:eastAsia="Calibri" w:hAnsi="Times New Roman" w:cs="Times New Roman"/>
          <w:color w:val="000000"/>
          <w:sz w:val="28"/>
          <w:szCs w:val="28"/>
          <w:lang w:val="ro-MD"/>
        </w:rPr>
      </w:pPr>
      <w:r w:rsidRPr="001E05B5">
        <w:rPr>
          <w:rFonts w:asciiTheme="majorHAnsi" w:eastAsia="Calibri" w:hAnsiTheme="majorHAnsi" w:cstheme="majorHAnsi"/>
          <w:b/>
          <w:noProof/>
          <w:color w:val="000000"/>
          <w:shd w:val="clear" w:color="auto" w:fill="FFFFFF" w:themeFill="background1"/>
          <w:lang w:val="en-US"/>
        </w:rPr>
        <w:drawing>
          <wp:inline distT="0" distB="0" distL="0" distR="0" wp14:anchorId="5A1327F8" wp14:editId="2BF134EE">
            <wp:extent cx="5539740" cy="19278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420F3" w:rsidRPr="001E05B5" w:rsidRDefault="00793C62" w:rsidP="008420F3">
      <w:pPr>
        <w:spacing w:after="0" w:line="276" w:lineRule="auto"/>
        <w:jc w:val="both"/>
        <w:rPr>
          <w:rFonts w:asciiTheme="majorHAnsi" w:eastAsia="Calibri" w:hAnsiTheme="majorHAnsi" w:cstheme="majorHAnsi"/>
          <w:color w:val="000000"/>
          <w:sz w:val="20"/>
          <w:szCs w:val="20"/>
          <w:lang w:val="ro-MD"/>
        </w:rPr>
      </w:pPr>
      <w:r>
        <w:rPr>
          <w:rFonts w:asciiTheme="majorHAnsi" w:eastAsia="Times New Roman" w:hAnsiTheme="majorHAnsi" w:cstheme="majorHAnsi"/>
          <w:b/>
          <w:i/>
          <w:sz w:val="20"/>
          <w:szCs w:val="20"/>
          <w:lang w:val="ro-MD" w:eastAsia="ru-RU"/>
        </w:rPr>
        <w:t xml:space="preserve">      </w:t>
      </w:r>
      <w:r w:rsidR="008420F3" w:rsidRPr="001E05B5">
        <w:rPr>
          <w:rFonts w:asciiTheme="majorHAnsi" w:eastAsia="Times New Roman" w:hAnsiTheme="majorHAnsi" w:cstheme="majorHAnsi"/>
          <w:b/>
          <w:i/>
          <w:sz w:val="20"/>
          <w:szCs w:val="20"/>
          <w:lang w:val="ro-MD" w:eastAsia="ru-RU"/>
        </w:rPr>
        <w:t xml:space="preserve">Sursă: </w:t>
      </w:r>
      <w:r w:rsidR="008420F3" w:rsidRPr="001E05B5">
        <w:rPr>
          <w:rFonts w:asciiTheme="majorHAnsi" w:eastAsia="Times New Roman" w:hAnsiTheme="majorHAnsi" w:cstheme="majorHAnsi"/>
          <w:i/>
          <w:sz w:val="20"/>
          <w:szCs w:val="20"/>
          <w:lang w:val="ro-MD" w:eastAsia="ru-RU"/>
        </w:rPr>
        <w:t>Date generalizate de echipa de audit conform informațiilor prezentate de Ministerul Finanțelor</w:t>
      </w:r>
      <w:r w:rsidR="008420F3">
        <w:rPr>
          <w:rFonts w:asciiTheme="majorHAnsi" w:eastAsia="Times New Roman" w:hAnsiTheme="majorHAnsi" w:cstheme="majorHAnsi"/>
          <w:i/>
          <w:sz w:val="20"/>
          <w:szCs w:val="20"/>
          <w:lang w:val="ro-MD" w:eastAsia="ru-RU"/>
        </w:rPr>
        <w:t>.</w:t>
      </w:r>
    </w:p>
    <w:p w:rsidR="00237997" w:rsidRDefault="00237997" w:rsidP="008420F3">
      <w:pPr>
        <w:spacing w:after="0" w:line="276" w:lineRule="auto"/>
        <w:ind w:firstLine="709"/>
        <w:jc w:val="both"/>
        <w:rPr>
          <w:rFonts w:asciiTheme="majorHAnsi" w:eastAsia="Times New Roman" w:hAnsiTheme="majorHAnsi" w:cs="Times New Roman"/>
          <w:sz w:val="24"/>
          <w:szCs w:val="24"/>
          <w:lang w:val="ro-MD"/>
        </w:rPr>
      </w:pPr>
    </w:p>
    <w:p w:rsidR="008420F3" w:rsidRPr="00612118" w:rsidRDefault="008420F3" w:rsidP="008420F3">
      <w:pPr>
        <w:spacing w:after="0" w:line="276" w:lineRule="auto"/>
        <w:ind w:firstLine="709"/>
        <w:jc w:val="both"/>
        <w:rPr>
          <w:rFonts w:asciiTheme="majorHAnsi" w:eastAsia="Times New Roman" w:hAnsiTheme="majorHAnsi" w:cs="Times New Roman"/>
          <w:i/>
          <w:sz w:val="24"/>
          <w:szCs w:val="24"/>
          <w:lang w:val="ro-MD"/>
        </w:rPr>
      </w:pPr>
      <w:r w:rsidRPr="00B42CED">
        <w:rPr>
          <w:rFonts w:asciiTheme="majorHAnsi" w:eastAsia="Times New Roman" w:hAnsiTheme="majorHAnsi" w:cs="Times New Roman"/>
          <w:sz w:val="24"/>
          <w:szCs w:val="24"/>
          <w:lang w:val="ro-MD"/>
        </w:rPr>
        <w:t>Verificările auditului denotă că</w:t>
      </w:r>
      <w:r w:rsidR="003451A9">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în perioada auditată, o pondere semnificativă de 56,9% din totalul deciziilor Guvernului de repartizare și</w:t>
      </w:r>
      <w:r w:rsidR="000B629D">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respectiv</w:t>
      </w:r>
      <w:r w:rsidR="000B629D">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executare a mijloacelor fondului de rezervă revine cheltuielile legate de plățile onorariilor de consultanță juridică, avocatură și procedură de arbitraj pentru re</w:t>
      </w:r>
      <w:r w:rsidR="000B629D">
        <w:rPr>
          <w:rFonts w:asciiTheme="majorHAnsi" w:eastAsia="Times New Roman" w:hAnsiTheme="majorHAnsi" w:cs="Times New Roman"/>
          <w:sz w:val="24"/>
          <w:szCs w:val="24"/>
          <w:lang w:val="ro-MD"/>
        </w:rPr>
        <w:t>pre</w:t>
      </w:r>
      <w:r w:rsidRPr="00B42CED">
        <w:rPr>
          <w:rFonts w:asciiTheme="majorHAnsi" w:eastAsia="Times New Roman" w:hAnsiTheme="majorHAnsi" w:cs="Times New Roman"/>
          <w:sz w:val="24"/>
          <w:szCs w:val="24"/>
          <w:lang w:val="ro-MD"/>
        </w:rPr>
        <w:t xml:space="preserve">zentarea intereselor Guvernului RM în instanțele internaționale, înregistrând o creștere de 40,6 mil. </w:t>
      </w:r>
      <w:r w:rsidR="007160B9">
        <w:rPr>
          <w:rFonts w:asciiTheme="majorHAnsi" w:eastAsia="Times New Roman" w:hAnsiTheme="majorHAnsi" w:cs="Times New Roman"/>
          <w:sz w:val="24"/>
          <w:szCs w:val="24"/>
          <w:lang w:val="ro-MD"/>
        </w:rPr>
        <w:t>MDL</w:t>
      </w:r>
      <w:r w:rsidR="000B629D">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comparativ cu anul</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2017. În viziunea auditului</w:t>
      </w:r>
      <w:r w:rsidR="000B629D">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cheltuielile menționate nu întrunesc concomitent toate criteriile de eligibilitate stabilite de cadru</w:t>
      </w:r>
      <w:r w:rsidR="000B629D">
        <w:rPr>
          <w:rFonts w:asciiTheme="majorHAnsi" w:eastAsia="Times New Roman" w:hAnsiTheme="majorHAnsi" w:cs="Times New Roman"/>
          <w:sz w:val="24"/>
          <w:szCs w:val="24"/>
          <w:lang w:val="ro-MD"/>
        </w:rPr>
        <w:t>l</w:t>
      </w:r>
      <w:r w:rsidRPr="00B42CED">
        <w:rPr>
          <w:rFonts w:asciiTheme="majorHAnsi" w:eastAsia="Times New Roman" w:hAnsiTheme="majorHAnsi" w:cs="Times New Roman"/>
          <w:sz w:val="24"/>
          <w:szCs w:val="24"/>
          <w:lang w:val="ro-MD"/>
        </w:rPr>
        <w:t xml:space="preserve"> normativ</w:t>
      </w:r>
      <w:r w:rsidRPr="00B42CED">
        <w:rPr>
          <w:rFonts w:asciiTheme="majorHAnsi" w:eastAsia="Times New Roman" w:hAnsiTheme="majorHAnsi" w:cs="Times New Roman"/>
          <w:sz w:val="24"/>
          <w:szCs w:val="24"/>
          <w:vertAlign w:val="superscript"/>
          <w:lang w:val="ro-MD"/>
        </w:rPr>
        <w:footnoteReference w:id="55"/>
      </w:r>
      <w:r w:rsidR="00005652">
        <w:rPr>
          <w:rFonts w:asciiTheme="majorHAnsi" w:eastAsia="Times New Roman" w:hAnsiTheme="majorHAnsi" w:cs="Times New Roman"/>
          <w:sz w:val="24"/>
          <w:szCs w:val="24"/>
          <w:lang w:val="ro-MD"/>
        </w:rPr>
        <w:t xml:space="preserve">, având impact </w:t>
      </w:r>
      <w:r w:rsidR="000B629D">
        <w:rPr>
          <w:rFonts w:asciiTheme="majorHAnsi" w:eastAsia="Times New Roman" w:hAnsiTheme="majorHAnsi" w:cs="Times New Roman"/>
          <w:sz w:val="24"/>
          <w:szCs w:val="24"/>
          <w:lang w:val="ro-MD"/>
        </w:rPr>
        <w:t>asupra</w:t>
      </w:r>
      <w:r w:rsidR="00005652">
        <w:rPr>
          <w:rFonts w:asciiTheme="majorHAnsi" w:eastAsia="Times New Roman" w:hAnsiTheme="majorHAnsi" w:cs="Times New Roman"/>
          <w:sz w:val="24"/>
          <w:szCs w:val="24"/>
          <w:lang w:val="ro-MD"/>
        </w:rPr>
        <w:t xml:space="preserve"> major</w:t>
      </w:r>
      <w:r w:rsidR="000B629D">
        <w:rPr>
          <w:rFonts w:asciiTheme="majorHAnsi" w:eastAsia="Times New Roman" w:hAnsiTheme="majorHAnsi" w:cs="Times New Roman"/>
          <w:sz w:val="24"/>
          <w:szCs w:val="24"/>
          <w:lang w:val="ro-MD"/>
        </w:rPr>
        <w:t>ării</w:t>
      </w:r>
      <w:r w:rsidR="00005652">
        <w:rPr>
          <w:rFonts w:asciiTheme="majorHAnsi" w:eastAsia="Times New Roman" w:hAnsiTheme="majorHAnsi" w:cs="Times New Roman"/>
          <w:sz w:val="24"/>
          <w:szCs w:val="24"/>
          <w:lang w:val="ro-MD"/>
        </w:rPr>
        <w:t xml:space="preserve"> </w:t>
      </w:r>
      <w:r w:rsidR="000B629D">
        <w:rPr>
          <w:rFonts w:asciiTheme="majorHAnsi" w:eastAsia="Times New Roman" w:hAnsiTheme="majorHAnsi" w:cs="Times New Roman"/>
          <w:sz w:val="24"/>
          <w:szCs w:val="24"/>
          <w:lang w:val="ro-MD"/>
        </w:rPr>
        <w:t xml:space="preserve">indicilor </w:t>
      </w:r>
      <w:r w:rsidR="00005652">
        <w:rPr>
          <w:rFonts w:asciiTheme="majorHAnsi" w:eastAsia="Times New Roman" w:hAnsiTheme="majorHAnsi" w:cs="Times New Roman"/>
          <w:sz w:val="24"/>
          <w:szCs w:val="24"/>
          <w:lang w:val="ro-MD"/>
        </w:rPr>
        <w:t xml:space="preserve">situației financiare raportate la pozițiile respective. </w:t>
      </w:r>
      <w:r w:rsidRPr="00010B58">
        <w:rPr>
          <w:rFonts w:asciiTheme="majorHAnsi" w:eastAsia="Times New Roman" w:hAnsiTheme="majorHAnsi" w:cs="Times New Roman"/>
          <w:i/>
          <w:sz w:val="24"/>
          <w:szCs w:val="24"/>
          <w:lang w:val="ro-MD"/>
        </w:rPr>
        <w:t xml:space="preserve">Direcțiile principale de utilizare a mijloacelor fondului de rezervă al Guvernului în anul </w:t>
      </w:r>
      <w:r w:rsidR="00F438B1">
        <w:rPr>
          <w:rFonts w:asciiTheme="majorHAnsi" w:eastAsia="Times New Roman" w:hAnsiTheme="majorHAnsi" w:cs="Times New Roman"/>
          <w:i/>
          <w:sz w:val="24"/>
          <w:szCs w:val="24"/>
          <w:lang w:val="ro-MD"/>
        </w:rPr>
        <w:t>2</w:t>
      </w:r>
      <w:r w:rsidR="00523058">
        <w:rPr>
          <w:rFonts w:asciiTheme="majorHAnsi" w:eastAsia="Times New Roman" w:hAnsiTheme="majorHAnsi" w:cs="Times New Roman"/>
          <w:i/>
          <w:sz w:val="24"/>
          <w:szCs w:val="24"/>
          <w:lang w:val="ro-MD"/>
        </w:rPr>
        <w:t>018 se prezintă în Tabelul nr.14</w:t>
      </w:r>
      <w:r w:rsidR="00F438B1">
        <w:rPr>
          <w:rFonts w:asciiTheme="majorHAnsi" w:eastAsia="Times New Roman" w:hAnsiTheme="majorHAnsi" w:cs="Times New Roman"/>
          <w:i/>
          <w:sz w:val="24"/>
          <w:szCs w:val="24"/>
          <w:lang w:val="ro-MD"/>
        </w:rPr>
        <w:t>.</w:t>
      </w:r>
    </w:p>
    <w:p w:rsidR="008420F3" w:rsidRPr="008F371F" w:rsidRDefault="00793C62" w:rsidP="008420F3">
      <w:pPr>
        <w:spacing w:after="0" w:line="276" w:lineRule="auto"/>
        <w:jc w:val="right"/>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 xml:space="preserve">                                                                        </w:t>
      </w:r>
      <w:r w:rsidR="00523058">
        <w:rPr>
          <w:rFonts w:asciiTheme="majorHAnsi" w:eastAsia="Times New Roman" w:hAnsiTheme="majorHAnsi" w:cs="Times New Roman"/>
          <w:i/>
          <w:sz w:val="24"/>
          <w:szCs w:val="24"/>
          <w:lang w:val="ro-MD"/>
        </w:rPr>
        <w:t>Tabelul nr.14</w:t>
      </w:r>
    </w:p>
    <w:p w:rsidR="008420F3" w:rsidRPr="00612118" w:rsidRDefault="008420F3" w:rsidP="008420F3">
      <w:pPr>
        <w:spacing w:after="0" w:line="276" w:lineRule="auto"/>
        <w:jc w:val="center"/>
        <w:rPr>
          <w:rFonts w:ascii="Times New Roman" w:eastAsia="Times New Roman" w:hAnsi="Times New Roman" w:cs="Times New Roman"/>
          <w:b/>
          <w:sz w:val="28"/>
          <w:szCs w:val="28"/>
          <w:lang w:eastAsia="ru-RU"/>
        </w:rPr>
      </w:pPr>
      <w:r w:rsidRPr="00612118">
        <w:rPr>
          <w:rFonts w:asciiTheme="majorHAnsi" w:eastAsia="Times New Roman" w:hAnsiTheme="majorHAnsi" w:cs="Times New Roman"/>
          <w:b/>
          <w:sz w:val="24"/>
          <w:szCs w:val="24"/>
          <w:lang w:val="ro-MD"/>
        </w:rPr>
        <w:t>Direcțiile principale de utilizare a mijloacelor fondului de rezervă al Guvernului în anul 2018</w:t>
      </w:r>
    </w:p>
    <w:tbl>
      <w:tblPr>
        <w:tblStyle w:val="GridTable1Light1"/>
        <w:tblW w:w="9920" w:type="dxa"/>
        <w:tblLook w:val="04A0" w:firstRow="1" w:lastRow="0" w:firstColumn="1" w:lastColumn="0" w:noHBand="0" w:noVBand="1"/>
      </w:tblPr>
      <w:tblGrid>
        <w:gridCol w:w="5382"/>
        <w:gridCol w:w="1134"/>
        <w:gridCol w:w="1134"/>
        <w:gridCol w:w="1134"/>
        <w:gridCol w:w="1136"/>
      </w:tblGrid>
      <w:tr w:rsidR="008420F3" w:rsidRPr="006F20A8" w:rsidTr="006F20A8">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382" w:type="dxa"/>
            <w:vMerge w:val="restart"/>
            <w:vAlign w:val="center"/>
            <w:hideMark/>
          </w:tcPr>
          <w:p w:rsidR="008420F3" w:rsidRPr="006F20A8" w:rsidRDefault="008420F3" w:rsidP="006F20A8">
            <w:pPr>
              <w:jc w:val="center"/>
              <w:rPr>
                <w:rFonts w:asciiTheme="majorHAnsi" w:eastAsia="Times New Roman" w:hAnsiTheme="majorHAnsi" w:cstheme="majorHAnsi"/>
                <w:bCs w:val="0"/>
                <w:color w:val="000000"/>
                <w:sz w:val="24"/>
                <w:szCs w:val="24"/>
                <w:lang w:eastAsia="ru-RU"/>
              </w:rPr>
            </w:pPr>
            <w:r w:rsidRPr="006F20A8">
              <w:rPr>
                <w:rFonts w:asciiTheme="majorHAnsi" w:eastAsia="Times New Roman" w:hAnsiTheme="majorHAnsi" w:cstheme="majorHAnsi"/>
                <w:color w:val="000000"/>
                <w:sz w:val="24"/>
                <w:szCs w:val="24"/>
                <w:lang w:eastAsia="ru-RU"/>
              </w:rPr>
              <w:t>Denumirea măsurii</w:t>
            </w:r>
          </w:p>
        </w:tc>
        <w:tc>
          <w:tcPr>
            <w:tcW w:w="2268" w:type="dxa"/>
            <w:gridSpan w:val="2"/>
            <w:vAlign w:val="center"/>
            <w:hideMark/>
          </w:tcPr>
          <w:p w:rsidR="008420F3" w:rsidRPr="006F20A8" w:rsidRDefault="008420F3" w:rsidP="006F20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4"/>
                <w:szCs w:val="24"/>
                <w:lang w:eastAsia="ru-RU"/>
              </w:rPr>
            </w:pPr>
            <w:r w:rsidRPr="006F20A8">
              <w:rPr>
                <w:rFonts w:asciiTheme="majorHAnsi" w:eastAsia="Times New Roman" w:hAnsiTheme="majorHAnsi" w:cstheme="majorHAnsi"/>
                <w:color w:val="000000"/>
                <w:sz w:val="24"/>
                <w:szCs w:val="24"/>
                <w:lang w:eastAsia="ru-RU"/>
              </w:rPr>
              <w:t>Repartizat conform deciziilor Guvernului</w:t>
            </w:r>
          </w:p>
        </w:tc>
        <w:tc>
          <w:tcPr>
            <w:tcW w:w="2270" w:type="dxa"/>
            <w:gridSpan w:val="2"/>
            <w:vAlign w:val="center"/>
            <w:hideMark/>
          </w:tcPr>
          <w:p w:rsidR="008420F3" w:rsidRPr="006F20A8" w:rsidRDefault="008420F3" w:rsidP="006F20A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4"/>
                <w:szCs w:val="24"/>
                <w:lang w:eastAsia="ru-RU"/>
              </w:rPr>
            </w:pPr>
            <w:r w:rsidRPr="006F20A8">
              <w:rPr>
                <w:rFonts w:asciiTheme="majorHAnsi" w:eastAsia="Times New Roman" w:hAnsiTheme="majorHAnsi" w:cstheme="majorHAnsi"/>
                <w:color w:val="000000"/>
                <w:sz w:val="24"/>
                <w:szCs w:val="24"/>
                <w:lang w:eastAsia="ru-RU"/>
              </w:rPr>
              <w:t>Finanțat</w:t>
            </w:r>
          </w:p>
        </w:tc>
      </w:tr>
      <w:tr w:rsidR="008420F3" w:rsidRPr="006F20A8" w:rsidTr="006F20A8">
        <w:trPr>
          <w:trHeight w:val="806"/>
        </w:trPr>
        <w:tc>
          <w:tcPr>
            <w:cnfStyle w:val="001000000000" w:firstRow="0" w:lastRow="0" w:firstColumn="1" w:lastColumn="0" w:oddVBand="0" w:evenVBand="0" w:oddHBand="0" w:evenHBand="0" w:firstRowFirstColumn="0" w:firstRowLastColumn="0" w:lastRowFirstColumn="0" w:lastRowLastColumn="0"/>
            <w:tcW w:w="5382" w:type="dxa"/>
            <w:vMerge/>
            <w:vAlign w:val="center"/>
            <w:hideMark/>
          </w:tcPr>
          <w:p w:rsidR="008420F3" w:rsidRPr="006F20A8" w:rsidRDefault="008420F3" w:rsidP="006F20A8">
            <w:pPr>
              <w:rPr>
                <w:rFonts w:asciiTheme="majorHAnsi" w:eastAsia="Times New Roman" w:hAnsiTheme="majorHAnsi" w:cstheme="majorHAnsi"/>
                <w:bCs w:val="0"/>
                <w:color w:val="000000"/>
                <w:sz w:val="24"/>
                <w:szCs w:val="24"/>
                <w:lang w:eastAsia="ru-RU"/>
              </w:rPr>
            </w:pPr>
          </w:p>
        </w:tc>
        <w:tc>
          <w:tcPr>
            <w:tcW w:w="1134" w:type="dxa"/>
            <w:vAlign w:val="center"/>
            <w:hideMark/>
          </w:tcPr>
          <w:p w:rsidR="008420F3" w:rsidRPr="006F20A8" w:rsidRDefault="008420F3" w:rsidP="006F20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4"/>
                <w:szCs w:val="24"/>
                <w:lang w:eastAsia="ru-RU"/>
              </w:rPr>
            </w:pPr>
            <w:r w:rsidRPr="006F20A8">
              <w:rPr>
                <w:rFonts w:asciiTheme="majorHAnsi" w:eastAsia="Times New Roman" w:hAnsiTheme="majorHAnsi" w:cstheme="majorHAnsi"/>
                <w:bCs/>
                <w:color w:val="000000"/>
                <w:sz w:val="24"/>
                <w:szCs w:val="24"/>
                <w:lang w:eastAsia="ru-RU"/>
              </w:rPr>
              <w:t xml:space="preserve">Suma (mii </w:t>
            </w:r>
            <w:r w:rsidR="007160B9" w:rsidRPr="006F20A8">
              <w:rPr>
                <w:rFonts w:asciiTheme="majorHAnsi" w:eastAsia="Times New Roman" w:hAnsiTheme="majorHAnsi" w:cstheme="majorHAnsi"/>
                <w:bCs/>
                <w:color w:val="000000"/>
                <w:sz w:val="24"/>
                <w:szCs w:val="24"/>
                <w:lang w:eastAsia="ru-RU"/>
              </w:rPr>
              <w:t>MDL</w:t>
            </w:r>
            <w:r w:rsidRPr="006F20A8">
              <w:rPr>
                <w:rFonts w:asciiTheme="majorHAnsi" w:eastAsia="Times New Roman" w:hAnsiTheme="majorHAnsi" w:cstheme="majorHAnsi"/>
                <w:bCs/>
                <w:color w:val="000000"/>
                <w:sz w:val="24"/>
                <w:szCs w:val="24"/>
                <w:lang w:eastAsia="ru-RU"/>
              </w:rPr>
              <w:t>)</w:t>
            </w:r>
          </w:p>
        </w:tc>
        <w:tc>
          <w:tcPr>
            <w:tcW w:w="1134" w:type="dxa"/>
            <w:vAlign w:val="center"/>
            <w:hideMark/>
          </w:tcPr>
          <w:p w:rsidR="008420F3" w:rsidRPr="006F20A8" w:rsidRDefault="008420F3" w:rsidP="006F20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4"/>
                <w:szCs w:val="24"/>
                <w:lang w:eastAsia="ru-RU"/>
              </w:rPr>
            </w:pPr>
            <w:r w:rsidRPr="006F20A8">
              <w:rPr>
                <w:rFonts w:asciiTheme="majorHAnsi" w:eastAsia="Times New Roman" w:hAnsiTheme="majorHAnsi" w:cstheme="majorHAnsi"/>
                <w:bCs/>
                <w:i/>
                <w:iCs/>
                <w:color w:val="000000"/>
                <w:sz w:val="24"/>
                <w:szCs w:val="24"/>
                <w:lang w:eastAsia="ru-RU"/>
              </w:rPr>
              <w:t>Ponderea în suma totală (%)</w:t>
            </w:r>
          </w:p>
        </w:tc>
        <w:tc>
          <w:tcPr>
            <w:tcW w:w="1134" w:type="dxa"/>
            <w:vAlign w:val="center"/>
            <w:hideMark/>
          </w:tcPr>
          <w:p w:rsidR="008420F3" w:rsidRPr="006F20A8" w:rsidRDefault="008420F3" w:rsidP="006F20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4"/>
                <w:szCs w:val="24"/>
                <w:lang w:eastAsia="ru-RU"/>
              </w:rPr>
            </w:pPr>
            <w:r w:rsidRPr="006F20A8">
              <w:rPr>
                <w:rFonts w:asciiTheme="majorHAnsi" w:eastAsia="Times New Roman" w:hAnsiTheme="majorHAnsi" w:cstheme="majorHAnsi"/>
                <w:bCs/>
                <w:color w:val="000000"/>
                <w:sz w:val="24"/>
                <w:szCs w:val="24"/>
                <w:lang w:eastAsia="ru-RU"/>
              </w:rPr>
              <w:t xml:space="preserve">Suma (mii </w:t>
            </w:r>
            <w:r w:rsidR="007160B9" w:rsidRPr="006F20A8">
              <w:rPr>
                <w:rFonts w:asciiTheme="majorHAnsi" w:eastAsia="Times New Roman" w:hAnsiTheme="majorHAnsi" w:cstheme="majorHAnsi"/>
                <w:bCs/>
                <w:color w:val="000000"/>
                <w:sz w:val="24"/>
                <w:szCs w:val="24"/>
                <w:lang w:eastAsia="ru-RU"/>
              </w:rPr>
              <w:t>MDL</w:t>
            </w:r>
            <w:r w:rsidRPr="006F20A8">
              <w:rPr>
                <w:rFonts w:asciiTheme="majorHAnsi" w:eastAsia="Times New Roman" w:hAnsiTheme="majorHAnsi" w:cstheme="majorHAnsi"/>
                <w:bCs/>
                <w:color w:val="000000"/>
                <w:sz w:val="24"/>
                <w:szCs w:val="24"/>
                <w:lang w:eastAsia="ru-RU"/>
              </w:rPr>
              <w:t>)</w:t>
            </w:r>
          </w:p>
        </w:tc>
        <w:tc>
          <w:tcPr>
            <w:tcW w:w="1135" w:type="dxa"/>
            <w:vAlign w:val="center"/>
            <w:hideMark/>
          </w:tcPr>
          <w:p w:rsidR="008420F3" w:rsidRPr="006F20A8" w:rsidRDefault="008420F3" w:rsidP="006F20A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4"/>
                <w:szCs w:val="24"/>
                <w:lang w:eastAsia="ru-RU"/>
              </w:rPr>
            </w:pPr>
            <w:r w:rsidRPr="006F20A8">
              <w:rPr>
                <w:rFonts w:asciiTheme="majorHAnsi" w:eastAsia="Times New Roman" w:hAnsiTheme="majorHAnsi" w:cstheme="majorHAnsi"/>
                <w:bCs/>
                <w:i/>
                <w:iCs/>
                <w:color w:val="000000"/>
                <w:sz w:val="24"/>
                <w:szCs w:val="24"/>
                <w:lang w:eastAsia="ru-RU"/>
              </w:rPr>
              <w:t>Ponderea în suma totală (%)</w:t>
            </w:r>
          </w:p>
        </w:tc>
      </w:tr>
      <w:tr w:rsidR="008420F3" w:rsidRPr="006F20A8" w:rsidTr="006F20A8">
        <w:trPr>
          <w:trHeight w:val="599"/>
        </w:trPr>
        <w:tc>
          <w:tcPr>
            <w:cnfStyle w:val="001000000000" w:firstRow="0" w:lastRow="0" w:firstColumn="1" w:lastColumn="0" w:oddVBand="0" w:evenVBand="0" w:oddHBand="0" w:evenHBand="0" w:firstRowFirstColumn="0" w:firstRowLastColumn="0" w:lastRowFirstColumn="0" w:lastRowLastColumn="0"/>
            <w:tcW w:w="5382" w:type="dxa"/>
            <w:hideMark/>
          </w:tcPr>
          <w:p w:rsidR="008420F3" w:rsidRPr="006F20A8" w:rsidRDefault="008420F3" w:rsidP="006F20A8">
            <w:pPr>
              <w:jc w:val="both"/>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Executarea hotărârilor arbitrale, plata onorariilor de audit, avocatură și pentru reprezentarea intereselor Guvernului Republicii Moldova în instanțele internaționale</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p>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4"/>
                <w:szCs w:val="24"/>
                <w:lang w:eastAsia="ru-RU"/>
              </w:rPr>
            </w:pPr>
            <w:r w:rsidRPr="006F20A8">
              <w:rPr>
                <w:rFonts w:asciiTheme="majorHAnsi" w:eastAsia="Times New Roman" w:hAnsiTheme="majorHAnsi" w:cstheme="majorHAnsi"/>
                <w:sz w:val="24"/>
                <w:szCs w:val="24"/>
                <w:lang w:eastAsia="ru-RU"/>
              </w:rPr>
              <w:t>43 616,6</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p>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57,7</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p>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41 379,1</w:t>
            </w:r>
          </w:p>
        </w:tc>
        <w:tc>
          <w:tcPr>
            <w:tcW w:w="1135"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p>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 xml:space="preserve">56,9 </w:t>
            </w:r>
          </w:p>
        </w:tc>
      </w:tr>
      <w:tr w:rsidR="008420F3" w:rsidRPr="006F20A8" w:rsidTr="006F20A8">
        <w:trPr>
          <w:trHeight w:val="437"/>
        </w:trPr>
        <w:tc>
          <w:tcPr>
            <w:cnfStyle w:val="001000000000" w:firstRow="0" w:lastRow="0" w:firstColumn="1" w:lastColumn="0" w:oddVBand="0" w:evenVBand="0" w:oddHBand="0" w:evenHBand="0" w:firstRowFirstColumn="0" w:firstRowLastColumn="0" w:lastRowFirstColumn="0" w:lastRowLastColumn="0"/>
            <w:tcW w:w="5382" w:type="dxa"/>
          </w:tcPr>
          <w:p w:rsidR="008420F3" w:rsidRPr="006F20A8" w:rsidRDefault="008420F3" w:rsidP="006F20A8">
            <w:pPr>
              <w:jc w:val="both"/>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Plăți directe proprietarilor de terenuri agricole amplasate după traseul Râbnița-Tiraspol</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15 973,0</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21,1</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15 294,6</w:t>
            </w:r>
          </w:p>
        </w:tc>
        <w:tc>
          <w:tcPr>
            <w:tcW w:w="1135"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21,0</w:t>
            </w:r>
          </w:p>
        </w:tc>
      </w:tr>
      <w:tr w:rsidR="008420F3" w:rsidRPr="006F20A8" w:rsidTr="006F20A8">
        <w:trPr>
          <w:trHeight w:val="446"/>
        </w:trPr>
        <w:tc>
          <w:tcPr>
            <w:cnfStyle w:val="001000000000" w:firstRow="0" w:lastRow="0" w:firstColumn="1" w:lastColumn="0" w:oddVBand="0" w:evenVBand="0" w:oddHBand="0" w:evenHBand="0" w:firstRowFirstColumn="0" w:firstRowLastColumn="0" w:lastRowFirstColumn="0" w:lastRowLastColumn="0"/>
            <w:tcW w:w="5382" w:type="dxa"/>
            <w:hideMark/>
          </w:tcPr>
          <w:p w:rsidR="008420F3" w:rsidRPr="006F20A8" w:rsidRDefault="008420F3" w:rsidP="006F20A8">
            <w:pPr>
              <w:jc w:val="both"/>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 xml:space="preserve">Cheltuieli aferente procurării acțiunilor nou-emise de banca de importanță sistemică BC </w:t>
            </w:r>
            <w:r w:rsidR="002A6487" w:rsidRPr="006F20A8">
              <w:rPr>
                <w:rFonts w:asciiTheme="majorHAnsi" w:eastAsia="Times New Roman" w:hAnsiTheme="majorHAnsi" w:cstheme="majorHAnsi"/>
                <w:sz w:val="24"/>
                <w:szCs w:val="24"/>
                <w:lang w:eastAsia="ru-RU"/>
              </w:rPr>
              <w:t>„</w:t>
            </w:r>
            <w:r w:rsidRPr="006F20A8">
              <w:rPr>
                <w:rFonts w:asciiTheme="majorHAnsi" w:eastAsia="Times New Roman" w:hAnsiTheme="majorHAnsi" w:cstheme="majorHAnsi"/>
                <w:sz w:val="24"/>
                <w:szCs w:val="24"/>
                <w:lang w:eastAsia="ru-RU"/>
              </w:rPr>
              <w:t>Moldova</w:t>
            </w:r>
            <w:r w:rsidR="002A6487" w:rsidRPr="006F20A8">
              <w:rPr>
                <w:rFonts w:asciiTheme="majorHAnsi" w:eastAsia="Times New Roman" w:hAnsiTheme="majorHAnsi" w:cstheme="majorHAnsi"/>
                <w:sz w:val="24"/>
                <w:szCs w:val="24"/>
                <w:lang w:eastAsia="ru-RU"/>
              </w:rPr>
              <w:t>-</w:t>
            </w:r>
            <w:proofErr w:type="spellStart"/>
            <w:r w:rsidRPr="006F20A8">
              <w:rPr>
                <w:rFonts w:asciiTheme="majorHAnsi" w:eastAsia="Times New Roman" w:hAnsiTheme="majorHAnsi" w:cstheme="majorHAnsi"/>
                <w:sz w:val="24"/>
                <w:szCs w:val="24"/>
                <w:lang w:eastAsia="ru-RU"/>
              </w:rPr>
              <w:t>Agroindbank</w:t>
            </w:r>
            <w:proofErr w:type="spellEnd"/>
            <w:r w:rsidRPr="006F20A8">
              <w:rPr>
                <w:rFonts w:asciiTheme="majorHAnsi" w:eastAsia="Times New Roman" w:hAnsiTheme="majorHAnsi" w:cstheme="majorHAnsi"/>
                <w:sz w:val="24"/>
                <w:szCs w:val="24"/>
                <w:lang w:eastAsia="ru-RU"/>
              </w:rPr>
              <w:t>” SA</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1 500,0</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4"/>
                <w:szCs w:val="24"/>
                <w:lang w:eastAsia="ru-RU"/>
              </w:rPr>
            </w:pPr>
            <w:r w:rsidRPr="006F20A8">
              <w:rPr>
                <w:rFonts w:asciiTheme="majorHAnsi" w:eastAsia="Times New Roman" w:hAnsiTheme="majorHAnsi" w:cstheme="majorHAnsi"/>
                <w:i/>
                <w:iCs/>
                <w:sz w:val="24"/>
                <w:szCs w:val="24"/>
                <w:lang w:eastAsia="ru-RU"/>
              </w:rPr>
              <w:t>2,0</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4"/>
                <w:szCs w:val="24"/>
                <w:lang w:eastAsia="ru-RU"/>
              </w:rPr>
            </w:pPr>
            <w:r w:rsidRPr="006F20A8">
              <w:rPr>
                <w:rFonts w:asciiTheme="majorHAnsi" w:eastAsia="Times New Roman" w:hAnsiTheme="majorHAnsi" w:cstheme="majorHAnsi"/>
                <w:sz w:val="24"/>
                <w:szCs w:val="24"/>
                <w:lang w:eastAsia="ru-RU"/>
              </w:rPr>
              <w:t>1 500,0</w:t>
            </w:r>
          </w:p>
        </w:tc>
        <w:tc>
          <w:tcPr>
            <w:tcW w:w="1135"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4"/>
                <w:szCs w:val="24"/>
                <w:lang w:eastAsia="ru-RU"/>
              </w:rPr>
            </w:pPr>
            <w:r w:rsidRPr="006F20A8">
              <w:rPr>
                <w:rFonts w:asciiTheme="majorHAnsi" w:eastAsia="Times New Roman" w:hAnsiTheme="majorHAnsi" w:cstheme="majorHAnsi"/>
                <w:i/>
                <w:iCs/>
                <w:sz w:val="24"/>
                <w:szCs w:val="24"/>
                <w:lang w:eastAsia="ru-RU"/>
              </w:rPr>
              <w:t>2,1</w:t>
            </w:r>
          </w:p>
        </w:tc>
      </w:tr>
      <w:tr w:rsidR="008420F3" w:rsidRPr="006F20A8" w:rsidTr="006F20A8">
        <w:trPr>
          <w:trHeight w:val="293"/>
        </w:trPr>
        <w:tc>
          <w:tcPr>
            <w:cnfStyle w:val="001000000000" w:firstRow="0" w:lastRow="0" w:firstColumn="1" w:lastColumn="0" w:oddVBand="0" w:evenVBand="0" w:oddHBand="0" w:evenHBand="0" w:firstRowFirstColumn="0" w:firstRowLastColumn="0" w:lastRowFirstColumn="0" w:lastRowLastColumn="0"/>
            <w:tcW w:w="5382" w:type="dxa"/>
          </w:tcPr>
          <w:p w:rsidR="008420F3" w:rsidRPr="006F20A8" w:rsidRDefault="008420F3" w:rsidP="006F20A8">
            <w:pPr>
              <w:jc w:val="both"/>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lastRenderedPageBreak/>
              <w:t xml:space="preserve">Cheltuieli aferente delegațiilor oficiale, primirii delegațiilor străine </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1 363,0</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1,8</w:t>
            </w:r>
          </w:p>
        </w:tc>
        <w:tc>
          <w:tcPr>
            <w:tcW w:w="1134"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1 362,7</w:t>
            </w:r>
          </w:p>
        </w:tc>
        <w:tc>
          <w:tcPr>
            <w:tcW w:w="1135" w:type="dxa"/>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1,9</w:t>
            </w:r>
          </w:p>
        </w:tc>
      </w:tr>
      <w:tr w:rsidR="008420F3" w:rsidRPr="006F20A8" w:rsidTr="006F20A8">
        <w:trPr>
          <w:trHeight w:val="235"/>
        </w:trPr>
        <w:tc>
          <w:tcPr>
            <w:cnfStyle w:val="001000000000" w:firstRow="0" w:lastRow="0" w:firstColumn="1" w:lastColumn="0" w:oddVBand="0" w:evenVBand="0" w:oddHBand="0" w:evenHBand="0" w:firstRowFirstColumn="0" w:firstRowLastColumn="0" w:lastRowFirstColumn="0" w:lastRowLastColumn="0"/>
            <w:tcW w:w="5382" w:type="dxa"/>
            <w:hideMark/>
          </w:tcPr>
          <w:p w:rsidR="008420F3" w:rsidRPr="006F20A8" w:rsidRDefault="008420F3" w:rsidP="006F20A8">
            <w:pPr>
              <w:jc w:val="both"/>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Alte scopuri</w:t>
            </w:r>
          </w:p>
        </w:tc>
        <w:tc>
          <w:tcPr>
            <w:tcW w:w="1134" w:type="dxa"/>
            <w:hideMark/>
          </w:tcPr>
          <w:p w:rsidR="008420F3" w:rsidRPr="006F20A8" w:rsidRDefault="006B7C32"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13 216,6</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1</w:t>
            </w:r>
            <w:r w:rsidR="006B7C32" w:rsidRPr="006F20A8">
              <w:rPr>
                <w:rFonts w:asciiTheme="majorHAnsi" w:eastAsia="Times New Roman" w:hAnsiTheme="majorHAnsi" w:cstheme="majorHAnsi"/>
                <w:i/>
                <w:iCs/>
                <w:sz w:val="24"/>
                <w:szCs w:val="24"/>
                <w:lang w:eastAsia="ru-RU"/>
              </w:rPr>
              <w:t>7</w:t>
            </w:r>
            <w:r w:rsidRPr="006F20A8">
              <w:rPr>
                <w:rFonts w:asciiTheme="majorHAnsi" w:eastAsia="Times New Roman" w:hAnsiTheme="majorHAnsi" w:cstheme="majorHAnsi"/>
                <w:i/>
                <w:iCs/>
                <w:sz w:val="24"/>
                <w:szCs w:val="24"/>
                <w:lang w:eastAsia="ru-RU"/>
              </w:rPr>
              <w:t>,4</w:t>
            </w:r>
          </w:p>
        </w:tc>
        <w:tc>
          <w:tcPr>
            <w:tcW w:w="1134" w:type="dxa"/>
            <w:hideMark/>
          </w:tcPr>
          <w:p w:rsidR="008420F3" w:rsidRPr="006F20A8" w:rsidRDefault="006B7C32"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6F20A8">
              <w:rPr>
                <w:rFonts w:asciiTheme="majorHAnsi" w:eastAsia="Times New Roman" w:hAnsiTheme="majorHAnsi" w:cstheme="majorHAnsi"/>
                <w:sz w:val="24"/>
                <w:szCs w:val="24"/>
                <w:lang w:eastAsia="ru-RU"/>
              </w:rPr>
              <w:t>13 208,1</w:t>
            </w:r>
          </w:p>
        </w:tc>
        <w:tc>
          <w:tcPr>
            <w:tcW w:w="1135" w:type="dxa"/>
            <w:hideMark/>
          </w:tcPr>
          <w:p w:rsidR="008420F3" w:rsidRPr="006F20A8" w:rsidRDefault="006B7C32"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eastAsia="ru-RU"/>
              </w:rPr>
            </w:pPr>
            <w:r w:rsidRPr="006F20A8">
              <w:rPr>
                <w:rFonts w:asciiTheme="majorHAnsi" w:eastAsia="Times New Roman" w:hAnsiTheme="majorHAnsi" w:cstheme="majorHAnsi"/>
                <w:i/>
                <w:iCs/>
                <w:sz w:val="24"/>
                <w:szCs w:val="24"/>
                <w:lang w:eastAsia="ru-RU"/>
              </w:rPr>
              <w:t>18,1</w:t>
            </w:r>
          </w:p>
        </w:tc>
      </w:tr>
      <w:tr w:rsidR="008420F3" w:rsidRPr="006F20A8" w:rsidTr="006F20A8">
        <w:trPr>
          <w:trHeight w:val="311"/>
        </w:trPr>
        <w:tc>
          <w:tcPr>
            <w:cnfStyle w:val="001000000000" w:firstRow="0" w:lastRow="0" w:firstColumn="1" w:lastColumn="0" w:oddVBand="0" w:evenVBand="0" w:oddHBand="0" w:evenHBand="0" w:firstRowFirstColumn="0" w:firstRowLastColumn="0" w:lastRowFirstColumn="0" w:lastRowLastColumn="0"/>
            <w:tcW w:w="5382" w:type="dxa"/>
            <w:hideMark/>
          </w:tcPr>
          <w:p w:rsidR="008420F3" w:rsidRPr="006F20A8" w:rsidRDefault="008420F3" w:rsidP="006F20A8">
            <w:pPr>
              <w:rPr>
                <w:rFonts w:asciiTheme="majorHAnsi" w:eastAsia="Times New Roman" w:hAnsiTheme="majorHAnsi" w:cstheme="majorHAnsi"/>
                <w:sz w:val="24"/>
                <w:szCs w:val="24"/>
                <w:lang w:eastAsia="ru-RU"/>
              </w:rPr>
            </w:pPr>
            <w:r w:rsidRPr="006F20A8">
              <w:rPr>
                <w:rFonts w:asciiTheme="majorHAnsi" w:eastAsia="Times New Roman" w:hAnsiTheme="majorHAnsi" w:cstheme="majorHAnsi"/>
                <w:iCs/>
                <w:sz w:val="24"/>
                <w:szCs w:val="24"/>
                <w:lang w:eastAsia="ru-RU"/>
              </w:rPr>
              <w:t>TOTAL</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6F20A8">
              <w:rPr>
                <w:rFonts w:asciiTheme="majorHAnsi" w:eastAsia="Times New Roman" w:hAnsiTheme="majorHAnsi" w:cstheme="majorHAnsi"/>
                <w:b/>
                <w:iCs/>
                <w:sz w:val="24"/>
                <w:szCs w:val="24"/>
                <w:lang w:eastAsia="ru-RU"/>
              </w:rPr>
              <w:t>75 669,2</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4"/>
                <w:szCs w:val="24"/>
                <w:lang w:eastAsia="ru-RU"/>
              </w:rPr>
            </w:pPr>
            <w:r w:rsidRPr="006F20A8">
              <w:rPr>
                <w:rFonts w:asciiTheme="majorHAnsi" w:eastAsia="Times New Roman" w:hAnsiTheme="majorHAnsi" w:cstheme="majorHAnsi"/>
                <w:b/>
                <w:i/>
                <w:iCs/>
                <w:sz w:val="24"/>
                <w:szCs w:val="24"/>
                <w:lang w:eastAsia="ru-RU"/>
              </w:rPr>
              <w:t>100,0</w:t>
            </w:r>
          </w:p>
        </w:tc>
        <w:tc>
          <w:tcPr>
            <w:tcW w:w="1134"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6F20A8">
              <w:rPr>
                <w:rFonts w:asciiTheme="majorHAnsi" w:eastAsia="Times New Roman" w:hAnsiTheme="majorHAnsi" w:cstheme="majorHAnsi"/>
                <w:b/>
                <w:iCs/>
                <w:sz w:val="24"/>
                <w:szCs w:val="24"/>
                <w:lang w:eastAsia="ru-RU"/>
              </w:rPr>
              <w:t>72 744,5</w:t>
            </w:r>
          </w:p>
        </w:tc>
        <w:tc>
          <w:tcPr>
            <w:tcW w:w="1135" w:type="dxa"/>
            <w:hideMark/>
          </w:tcPr>
          <w:p w:rsidR="008420F3" w:rsidRPr="006F20A8" w:rsidRDefault="008420F3" w:rsidP="006F20A8">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4"/>
                <w:szCs w:val="24"/>
                <w:lang w:eastAsia="ru-RU"/>
              </w:rPr>
            </w:pPr>
            <w:r w:rsidRPr="006F20A8">
              <w:rPr>
                <w:rFonts w:asciiTheme="majorHAnsi" w:eastAsia="Times New Roman" w:hAnsiTheme="majorHAnsi" w:cstheme="majorHAnsi"/>
                <w:b/>
                <w:iCs/>
                <w:sz w:val="24"/>
                <w:szCs w:val="24"/>
                <w:lang w:eastAsia="ru-RU"/>
              </w:rPr>
              <w:t>100,0</w:t>
            </w:r>
          </w:p>
        </w:tc>
      </w:tr>
    </w:tbl>
    <w:p w:rsidR="008420F3" w:rsidRPr="00961BA8" w:rsidRDefault="008420F3" w:rsidP="008420F3">
      <w:pPr>
        <w:tabs>
          <w:tab w:val="left" w:pos="0"/>
        </w:tabs>
        <w:spacing w:after="0" w:line="276" w:lineRule="auto"/>
        <w:jc w:val="both"/>
        <w:rPr>
          <w:rFonts w:asciiTheme="majorHAnsi" w:eastAsia="Times New Roman" w:hAnsiTheme="majorHAnsi" w:cs="Times New Roman"/>
          <w:b/>
          <w:i/>
          <w:sz w:val="20"/>
          <w:szCs w:val="20"/>
          <w:lang w:val="ro-MD"/>
        </w:rPr>
      </w:pPr>
      <w:r w:rsidRPr="00961BA8">
        <w:rPr>
          <w:rFonts w:asciiTheme="majorHAnsi" w:eastAsia="Times New Roman" w:hAnsiTheme="majorHAnsi" w:cs="Times New Roman"/>
          <w:b/>
          <w:i/>
          <w:sz w:val="20"/>
          <w:szCs w:val="20"/>
          <w:lang w:val="ro-MD"/>
        </w:rPr>
        <w:t>Sursă:</w:t>
      </w:r>
      <w:r>
        <w:rPr>
          <w:rFonts w:asciiTheme="majorHAnsi" w:eastAsia="Times New Roman" w:hAnsiTheme="majorHAnsi" w:cs="Times New Roman"/>
          <w:b/>
          <w:i/>
          <w:sz w:val="20"/>
          <w:szCs w:val="20"/>
          <w:lang w:val="ro-MD"/>
        </w:rPr>
        <w:t xml:space="preserve"> </w:t>
      </w:r>
      <w:r w:rsidRPr="00453F2F">
        <w:rPr>
          <w:rFonts w:asciiTheme="majorHAnsi" w:eastAsia="Times New Roman" w:hAnsiTheme="majorHAnsi" w:cs="Times New Roman"/>
          <w:i/>
          <w:sz w:val="20"/>
          <w:szCs w:val="20"/>
          <w:lang w:val="ro-MD"/>
        </w:rPr>
        <w:t xml:space="preserve">Informația privind repartizarea și utilizarea mijloacelor din </w:t>
      </w:r>
      <w:r w:rsidR="002A6487">
        <w:rPr>
          <w:rFonts w:asciiTheme="majorHAnsi" w:eastAsia="Times New Roman" w:hAnsiTheme="majorHAnsi" w:cs="Times New Roman"/>
          <w:i/>
          <w:sz w:val="20"/>
          <w:szCs w:val="20"/>
          <w:lang w:val="ro-MD"/>
        </w:rPr>
        <w:t>f</w:t>
      </w:r>
      <w:r w:rsidRPr="00453F2F">
        <w:rPr>
          <w:rFonts w:asciiTheme="majorHAnsi" w:eastAsia="Times New Roman" w:hAnsiTheme="majorHAnsi" w:cs="Times New Roman"/>
          <w:i/>
          <w:sz w:val="20"/>
          <w:szCs w:val="20"/>
          <w:lang w:val="ro-MD"/>
        </w:rPr>
        <w:t>ondul de rezervă al Guvernului</w:t>
      </w:r>
      <w:r w:rsidR="002A6487">
        <w:rPr>
          <w:rFonts w:asciiTheme="majorHAnsi" w:eastAsia="Times New Roman" w:hAnsiTheme="majorHAnsi" w:cs="Times New Roman"/>
          <w:i/>
          <w:sz w:val="20"/>
          <w:szCs w:val="20"/>
          <w:lang w:val="ro-MD"/>
        </w:rPr>
        <w:t xml:space="preserve"> în</w:t>
      </w:r>
      <w:r w:rsidRPr="00453F2F">
        <w:rPr>
          <w:rFonts w:asciiTheme="majorHAnsi" w:eastAsia="Times New Roman" w:hAnsiTheme="majorHAnsi" w:cs="Times New Roman"/>
          <w:i/>
          <w:sz w:val="20"/>
          <w:szCs w:val="20"/>
          <w:lang w:val="ro-MD"/>
        </w:rPr>
        <w:t xml:space="preserve"> ianuarie – decembrie 2018 prezentată de M</w:t>
      </w:r>
      <w:r w:rsidR="002A6487">
        <w:rPr>
          <w:rFonts w:asciiTheme="majorHAnsi" w:eastAsia="Times New Roman" w:hAnsiTheme="majorHAnsi" w:cs="Times New Roman"/>
          <w:i/>
          <w:sz w:val="20"/>
          <w:szCs w:val="20"/>
          <w:lang w:val="ro-MD"/>
        </w:rPr>
        <w:t xml:space="preserve">inisterul </w:t>
      </w:r>
      <w:r w:rsidRPr="00453F2F">
        <w:rPr>
          <w:rFonts w:asciiTheme="majorHAnsi" w:eastAsia="Times New Roman" w:hAnsiTheme="majorHAnsi" w:cs="Times New Roman"/>
          <w:i/>
          <w:sz w:val="20"/>
          <w:szCs w:val="20"/>
          <w:lang w:val="ro-MD"/>
        </w:rPr>
        <w:t>F</w:t>
      </w:r>
      <w:r w:rsidR="002A6487">
        <w:rPr>
          <w:rFonts w:asciiTheme="majorHAnsi" w:eastAsia="Times New Roman" w:hAnsiTheme="majorHAnsi" w:cs="Times New Roman"/>
          <w:i/>
          <w:sz w:val="20"/>
          <w:szCs w:val="20"/>
          <w:lang w:val="ro-MD"/>
        </w:rPr>
        <w:t>inanțelor</w:t>
      </w:r>
      <w:r w:rsidRPr="00453F2F">
        <w:rPr>
          <w:rFonts w:asciiTheme="majorHAnsi" w:eastAsia="Times New Roman" w:hAnsiTheme="majorHAnsi" w:cs="Times New Roman"/>
          <w:i/>
          <w:sz w:val="20"/>
          <w:szCs w:val="20"/>
          <w:lang w:val="ro-MD"/>
        </w:rPr>
        <w:t>.</w:t>
      </w:r>
    </w:p>
    <w:p w:rsidR="008420F3" w:rsidRDefault="008420F3" w:rsidP="008420F3">
      <w:pPr>
        <w:spacing w:after="0" w:line="276" w:lineRule="auto"/>
        <w:jc w:val="both"/>
        <w:rPr>
          <w:rFonts w:ascii="Times New Roman" w:eastAsia="Times New Roman" w:hAnsi="Times New Roman" w:cs="Times New Roman"/>
          <w:color w:val="000000"/>
          <w:sz w:val="16"/>
          <w:szCs w:val="16"/>
          <w:lang w:val="ro-MD" w:eastAsia="ru-RU"/>
        </w:rPr>
      </w:pPr>
    </w:p>
    <w:p w:rsidR="008420F3"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 xml:space="preserve">De asemenea, auditul relevă că și cheltuielile aferente procurării acțiunilor nou-emise de banca de importanță sistemică BC </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Moldova</w:t>
      </w:r>
      <w:r w:rsidR="002A6487">
        <w:rPr>
          <w:rFonts w:asciiTheme="majorHAnsi" w:eastAsia="Times New Roman" w:hAnsiTheme="majorHAnsi" w:cs="Times New Roman"/>
          <w:sz w:val="24"/>
          <w:szCs w:val="24"/>
          <w:lang w:val="ro-MD"/>
        </w:rPr>
        <w:t>-</w:t>
      </w:r>
      <w:proofErr w:type="spellStart"/>
      <w:r w:rsidRPr="00B42CED">
        <w:rPr>
          <w:rFonts w:asciiTheme="majorHAnsi" w:eastAsia="Times New Roman" w:hAnsiTheme="majorHAnsi" w:cs="Times New Roman"/>
          <w:sz w:val="24"/>
          <w:szCs w:val="24"/>
          <w:lang w:val="ro-MD"/>
        </w:rPr>
        <w:t>Agroindbank</w:t>
      </w:r>
      <w:proofErr w:type="spellEnd"/>
      <w:r w:rsidRPr="00B42CED">
        <w:rPr>
          <w:rFonts w:asciiTheme="majorHAnsi" w:eastAsia="Times New Roman" w:hAnsiTheme="majorHAnsi" w:cs="Times New Roman"/>
          <w:sz w:val="24"/>
          <w:szCs w:val="24"/>
          <w:lang w:val="ro-MD"/>
        </w:rPr>
        <w:t xml:space="preserve">” SA în sumă de 1,5 mil. </w:t>
      </w:r>
      <w:r w:rsidR="007160B9">
        <w:rPr>
          <w:rFonts w:asciiTheme="majorHAnsi" w:eastAsia="Times New Roman" w:hAnsiTheme="majorHAnsi" w:cs="Times New Roman"/>
          <w:sz w:val="24"/>
          <w:szCs w:val="24"/>
          <w:lang w:val="ro-MD"/>
        </w:rPr>
        <w:t>MDL</w:t>
      </w:r>
      <w:r w:rsidR="004C372B">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nu întrunesc criteriile stabilite.</w:t>
      </w:r>
      <w:r>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În anul 2018</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cheltuielile din fondul de intervenție al Guvernului au fost executate în volum de 14,4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dintre care</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29,3%</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 xml:space="preserve">revin transferurilor către bugetele locale. </w:t>
      </w:r>
    </w:p>
    <w:p w:rsidR="008420F3"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Verificările auditului denotă că</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în baza HG nr.766 din 25.07.2018</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din fondul de intervenție al Guvernului au fost alocate MECC 5</w:t>
      </w:r>
      <w:r w:rsidR="005374D5">
        <w:rPr>
          <w:rFonts w:asciiTheme="majorHAnsi" w:eastAsia="Times New Roman" w:hAnsiTheme="majorHAnsi" w:cs="Times New Roman"/>
          <w:sz w:val="24"/>
          <w:szCs w:val="24"/>
          <w:lang w:val="ro-MD"/>
        </w:rPr>
        <w:t>,5 mil.</w:t>
      </w:r>
      <w:r w:rsidRPr="00B42CED">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xml:space="preserve"> pentru lichidarea consecințelor incendiului din incinta Institutului de Zoologie</w:t>
      </w:r>
      <w:r w:rsidR="002A6487">
        <w:rPr>
          <w:rFonts w:asciiTheme="majorHAnsi" w:eastAsia="Times New Roman" w:hAnsiTheme="majorHAnsi" w:cs="Times New Roman"/>
          <w:sz w:val="24"/>
          <w:szCs w:val="24"/>
          <w:lang w:val="ro-MD"/>
        </w:rPr>
        <w:t xml:space="preserve"> (AȘM)</w:t>
      </w:r>
      <w:r w:rsidRPr="00B42CED">
        <w:rPr>
          <w:rFonts w:asciiTheme="majorHAnsi" w:eastAsia="Times New Roman" w:hAnsiTheme="majorHAnsi" w:cs="Times New Roman"/>
          <w:sz w:val="24"/>
          <w:szCs w:val="24"/>
          <w:lang w:val="ro-MD"/>
        </w:rPr>
        <w:t>. Din mijloacele alocate pe parcursul anului 2018</w:t>
      </w:r>
      <w:r w:rsidR="002A6487">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au rămas nevalorificate 499,1 mii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Totodată</w:t>
      </w:r>
      <w:r w:rsidR="005374D5">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se atestă</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neexecutarea pct.4 din HG</w:t>
      </w:r>
      <w:r w:rsidR="002A6487">
        <w:rPr>
          <w:rFonts w:asciiTheme="majorHAnsi" w:eastAsia="Times New Roman" w:hAnsiTheme="majorHAnsi" w:cs="Times New Roman"/>
          <w:sz w:val="24"/>
          <w:szCs w:val="24"/>
          <w:lang w:val="ro-MD"/>
        </w:rPr>
        <w:t xml:space="preserve"> menționată</w:t>
      </w:r>
      <w:r w:rsidRPr="00B42CED">
        <w:rPr>
          <w:rFonts w:asciiTheme="majorHAnsi" w:eastAsia="Times New Roman" w:hAnsiTheme="majorHAnsi" w:cs="Times New Roman"/>
          <w:sz w:val="24"/>
          <w:szCs w:val="24"/>
          <w:lang w:val="ro-MD"/>
        </w:rPr>
        <w:t xml:space="preserve">, potrivit căruia la stabilirea responsabililor de producerea incendiului și </w:t>
      </w:r>
      <w:r w:rsidR="002A6487">
        <w:rPr>
          <w:rFonts w:asciiTheme="majorHAnsi" w:eastAsia="Times New Roman" w:hAnsiTheme="majorHAnsi" w:cs="Times New Roman"/>
          <w:sz w:val="24"/>
          <w:szCs w:val="24"/>
          <w:lang w:val="ro-MD"/>
        </w:rPr>
        <w:t>încasarea</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prejudiciului cauzat de către aceștia, mijloacele se vor transfera în bugetul statului.</w:t>
      </w:r>
      <w:r w:rsidR="00793C62">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 xml:space="preserve"> </w:t>
      </w:r>
    </w:p>
    <w:p w:rsidR="008E7749" w:rsidRDefault="008E7749" w:rsidP="008E7749">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În context, se relevă</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că asemenea situații/modalități</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 xml:space="preserve">de alocare </w:t>
      </w:r>
      <w:r w:rsidR="006D4EBC">
        <w:rPr>
          <w:rFonts w:asciiTheme="majorHAnsi" w:eastAsia="Times New Roman" w:hAnsiTheme="majorHAnsi" w:cs="Times New Roman"/>
          <w:sz w:val="24"/>
          <w:szCs w:val="24"/>
          <w:lang w:val="ro-MD"/>
        </w:rPr>
        <w:t xml:space="preserve">a </w:t>
      </w:r>
      <w:r w:rsidRPr="00B42CED">
        <w:rPr>
          <w:rFonts w:asciiTheme="majorHAnsi" w:eastAsia="Times New Roman" w:hAnsiTheme="majorHAnsi" w:cs="Times New Roman"/>
          <w:sz w:val="24"/>
          <w:szCs w:val="24"/>
          <w:lang w:val="ro-MD"/>
        </w:rPr>
        <w:t>mijloacelor</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bugetare au fost menționate și de auditul precedent,</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fapt ce reprezintă o modalitate de a suplimenta bugetele unor autorități/instituții bugetare, fără a fi cunoscute și aprobate de Parlament.</w:t>
      </w:r>
    </w:p>
    <w:p w:rsidR="008420F3" w:rsidRDefault="008420F3" w:rsidP="000070C0">
      <w:pPr>
        <w:spacing w:before="240" w:after="0" w:line="276" w:lineRule="auto"/>
        <w:ind w:firstLine="709"/>
        <w:contextualSpacing/>
        <w:jc w:val="both"/>
        <w:rPr>
          <w:rFonts w:asciiTheme="majorHAnsi" w:hAnsiTheme="majorHAnsi" w:cstheme="majorHAnsi"/>
          <w:color w:val="FF0000"/>
          <w:sz w:val="24"/>
          <w:szCs w:val="24"/>
        </w:rPr>
      </w:pPr>
    </w:p>
    <w:p w:rsidR="008420F3" w:rsidRPr="00A25EFB" w:rsidRDefault="00A251BC" w:rsidP="008420F3">
      <w:pPr>
        <w:pStyle w:val="Heading3"/>
        <w:rPr>
          <w:rFonts w:ascii="Times New Roman" w:eastAsia="Times New Roman" w:hAnsi="Times New Roman" w:cs="Times New Roman"/>
          <w:color w:val="000000" w:themeColor="text1"/>
          <w:sz w:val="28"/>
          <w:lang w:val="en-US"/>
        </w:rPr>
      </w:pPr>
      <w:bookmarkStart w:id="27" w:name="_Toc10126098"/>
      <w:r>
        <w:rPr>
          <w:rFonts w:eastAsia="Times New Roman" w:cstheme="majorHAnsi"/>
          <w:b/>
          <w:color w:val="000000" w:themeColor="text1"/>
        </w:rPr>
        <w:t>3.3</w:t>
      </w:r>
      <w:r w:rsidR="008420F3" w:rsidRPr="00A25EFB">
        <w:rPr>
          <w:rFonts w:eastAsia="Times New Roman" w:cstheme="majorHAnsi"/>
          <w:b/>
          <w:color w:val="000000" w:themeColor="text1"/>
          <w:lang w:val="en-US"/>
        </w:rPr>
        <w:t>.7</w:t>
      </w:r>
      <w:r w:rsidR="00793C62">
        <w:rPr>
          <w:rFonts w:eastAsia="Times New Roman" w:cstheme="majorHAnsi"/>
          <w:b/>
          <w:color w:val="000000" w:themeColor="text1"/>
          <w:lang w:val="en-US"/>
        </w:rPr>
        <w:t xml:space="preserve"> </w:t>
      </w:r>
      <w:r w:rsidR="008420F3" w:rsidRPr="00A25EFB">
        <w:rPr>
          <w:rFonts w:eastAsia="Times New Roman" w:cstheme="majorHAnsi"/>
          <w:b/>
          <w:color w:val="000000" w:themeColor="text1"/>
          <w:lang w:val="en-US"/>
        </w:rPr>
        <w:t xml:space="preserve"> </w:t>
      </w:r>
      <w:r w:rsidR="00E8135E" w:rsidRPr="00E8135E">
        <w:rPr>
          <w:rFonts w:eastAsia="Times New Roman" w:cstheme="majorHAnsi"/>
          <w:b/>
          <w:color w:val="000000" w:themeColor="text1"/>
          <w:lang w:val="ro-MD"/>
        </w:rPr>
        <w:t xml:space="preserve">Se atestă o creștere semnificativă a cheltuielilor aferente </w:t>
      </w:r>
      <w:r w:rsidR="008420F3" w:rsidRPr="00E8135E">
        <w:rPr>
          <w:rFonts w:eastAsia="Times New Roman" w:cstheme="majorHAnsi"/>
          <w:b/>
          <w:color w:val="000000" w:themeColor="text1"/>
          <w:lang w:val="ro-MD"/>
        </w:rPr>
        <w:t>documentelor executorii</w:t>
      </w:r>
      <w:r w:rsidR="00E8135E">
        <w:rPr>
          <w:rFonts w:eastAsia="Times New Roman" w:cstheme="majorHAnsi"/>
          <w:b/>
          <w:color w:val="000000" w:themeColor="text1"/>
          <w:lang w:val="ro-MD"/>
        </w:rPr>
        <w:t>.</w:t>
      </w:r>
      <w:bookmarkEnd w:id="27"/>
    </w:p>
    <w:p w:rsidR="008420F3" w:rsidRPr="00B42CED" w:rsidRDefault="008420F3" w:rsidP="008420F3">
      <w:pPr>
        <w:spacing w:after="0" w:line="276" w:lineRule="auto"/>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În conformitate cu cadrul legal</w:t>
      </w:r>
      <w:r w:rsidRPr="00B42CED">
        <w:rPr>
          <w:rFonts w:asciiTheme="majorHAnsi" w:eastAsia="Times New Roman" w:hAnsiTheme="majorHAnsi" w:cs="Times New Roman"/>
          <w:sz w:val="24"/>
          <w:szCs w:val="24"/>
          <w:vertAlign w:val="superscript"/>
          <w:lang w:val="ro-MD"/>
        </w:rPr>
        <w:footnoteReference w:id="56"/>
      </w:r>
      <w:r w:rsidR="006D4EB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 xml:space="preserve">documentele executorii ce țin de plățile din contul BS se transmit spre executare Ministerului Finanțelor și prin intermediul executorilor de buget. </w:t>
      </w:r>
    </w:p>
    <w:p w:rsidR="008420F3" w:rsidRPr="00B42CED" w:rsidRDefault="00793C62" w:rsidP="008420F3">
      <w:pPr>
        <w:spacing w:after="0" w:line="276" w:lineRule="auto"/>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 xml:space="preserve">      </w:t>
      </w:r>
      <w:r w:rsidR="000A0A3E">
        <w:rPr>
          <w:rFonts w:asciiTheme="majorHAnsi" w:eastAsia="Times New Roman" w:hAnsiTheme="majorHAnsi" w:cs="Times New Roman"/>
          <w:sz w:val="24"/>
          <w:szCs w:val="24"/>
          <w:lang w:val="ro-MD"/>
        </w:rPr>
        <w:tab/>
      </w:r>
      <w:r w:rsidR="008420F3" w:rsidRPr="00B42CED">
        <w:rPr>
          <w:rFonts w:asciiTheme="majorHAnsi" w:eastAsia="Times New Roman" w:hAnsiTheme="majorHAnsi" w:cs="Times New Roman"/>
          <w:sz w:val="24"/>
          <w:szCs w:val="24"/>
          <w:lang w:val="ro-MD"/>
        </w:rPr>
        <w:t>Pentru achitarea documentelor executorii, în anul 2018 inițial au fost aprobate 25,6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sidR="008420F3" w:rsidRPr="00B42CED">
        <w:rPr>
          <w:rFonts w:asciiTheme="majorHAnsi" w:eastAsia="Times New Roman" w:hAnsiTheme="majorHAnsi" w:cs="Times New Roman"/>
          <w:sz w:val="24"/>
          <w:szCs w:val="24"/>
          <w:lang w:val="ro-MD"/>
        </w:rPr>
        <w:t xml:space="preserve"> </w:t>
      </w:r>
      <w:r w:rsidR="006D4EBC">
        <w:rPr>
          <w:rFonts w:asciiTheme="majorHAnsi" w:eastAsia="Times New Roman" w:hAnsiTheme="majorHAnsi" w:cs="Times New Roman"/>
          <w:sz w:val="24"/>
          <w:szCs w:val="24"/>
          <w:lang w:val="ro-MD"/>
        </w:rPr>
        <w:t>U</w:t>
      </w:r>
      <w:r w:rsidR="008420F3" w:rsidRPr="00B42CED">
        <w:rPr>
          <w:rFonts w:asciiTheme="majorHAnsi" w:eastAsia="Times New Roman" w:hAnsiTheme="majorHAnsi" w:cs="Times New Roman"/>
          <w:sz w:val="24"/>
          <w:szCs w:val="24"/>
          <w:lang w:val="ro-MD"/>
        </w:rPr>
        <w:t xml:space="preserve">rmare </w:t>
      </w:r>
      <w:r w:rsidR="006D4EBC">
        <w:rPr>
          <w:rFonts w:asciiTheme="majorHAnsi" w:eastAsia="Times New Roman" w:hAnsiTheme="majorHAnsi" w:cs="Times New Roman"/>
          <w:sz w:val="24"/>
          <w:szCs w:val="24"/>
          <w:lang w:val="ro-MD"/>
        </w:rPr>
        <w:t xml:space="preserve">a </w:t>
      </w:r>
      <w:r w:rsidR="008420F3" w:rsidRPr="00B42CED">
        <w:rPr>
          <w:rFonts w:asciiTheme="majorHAnsi" w:eastAsia="Times New Roman" w:hAnsiTheme="majorHAnsi" w:cs="Times New Roman"/>
          <w:sz w:val="24"/>
          <w:szCs w:val="24"/>
          <w:lang w:val="ro-MD"/>
        </w:rPr>
        <w:t>modificărilor operate pe parcursul anului</w:t>
      </w:r>
      <w:r w:rsidR="006D4EBC">
        <w:rPr>
          <w:rFonts w:asciiTheme="majorHAnsi" w:eastAsia="Times New Roman" w:hAnsiTheme="majorHAnsi" w:cs="Times New Roman"/>
          <w:sz w:val="24"/>
          <w:szCs w:val="24"/>
          <w:lang w:val="ro-MD"/>
        </w:rPr>
        <w:t>,</w:t>
      </w:r>
      <w:r w:rsidR="008420F3" w:rsidRPr="00B42CED">
        <w:rPr>
          <w:rFonts w:asciiTheme="majorHAnsi" w:eastAsia="Times New Roman" w:hAnsiTheme="majorHAnsi" w:cs="Times New Roman"/>
          <w:sz w:val="24"/>
          <w:szCs w:val="24"/>
          <w:lang w:val="ro-MD"/>
        </w:rPr>
        <w:t xml:space="preserve"> volumul alocațiilor precizate a fost majorat până la 68,0 mil.</w:t>
      </w:r>
      <w:r w:rsidR="008420F3">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sidR="008420F3" w:rsidRPr="00B42CED">
        <w:rPr>
          <w:rFonts w:asciiTheme="majorHAnsi" w:eastAsia="Times New Roman" w:hAnsiTheme="majorHAnsi" w:cs="Times New Roman"/>
          <w:sz w:val="24"/>
          <w:szCs w:val="24"/>
          <w:lang w:val="ro-MD"/>
        </w:rPr>
        <w:t xml:space="preserve"> sau de 2,6 ori. Astfel, execuția cheltuielile pentru achitarea documentelor executorii la situația din 31.12.2018</w:t>
      </w:r>
      <w:r>
        <w:rPr>
          <w:rFonts w:asciiTheme="majorHAnsi" w:eastAsia="Times New Roman" w:hAnsiTheme="majorHAnsi" w:cs="Times New Roman"/>
          <w:sz w:val="24"/>
          <w:szCs w:val="24"/>
          <w:lang w:val="ro-MD"/>
        </w:rPr>
        <w:t xml:space="preserve"> </w:t>
      </w:r>
      <w:r w:rsidR="008420F3" w:rsidRPr="00B42CED">
        <w:rPr>
          <w:rFonts w:asciiTheme="majorHAnsi" w:eastAsia="Times New Roman" w:hAnsiTheme="majorHAnsi" w:cs="Times New Roman"/>
          <w:sz w:val="24"/>
          <w:szCs w:val="24"/>
          <w:lang w:val="ro-MD"/>
        </w:rPr>
        <w:t>a însumat 62,1 mil.</w:t>
      </w:r>
      <w:r w:rsidR="008420F3">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sidR="008420F3" w:rsidRPr="00B42CED">
        <w:rPr>
          <w:rFonts w:asciiTheme="majorHAnsi" w:eastAsia="Times New Roman" w:hAnsiTheme="majorHAnsi" w:cs="Times New Roman"/>
          <w:sz w:val="24"/>
          <w:szCs w:val="24"/>
          <w:lang w:val="ro-MD"/>
        </w:rPr>
        <w:t xml:space="preserve"> </w:t>
      </w:r>
      <w:r w:rsidR="006D4EBC">
        <w:rPr>
          <w:rFonts w:asciiTheme="majorHAnsi" w:eastAsia="Times New Roman" w:hAnsiTheme="majorHAnsi" w:cs="Times New Roman"/>
          <w:sz w:val="24"/>
          <w:szCs w:val="24"/>
          <w:lang w:val="ro-MD"/>
        </w:rPr>
        <w:t xml:space="preserve">ceea </w:t>
      </w:r>
      <w:r w:rsidR="008420F3" w:rsidRPr="00B42CED">
        <w:rPr>
          <w:rFonts w:asciiTheme="majorHAnsi" w:eastAsia="Times New Roman" w:hAnsiTheme="majorHAnsi" w:cs="Times New Roman"/>
          <w:sz w:val="24"/>
          <w:szCs w:val="24"/>
          <w:lang w:val="ro-MD"/>
        </w:rPr>
        <w:t>ce constituie</w:t>
      </w:r>
      <w:r>
        <w:rPr>
          <w:rFonts w:asciiTheme="majorHAnsi" w:eastAsia="Times New Roman" w:hAnsiTheme="majorHAnsi" w:cs="Times New Roman"/>
          <w:sz w:val="24"/>
          <w:szCs w:val="24"/>
          <w:lang w:val="ro-MD"/>
        </w:rPr>
        <w:t xml:space="preserve"> </w:t>
      </w:r>
      <w:r w:rsidR="008420F3" w:rsidRPr="00B42CED">
        <w:rPr>
          <w:rFonts w:asciiTheme="majorHAnsi" w:eastAsia="Times New Roman" w:hAnsiTheme="majorHAnsi" w:cs="Times New Roman"/>
          <w:sz w:val="24"/>
          <w:szCs w:val="24"/>
          <w:lang w:val="ro-MD"/>
        </w:rPr>
        <w:t>91,3% comparativ cu indicatorul precizat.</w:t>
      </w:r>
    </w:p>
    <w:p w:rsidR="008420F3" w:rsidRPr="00380F1C" w:rsidRDefault="00793C62" w:rsidP="008420F3">
      <w:pPr>
        <w:spacing w:after="0" w:line="276" w:lineRule="auto"/>
        <w:jc w:val="both"/>
        <w:rPr>
          <w:rFonts w:asciiTheme="majorHAnsi" w:eastAsia="Times New Roman" w:hAnsiTheme="majorHAnsi" w:cs="Times New Roman"/>
          <w:i/>
          <w:sz w:val="24"/>
          <w:szCs w:val="24"/>
          <w:lang w:val="ro-MD"/>
        </w:rPr>
      </w:pPr>
      <w:r>
        <w:rPr>
          <w:rFonts w:asciiTheme="majorHAnsi" w:eastAsia="Times New Roman" w:hAnsiTheme="majorHAnsi" w:cs="Times New Roman"/>
          <w:sz w:val="24"/>
          <w:szCs w:val="24"/>
          <w:lang w:val="ro-MD"/>
        </w:rPr>
        <w:t xml:space="preserve">      </w:t>
      </w:r>
      <w:r w:rsidR="000A0A3E">
        <w:rPr>
          <w:rFonts w:asciiTheme="majorHAnsi" w:eastAsia="Times New Roman" w:hAnsiTheme="majorHAnsi" w:cs="Times New Roman"/>
          <w:sz w:val="24"/>
          <w:szCs w:val="24"/>
          <w:lang w:val="ro-MD"/>
        </w:rPr>
        <w:tab/>
      </w:r>
      <w:r w:rsidR="008420F3" w:rsidRPr="00B42CED">
        <w:rPr>
          <w:rFonts w:asciiTheme="majorHAnsi" w:eastAsia="Times New Roman" w:hAnsiTheme="majorHAnsi" w:cs="Times New Roman"/>
          <w:sz w:val="24"/>
          <w:szCs w:val="24"/>
          <w:lang w:val="ro-MD"/>
        </w:rPr>
        <w:t xml:space="preserve">Analiza auditului atestă o creștere semnificativă în perioada auditată a cheltuielilor privind plățile aferente documentelor executorii, în comparație cu anii 2015 și 2016. </w:t>
      </w:r>
      <w:r w:rsidR="008420F3" w:rsidRPr="00380F1C">
        <w:rPr>
          <w:rFonts w:asciiTheme="majorHAnsi" w:eastAsia="Times New Roman" w:hAnsiTheme="majorHAnsi" w:cs="Times New Roman"/>
          <w:i/>
          <w:sz w:val="24"/>
          <w:szCs w:val="24"/>
          <w:lang w:val="ro-MD"/>
        </w:rPr>
        <w:t>Situația privind evoluția cheltuielilor pentru documentele executorii în ani</w:t>
      </w:r>
      <w:r w:rsidR="006D4EBC">
        <w:rPr>
          <w:rFonts w:asciiTheme="majorHAnsi" w:eastAsia="Times New Roman" w:hAnsiTheme="majorHAnsi" w:cs="Times New Roman"/>
          <w:i/>
          <w:sz w:val="24"/>
          <w:szCs w:val="24"/>
          <w:lang w:val="ro-MD"/>
        </w:rPr>
        <w:t>i</w:t>
      </w:r>
      <w:r w:rsidR="008420F3" w:rsidRPr="00380F1C">
        <w:rPr>
          <w:rFonts w:asciiTheme="majorHAnsi" w:eastAsia="Times New Roman" w:hAnsiTheme="majorHAnsi" w:cs="Times New Roman"/>
          <w:i/>
          <w:sz w:val="24"/>
          <w:szCs w:val="24"/>
          <w:lang w:val="ro-MD"/>
        </w:rPr>
        <w:t xml:space="preserve"> 2016-2018 este prezentată în Diagrama </w:t>
      </w:r>
      <w:r w:rsidR="008C396F">
        <w:rPr>
          <w:rFonts w:asciiTheme="majorHAnsi" w:eastAsia="Times New Roman" w:hAnsiTheme="majorHAnsi" w:cs="Times New Roman"/>
          <w:i/>
          <w:sz w:val="24"/>
          <w:szCs w:val="24"/>
          <w:lang w:val="ro-MD"/>
        </w:rPr>
        <w:t>nr.10</w:t>
      </w:r>
      <w:r w:rsidR="008420F3">
        <w:rPr>
          <w:rFonts w:asciiTheme="majorHAnsi" w:eastAsia="Times New Roman" w:hAnsiTheme="majorHAnsi" w:cs="Times New Roman"/>
          <w:i/>
          <w:sz w:val="24"/>
          <w:szCs w:val="24"/>
          <w:lang w:val="ro-MD"/>
        </w:rPr>
        <w:t>.</w:t>
      </w:r>
    </w:p>
    <w:p w:rsidR="008420F3" w:rsidRPr="00901390" w:rsidRDefault="00793C62" w:rsidP="008420F3">
      <w:pPr>
        <w:spacing w:after="0" w:line="276" w:lineRule="auto"/>
        <w:jc w:val="right"/>
        <w:rPr>
          <w:rFonts w:asciiTheme="majorHAnsi" w:eastAsia="Times New Roman" w:hAnsiTheme="majorHAnsi" w:cs="Times New Roman"/>
          <w:i/>
          <w:sz w:val="24"/>
          <w:szCs w:val="24"/>
          <w:lang w:val="ro-MD"/>
        </w:rPr>
      </w:pPr>
      <w:r>
        <w:rPr>
          <w:rFonts w:asciiTheme="majorHAnsi" w:eastAsia="Times New Roman" w:hAnsiTheme="majorHAnsi" w:cs="Times New Roman"/>
          <w:b/>
          <w:i/>
          <w:sz w:val="24"/>
          <w:szCs w:val="24"/>
          <w:lang w:val="ro-MD"/>
        </w:rPr>
        <w:t xml:space="preserve">                                                                      </w:t>
      </w:r>
      <w:r w:rsidR="008420F3" w:rsidRPr="00901390">
        <w:rPr>
          <w:rFonts w:asciiTheme="majorHAnsi" w:eastAsia="Times New Roman" w:hAnsiTheme="majorHAnsi" w:cs="Times New Roman"/>
          <w:i/>
          <w:sz w:val="24"/>
          <w:szCs w:val="24"/>
          <w:lang w:val="ro-MD"/>
        </w:rPr>
        <w:t>Diagrama nr.</w:t>
      </w:r>
      <w:r w:rsidR="008C396F">
        <w:rPr>
          <w:rFonts w:asciiTheme="majorHAnsi" w:eastAsia="Times New Roman" w:hAnsiTheme="majorHAnsi" w:cs="Times New Roman"/>
          <w:i/>
          <w:sz w:val="24"/>
          <w:szCs w:val="24"/>
          <w:lang w:val="ro-MD"/>
        </w:rPr>
        <w:t xml:space="preserve"> 10</w:t>
      </w:r>
    </w:p>
    <w:p w:rsidR="008420F3" w:rsidRDefault="008420F3" w:rsidP="008420F3">
      <w:pPr>
        <w:spacing w:after="0" w:line="276" w:lineRule="auto"/>
        <w:jc w:val="center"/>
        <w:rPr>
          <w:rFonts w:asciiTheme="majorHAnsi" w:eastAsia="Times New Roman" w:hAnsiTheme="majorHAnsi" w:cs="Times New Roman"/>
          <w:b/>
          <w:sz w:val="24"/>
          <w:szCs w:val="24"/>
          <w:lang w:val="ro-MD"/>
        </w:rPr>
      </w:pPr>
      <w:r w:rsidRPr="004B66E5">
        <w:rPr>
          <w:rFonts w:asciiTheme="majorHAnsi" w:eastAsia="Times New Roman" w:hAnsiTheme="majorHAnsi" w:cs="Times New Roman"/>
          <w:b/>
          <w:sz w:val="24"/>
          <w:szCs w:val="24"/>
          <w:lang w:val="ro-MD"/>
        </w:rPr>
        <w:t>Evoluția cheltuielilor aferente documentel</w:t>
      </w:r>
      <w:r>
        <w:rPr>
          <w:rFonts w:asciiTheme="majorHAnsi" w:eastAsia="Times New Roman" w:hAnsiTheme="majorHAnsi" w:cs="Times New Roman"/>
          <w:b/>
          <w:sz w:val="24"/>
          <w:szCs w:val="24"/>
          <w:lang w:val="ro-MD"/>
        </w:rPr>
        <w:t>or executorii în anii 2016-2018</w:t>
      </w:r>
      <w:r w:rsidR="00793C62">
        <w:rPr>
          <w:rFonts w:asciiTheme="majorHAnsi" w:eastAsia="Times New Roman" w:hAnsiTheme="majorHAnsi" w:cs="Times New Roman"/>
          <w:b/>
          <w:sz w:val="24"/>
          <w:szCs w:val="24"/>
          <w:lang w:val="ro-MD"/>
        </w:rPr>
        <w:t xml:space="preserve">  </w:t>
      </w:r>
    </w:p>
    <w:p w:rsidR="008420F3" w:rsidRDefault="008420F3" w:rsidP="008420F3">
      <w:pPr>
        <w:spacing w:after="0" w:line="276" w:lineRule="auto"/>
        <w:ind w:right="616"/>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 xml:space="preserve">(mil. </w:t>
      </w:r>
      <w:r w:rsidR="007160B9">
        <w:rPr>
          <w:rFonts w:asciiTheme="majorHAnsi" w:eastAsia="Times New Roman" w:hAnsiTheme="majorHAnsi" w:cs="Times New Roman"/>
          <w:b/>
          <w:sz w:val="24"/>
          <w:szCs w:val="24"/>
          <w:lang w:val="ro-MD"/>
        </w:rPr>
        <w:t>MDL</w:t>
      </w:r>
      <w:r>
        <w:rPr>
          <w:rFonts w:asciiTheme="majorHAnsi" w:eastAsia="Times New Roman" w:hAnsiTheme="majorHAnsi" w:cs="Times New Roman"/>
          <w:b/>
          <w:sz w:val="24"/>
          <w:szCs w:val="24"/>
          <w:lang w:val="ro-MD"/>
        </w:rPr>
        <w:t>)</w:t>
      </w:r>
      <w:r w:rsidR="00793C62">
        <w:rPr>
          <w:rFonts w:asciiTheme="majorHAnsi" w:eastAsia="Times New Roman" w:hAnsiTheme="majorHAnsi" w:cs="Times New Roman"/>
          <w:b/>
          <w:sz w:val="24"/>
          <w:szCs w:val="24"/>
          <w:lang w:val="ro-MD"/>
        </w:rPr>
        <w:t xml:space="preserve">                                                                                </w:t>
      </w:r>
    </w:p>
    <w:p w:rsidR="008420F3" w:rsidRDefault="008420F3" w:rsidP="008420F3">
      <w:pPr>
        <w:spacing w:after="0" w:line="276" w:lineRule="auto"/>
        <w:jc w:val="center"/>
        <w:rPr>
          <w:rFonts w:asciiTheme="majorHAnsi" w:eastAsia="Times New Roman" w:hAnsiTheme="majorHAnsi" w:cs="Times New Roman"/>
          <w:b/>
          <w:sz w:val="24"/>
          <w:szCs w:val="24"/>
          <w:lang w:val="ro-MD"/>
        </w:rPr>
      </w:pPr>
      <w:r>
        <w:rPr>
          <w:rFonts w:asciiTheme="majorHAnsi" w:eastAsia="Times New Roman" w:hAnsiTheme="majorHAnsi" w:cs="Times New Roman"/>
          <w:b/>
          <w:noProof/>
          <w:sz w:val="24"/>
          <w:szCs w:val="24"/>
          <w:lang w:val="en-US"/>
        </w:rPr>
        <w:lastRenderedPageBreak/>
        <w:drawing>
          <wp:inline distT="0" distB="0" distL="0" distR="0" wp14:anchorId="33F900EE" wp14:editId="72A57769">
            <wp:extent cx="5379720" cy="22936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20F3" w:rsidRDefault="008420F3" w:rsidP="008420F3">
      <w:pPr>
        <w:spacing w:after="0" w:line="276" w:lineRule="auto"/>
        <w:ind w:left="567" w:right="616"/>
        <w:jc w:val="both"/>
        <w:rPr>
          <w:rFonts w:asciiTheme="majorHAnsi" w:eastAsia="Times New Roman" w:hAnsiTheme="majorHAnsi" w:cstheme="majorHAnsi"/>
          <w:i/>
          <w:sz w:val="20"/>
          <w:szCs w:val="20"/>
          <w:lang w:val="ro-MD"/>
        </w:rPr>
      </w:pPr>
      <w:r w:rsidRPr="00CA52B8">
        <w:rPr>
          <w:rFonts w:asciiTheme="majorHAnsi" w:eastAsia="Times New Roman" w:hAnsiTheme="majorHAnsi" w:cstheme="majorHAnsi"/>
          <w:b/>
          <w:i/>
          <w:sz w:val="20"/>
          <w:szCs w:val="20"/>
          <w:lang w:val="ro-MD"/>
        </w:rPr>
        <w:t>Sursă:</w:t>
      </w:r>
      <w:r w:rsidRPr="00CA52B8">
        <w:rPr>
          <w:rFonts w:asciiTheme="majorHAnsi" w:eastAsia="Times New Roman" w:hAnsiTheme="majorHAnsi" w:cstheme="majorHAnsi"/>
          <w:i/>
          <w:sz w:val="20"/>
          <w:szCs w:val="20"/>
          <w:lang w:val="ro-MD"/>
        </w:rPr>
        <w:t xml:space="preserve"> Informații generalizate de echipa de audit conform Rapoartelor privind execu</w:t>
      </w:r>
      <w:r>
        <w:rPr>
          <w:rFonts w:asciiTheme="majorHAnsi" w:eastAsia="Times New Roman" w:hAnsiTheme="majorHAnsi" w:cstheme="majorHAnsi"/>
          <w:i/>
          <w:sz w:val="20"/>
          <w:szCs w:val="20"/>
          <w:lang w:val="ro-MD"/>
        </w:rPr>
        <w:t>tarea bugetului pentru anii 2016, 2017 și, respectiv, 2018</w:t>
      </w:r>
      <w:r w:rsidRPr="00CA52B8">
        <w:rPr>
          <w:rFonts w:asciiTheme="majorHAnsi" w:eastAsia="Times New Roman" w:hAnsiTheme="majorHAnsi" w:cstheme="majorHAnsi"/>
          <w:i/>
          <w:sz w:val="20"/>
          <w:szCs w:val="20"/>
          <w:lang w:val="ro-MD"/>
        </w:rPr>
        <w:t>.</w:t>
      </w:r>
    </w:p>
    <w:p w:rsidR="008420F3" w:rsidRDefault="008420F3" w:rsidP="008420F3">
      <w:pPr>
        <w:spacing w:after="0" w:line="276" w:lineRule="auto"/>
        <w:jc w:val="both"/>
        <w:rPr>
          <w:rFonts w:asciiTheme="majorHAnsi" w:eastAsia="Times New Roman" w:hAnsiTheme="majorHAnsi" w:cstheme="majorHAnsi"/>
          <w:i/>
          <w:sz w:val="20"/>
          <w:szCs w:val="20"/>
          <w:lang w:val="ro-MD"/>
        </w:rPr>
      </w:pPr>
    </w:p>
    <w:p w:rsidR="008420F3" w:rsidRPr="00B42CED" w:rsidRDefault="0000681F" w:rsidP="008420F3">
      <w:pPr>
        <w:spacing w:after="0" w:line="276" w:lineRule="auto"/>
        <w:ind w:firstLine="709"/>
        <w:jc w:val="both"/>
        <w:rPr>
          <w:rFonts w:asciiTheme="majorHAnsi" w:eastAsia="Times New Roman" w:hAnsiTheme="majorHAnsi" w:cs="Times New Roman"/>
          <w:sz w:val="24"/>
          <w:szCs w:val="24"/>
          <w:lang w:val="ro-MD"/>
        </w:rPr>
      </w:pPr>
      <w:r>
        <w:rPr>
          <w:rFonts w:asciiTheme="majorHAnsi" w:eastAsia="Times New Roman" w:hAnsiTheme="majorHAnsi" w:cs="Times New Roman"/>
          <w:sz w:val="24"/>
          <w:szCs w:val="24"/>
          <w:lang w:val="ro-MD"/>
        </w:rPr>
        <w:t>Î</w:t>
      </w:r>
      <w:r w:rsidR="008420F3" w:rsidRPr="00B42CED">
        <w:rPr>
          <w:rFonts w:asciiTheme="majorHAnsi" w:eastAsia="Times New Roman" w:hAnsiTheme="majorHAnsi" w:cs="Times New Roman"/>
          <w:sz w:val="24"/>
          <w:szCs w:val="24"/>
          <w:lang w:val="ro-MD"/>
        </w:rPr>
        <w:t>n anul 2018 s-au înregistrat cele mai mar</w:t>
      </w:r>
      <w:r w:rsidR="008420F3">
        <w:rPr>
          <w:rFonts w:asciiTheme="majorHAnsi" w:eastAsia="Times New Roman" w:hAnsiTheme="majorHAnsi" w:cs="Times New Roman"/>
          <w:sz w:val="24"/>
          <w:szCs w:val="24"/>
          <w:lang w:val="ro-MD"/>
        </w:rPr>
        <w:t>i cheltuieli</w:t>
      </w:r>
      <w:r w:rsidR="008420F3" w:rsidRPr="001E52EC">
        <w:rPr>
          <w:rFonts w:asciiTheme="majorHAnsi" w:eastAsia="Times New Roman" w:hAnsiTheme="majorHAnsi" w:cs="Times New Roman"/>
          <w:sz w:val="24"/>
          <w:szCs w:val="24"/>
          <w:lang w:val="ro-MD"/>
        </w:rPr>
        <w:t xml:space="preserve"> </w:t>
      </w:r>
      <w:r w:rsidR="008420F3" w:rsidRPr="00B42CED">
        <w:rPr>
          <w:rFonts w:asciiTheme="majorHAnsi" w:eastAsia="Times New Roman" w:hAnsiTheme="majorHAnsi" w:cs="Times New Roman"/>
          <w:sz w:val="24"/>
          <w:szCs w:val="24"/>
          <w:lang w:val="ro-MD"/>
        </w:rPr>
        <w:t>din BS pentru achitarea documentelor executorii din ultimii 3 ani</w:t>
      </w:r>
      <w:r w:rsidR="006D4EBC">
        <w:rPr>
          <w:rFonts w:asciiTheme="majorHAnsi" w:eastAsia="Times New Roman" w:hAnsiTheme="majorHAnsi" w:cs="Times New Roman"/>
          <w:sz w:val="24"/>
          <w:szCs w:val="24"/>
          <w:lang w:val="ro-MD"/>
        </w:rPr>
        <w:t>,</w:t>
      </w:r>
      <w:r w:rsidR="008420F3" w:rsidRPr="00B42CED">
        <w:rPr>
          <w:rFonts w:asciiTheme="majorHAnsi" w:eastAsia="Times New Roman" w:hAnsiTheme="majorHAnsi" w:cs="Times New Roman"/>
          <w:sz w:val="24"/>
          <w:szCs w:val="24"/>
          <w:lang w:val="ro-MD"/>
        </w:rPr>
        <w:t xml:space="preserve"> sau cu 35,6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8420F3" w:rsidRPr="00B42CED">
        <w:rPr>
          <w:rFonts w:asciiTheme="majorHAnsi" w:eastAsia="Times New Roman" w:hAnsiTheme="majorHAnsi" w:cs="Times New Roman"/>
          <w:sz w:val="24"/>
          <w:szCs w:val="24"/>
          <w:lang w:val="ro-MD"/>
        </w:rPr>
        <w:t xml:space="preserve"> (57,3%) mai mult față de anul precedent și cu 29,8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8420F3" w:rsidRPr="00B42CED">
        <w:rPr>
          <w:rFonts w:asciiTheme="majorHAnsi" w:eastAsia="Times New Roman" w:hAnsiTheme="majorHAnsi" w:cs="Times New Roman"/>
          <w:sz w:val="24"/>
          <w:szCs w:val="24"/>
          <w:lang w:val="ro-MD"/>
        </w:rPr>
        <w:t xml:space="preserve"> (48,0%) mai mult față de 2016.</w:t>
      </w:r>
      <w:r w:rsidR="00793C62">
        <w:rPr>
          <w:rFonts w:asciiTheme="majorHAnsi" w:eastAsia="Times New Roman" w:hAnsiTheme="majorHAnsi" w:cs="Times New Roman"/>
          <w:sz w:val="24"/>
          <w:szCs w:val="24"/>
          <w:lang w:val="ro-MD"/>
        </w:rPr>
        <w:t xml:space="preserve"> </w:t>
      </w:r>
    </w:p>
    <w:p w:rsidR="008420F3" w:rsidRPr="00B42CED"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Totodată</w:t>
      </w:r>
      <w:r w:rsidR="006F280B">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cheltuielile pentru documentele executorii înregistrate până la 31.12.2017 și achitate în anul 2018 a</w:t>
      </w:r>
      <w:r w:rsidR="006D4EBC">
        <w:rPr>
          <w:rFonts w:asciiTheme="majorHAnsi" w:eastAsia="Times New Roman" w:hAnsiTheme="majorHAnsi" w:cs="Times New Roman"/>
          <w:sz w:val="24"/>
          <w:szCs w:val="24"/>
          <w:lang w:val="ro-MD"/>
        </w:rPr>
        <w:t>u</w:t>
      </w:r>
      <w:r w:rsidRPr="00B42CED">
        <w:rPr>
          <w:rFonts w:asciiTheme="majorHAnsi" w:eastAsia="Times New Roman" w:hAnsiTheme="majorHAnsi" w:cs="Times New Roman"/>
          <w:sz w:val="24"/>
          <w:szCs w:val="24"/>
          <w:lang w:val="ro-MD"/>
        </w:rPr>
        <w:t xml:space="preserve"> constituit</w:t>
      </w:r>
      <w:r w:rsidR="00793C62">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2,4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w:t>
      </w:r>
    </w:p>
    <w:p w:rsidR="008420F3" w:rsidRPr="00B42CED"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În anul 2018</w:t>
      </w:r>
      <w:r w:rsidR="006D4EBC">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din totalul de 62,1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xml:space="preserve"> achitate, 44,6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sau 71,8%</w:t>
      </w:r>
      <w:r w:rsidR="006D4EBC">
        <w:rPr>
          <w:rFonts w:asciiTheme="majorHAnsi" w:eastAsia="Times New Roman" w:hAnsiTheme="majorHAnsi" w:cs="Times New Roman"/>
          <w:sz w:val="24"/>
          <w:szCs w:val="24"/>
          <w:lang w:val="ro-MD"/>
        </w:rPr>
        <w:t>,</w:t>
      </w:r>
      <w:r>
        <w:rPr>
          <w:rFonts w:asciiTheme="majorHAnsi" w:eastAsia="Times New Roman" w:hAnsiTheme="majorHAnsi" w:cs="Times New Roman"/>
          <w:sz w:val="24"/>
          <w:szCs w:val="24"/>
          <w:lang w:val="ro-MD"/>
        </w:rPr>
        <w:t xml:space="preserve"> aparțin MF</w:t>
      </w:r>
      <w:r w:rsidR="006D4EBC">
        <w:rPr>
          <w:rFonts w:asciiTheme="majorHAnsi" w:eastAsia="Times New Roman" w:hAnsiTheme="majorHAnsi" w:cs="Times New Roman"/>
          <w:sz w:val="24"/>
          <w:szCs w:val="24"/>
          <w:lang w:val="ro-MD"/>
        </w:rPr>
        <w:t xml:space="preserve">, </w:t>
      </w:r>
      <w:r>
        <w:rPr>
          <w:rFonts w:asciiTheme="majorHAnsi" w:eastAsia="Times New Roman" w:hAnsiTheme="majorHAnsi" w:cs="Times New Roman"/>
          <w:sz w:val="24"/>
          <w:szCs w:val="24"/>
          <w:lang w:val="ro-MD"/>
        </w:rPr>
        <w:t xml:space="preserve"> iar 17,</w:t>
      </w:r>
      <w:r w:rsidRPr="00B42CED">
        <w:rPr>
          <w:rFonts w:asciiTheme="majorHAnsi" w:eastAsia="Times New Roman" w:hAnsiTheme="majorHAnsi" w:cs="Times New Roman"/>
          <w:sz w:val="24"/>
          <w:szCs w:val="24"/>
          <w:lang w:val="ro-MD"/>
        </w:rPr>
        <w:t>5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sau 28,2% </w:t>
      </w:r>
      <w:r w:rsidR="006D4EBC" w:rsidRPr="00B42CED">
        <w:rPr>
          <w:rFonts w:asciiTheme="majorHAnsi" w:eastAsia="Times New Roman" w:hAnsiTheme="majorHAnsi" w:cs="Times New Roman"/>
          <w:sz w:val="24"/>
          <w:szCs w:val="24"/>
          <w:lang w:val="ro-MD"/>
        </w:rPr>
        <w:t>–</w:t>
      </w:r>
      <w:r w:rsidR="006D4EBC">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 xml:space="preserve">executorilor de buget. </w:t>
      </w:r>
    </w:p>
    <w:p w:rsidR="008420F3" w:rsidRPr="00B42CED"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Analiza achitării documentelor executorii prin intermediul MF (44,6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denot</w:t>
      </w:r>
      <w:r w:rsidR="006D4EBC">
        <w:rPr>
          <w:rFonts w:asciiTheme="majorHAnsi" w:eastAsia="Times New Roman" w:hAnsiTheme="majorHAnsi" w:cs="Times New Roman"/>
          <w:sz w:val="24"/>
          <w:szCs w:val="24"/>
          <w:lang w:val="ro-MD"/>
        </w:rPr>
        <w:t>ă</w:t>
      </w:r>
      <w:r w:rsidRPr="00B42CED">
        <w:rPr>
          <w:rFonts w:asciiTheme="majorHAnsi" w:eastAsia="Times New Roman" w:hAnsiTheme="majorHAnsi" w:cs="Times New Roman"/>
          <w:sz w:val="24"/>
          <w:szCs w:val="24"/>
          <w:lang w:val="ro-MD"/>
        </w:rPr>
        <w:t xml:space="preserve"> că ponderea majoră în totalul plăților o deține plata efectuată pentru executarea Hotărârii Centrului Internațional pentru reglementarea diferențelor relative la investiții (în continuare </w:t>
      </w:r>
      <w:r w:rsidR="006D4EBC">
        <w:rPr>
          <w:rFonts w:asciiTheme="majorHAnsi" w:eastAsia="Times New Roman" w:hAnsiTheme="majorHAnsi" w:cs="Times New Roman"/>
          <w:sz w:val="24"/>
          <w:szCs w:val="24"/>
          <w:lang w:val="ro-MD"/>
        </w:rPr>
        <w:t xml:space="preserve">– </w:t>
      </w:r>
      <w:r w:rsidRPr="00B42CED">
        <w:rPr>
          <w:rFonts w:asciiTheme="majorHAnsi" w:eastAsia="Times New Roman" w:hAnsiTheme="majorHAnsi" w:cs="Times New Roman"/>
          <w:sz w:val="24"/>
          <w:szCs w:val="24"/>
          <w:lang w:val="ro-MD"/>
        </w:rPr>
        <w:t>ICSID)</w:t>
      </w:r>
      <w:r w:rsidR="006D4EBC">
        <w:rPr>
          <w:rFonts w:asciiTheme="majorHAnsi" w:eastAsia="Times New Roman" w:hAnsiTheme="majorHAnsi" w:cs="Times New Roman"/>
          <w:sz w:val="24"/>
          <w:szCs w:val="24"/>
          <w:lang w:val="ro-MD"/>
        </w:rPr>
        <w:t>,</w:t>
      </w:r>
      <w:r w:rsidRPr="00B42CED">
        <w:rPr>
          <w:rFonts w:asciiTheme="majorHAnsi" w:eastAsia="Times New Roman" w:hAnsiTheme="majorHAnsi" w:cs="Times New Roman"/>
          <w:sz w:val="24"/>
          <w:szCs w:val="24"/>
          <w:lang w:val="ro-MD"/>
        </w:rPr>
        <w:t xml:space="preserve"> în sumă de 30,9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006D4EBC">
        <w:rPr>
          <w:rFonts w:asciiTheme="majorHAnsi" w:eastAsia="Times New Roman" w:hAnsiTheme="majorHAnsi" w:cs="Times New Roman"/>
          <w:sz w:val="24"/>
          <w:szCs w:val="24"/>
          <w:lang w:val="ro-MD"/>
        </w:rPr>
        <w:t>,</w:t>
      </w:r>
      <w:r w:rsidR="0000681F">
        <w:rPr>
          <w:rFonts w:asciiTheme="majorHAnsi" w:eastAsia="Times New Roman" w:hAnsiTheme="majorHAnsi" w:cs="Times New Roman"/>
          <w:sz w:val="24"/>
          <w:szCs w:val="24"/>
          <w:lang w:val="ro-MD"/>
        </w:rPr>
        <w:t xml:space="preserve"> sau 69,3%, cheltuielile fiind neeficiente deoarece nu a</w:t>
      </w:r>
      <w:r w:rsidR="006D4EBC">
        <w:rPr>
          <w:rFonts w:asciiTheme="majorHAnsi" w:eastAsia="Times New Roman" w:hAnsiTheme="majorHAnsi" w:cs="Times New Roman"/>
          <w:sz w:val="24"/>
          <w:szCs w:val="24"/>
          <w:lang w:val="ro-MD"/>
        </w:rPr>
        <w:t>u</w:t>
      </w:r>
      <w:r w:rsidR="0000681F">
        <w:rPr>
          <w:rFonts w:asciiTheme="majorHAnsi" w:eastAsia="Times New Roman" w:hAnsiTheme="majorHAnsi" w:cs="Times New Roman"/>
          <w:sz w:val="24"/>
          <w:szCs w:val="24"/>
          <w:lang w:val="ro-MD"/>
        </w:rPr>
        <w:t xml:space="preserve"> dat câștig de cauză pentru RM. Totodată, pentru achitarea</w:t>
      </w:r>
      <w:r w:rsidR="00793C62">
        <w:rPr>
          <w:rFonts w:asciiTheme="majorHAnsi" w:eastAsia="Times New Roman" w:hAnsiTheme="majorHAnsi" w:cs="Times New Roman"/>
          <w:sz w:val="24"/>
          <w:szCs w:val="24"/>
          <w:lang w:val="ro-MD"/>
        </w:rPr>
        <w:t xml:space="preserve"> </w:t>
      </w:r>
      <w:r w:rsidR="0000681F">
        <w:rPr>
          <w:rFonts w:asciiTheme="majorHAnsi" w:eastAsia="Times New Roman" w:hAnsiTheme="majorHAnsi" w:cs="Times New Roman"/>
          <w:sz w:val="24"/>
          <w:szCs w:val="24"/>
          <w:lang w:val="ro-MD"/>
        </w:rPr>
        <w:t>Hotărârilor remise de organele</w:t>
      </w:r>
      <w:r w:rsidRPr="00B42CED">
        <w:rPr>
          <w:rFonts w:asciiTheme="majorHAnsi" w:eastAsia="Times New Roman" w:hAnsiTheme="majorHAnsi" w:cs="Times New Roman"/>
          <w:sz w:val="24"/>
          <w:szCs w:val="24"/>
          <w:lang w:val="ro-MD"/>
        </w:rPr>
        <w:t xml:space="preserve"> de drept din RM </w:t>
      </w:r>
      <w:r w:rsidR="006D4EBC">
        <w:rPr>
          <w:rFonts w:asciiTheme="majorHAnsi" w:eastAsia="Times New Roman" w:hAnsiTheme="majorHAnsi" w:cs="Times New Roman"/>
          <w:sz w:val="24"/>
          <w:szCs w:val="24"/>
          <w:lang w:val="ro-MD"/>
        </w:rPr>
        <w:t>s-au cheltuit</w:t>
      </w:r>
      <w:r w:rsidRPr="00B42CED">
        <w:rPr>
          <w:rFonts w:asciiTheme="majorHAnsi" w:eastAsia="Times New Roman" w:hAnsiTheme="majorHAnsi" w:cs="Times New Roman"/>
          <w:sz w:val="24"/>
          <w:szCs w:val="24"/>
          <w:lang w:val="ro-MD"/>
        </w:rPr>
        <w:t xml:space="preserve"> 8,3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xml:space="preserve"> (18,6%)</w:t>
      </w:r>
      <w:r w:rsidR="006D4EBC">
        <w:rPr>
          <w:rFonts w:asciiTheme="majorHAnsi" w:eastAsia="Times New Roman" w:hAnsiTheme="majorHAnsi" w:cs="Times New Roman"/>
          <w:sz w:val="24"/>
          <w:szCs w:val="24"/>
          <w:lang w:val="ro-MD"/>
        </w:rPr>
        <w:t>, iar pentru</w:t>
      </w:r>
      <w:r w:rsidRPr="00B42CED">
        <w:rPr>
          <w:rFonts w:asciiTheme="majorHAnsi" w:eastAsia="Times New Roman" w:hAnsiTheme="majorHAnsi" w:cs="Times New Roman"/>
          <w:sz w:val="24"/>
          <w:szCs w:val="24"/>
          <w:lang w:val="ro-MD"/>
        </w:rPr>
        <w:t xml:space="preserve"> Hotărârile emise de CEDO – 5,4 mil.</w:t>
      </w:r>
      <w:r w:rsidR="006D4EBC">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B42CED">
        <w:rPr>
          <w:rFonts w:asciiTheme="majorHAnsi" w:eastAsia="Times New Roman" w:hAnsiTheme="majorHAnsi" w:cs="Times New Roman"/>
          <w:sz w:val="24"/>
          <w:szCs w:val="24"/>
          <w:lang w:val="ro-MD"/>
        </w:rPr>
        <w:t xml:space="preserve"> (12,1%).</w:t>
      </w:r>
    </w:p>
    <w:p w:rsidR="008420F3" w:rsidRPr="00B42CED"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 xml:space="preserve">Verificările privind respectarea ordinii cronologice de achitare a documentelor executorii după data intrării și data achitării, deși la data </w:t>
      </w:r>
      <w:r w:rsidR="006D4EBC">
        <w:rPr>
          <w:rFonts w:asciiTheme="majorHAnsi" w:eastAsia="Times New Roman" w:hAnsiTheme="majorHAnsi" w:cs="Times New Roman"/>
          <w:sz w:val="24"/>
          <w:szCs w:val="24"/>
          <w:lang w:val="ro-MD"/>
        </w:rPr>
        <w:t xml:space="preserve">de </w:t>
      </w:r>
      <w:r w:rsidRPr="00B42CED">
        <w:rPr>
          <w:rFonts w:asciiTheme="majorHAnsi" w:eastAsia="Times New Roman" w:hAnsiTheme="majorHAnsi" w:cs="Times New Roman"/>
          <w:sz w:val="24"/>
          <w:szCs w:val="24"/>
          <w:lang w:val="ro-MD"/>
        </w:rPr>
        <w:t xml:space="preserve">01.12.2017 limita de achitare a fost micșorată de la 6 la 3 luni, nu au stabilit abateri. </w:t>
      </w:r>
    </w:p>
    <w:p w:rsidR="008420F3" w:rsidRPr="00B42CED" w:rsidRDefault="008420F3" w:rsidP="008420F3">
      <w:pPr>
        <w:spacing w:after="0" w:line="276" w:lineRule="auto"/>
        <w:ind w:firstLine="709"/>
        <w:jc w:val="both"/>
        <w:rPr>
          <w:rFonts w:asciiTheme="majorHAnsi" w:eastAsia="Times New Roman" w:hAnsiTheme="majorHAnsi" w:cs="Times New Roman"/>
          <w:sz w:val="24"/>
          <w:szCs w:val="24"/>
          <w:lang w:val="ro-MD"/>
        </w:rPr>
      </w:pPr>
      <w:r w:rsidRPr="00B42CED">
        <w:rPr>
          <w:rFonts w:asciiTheme="majorHAnsi" w:eastAsia="Times New Roman" w:hAnsiTheme="majorHAnsi" w:cs="Times New Roman"/>
          <w:sz w:val="24"/>
          <w:szCs w:val="24"/>
          <w:lang w:val="ro-MD"/>
        </w:rPr>
        <w:t>Documentele executorii înregistrate la MF până la 31.12.2018 au fost executate în proporție de 100</w:t>
      </w:r>
      <w:r>
        <w:rPr>
          <w:rFonts w:asciiTheme="majorHAnsi" w:eastAsia="Times New Roman" w:hAnsiTheme="majorHAnsi" w:cs="Times New Roman"/>
          <w:sz w:val="24"/>
          <w:szCs w:val="24"/>
          <w:lang w:val="ro-MD"/>
        </w:rPr>
        <w:t>,0</w:t>
      </w:r>
      <w:r w:rsidRPr="00B42CED">
        <w:rPr>
          <w:rFonts w:asciiTheme="majorHAnsi" w:eastAsia="Times New Roman" w:hAnsiTheme="majorHAnsi" w:cs="Times New Roman"/>
          <w:sz w:val="24"/>
          <w:szCs w:val="24"/>
          <w:lang w:val="ro-MD"/>
        </w:rPr>
        <w:t>%.</w:t>
      </w:r>
    </w:p>
    <w:p w:rsidR="008420F3" w:rsidRDefault="008420F3" w:rsidP="008420F3">
      <w:pPr>
        <w:spacing w:after="0" w:line="276" w:lineRule="auto"/>
        <w:ind w:firstLine="709"/>
        <w:jc w:val="both"/>
        <w:rPr>
          <w:rFonts w:asciiTheme="majorHAnsi" w:eastAsia="Times New Roman" w:hAnsiTheme="majorHAnsi" w:cs="Times New Roman"/>
          <w:sz w:val="24"/>
          <w:szCs w:val="24"/>
          <w:lang w:val="ro-MD"/>
        </w:rPr>
      </w:pPr>
      <w:r w:rsidRPr="009E4B7F">
        <w:rPr>
          <w:rFonts w:asciiTheme="majorHAnsi" w:eastAsia="Times New Roman" w:hAnsiTheme="majorHAnsi" w:cs="Times New Roman"/>
          <w:sz w:val="24"/>
          <w:szCs w:val="24"/>
          <w:lang w:val="ro-MD"/>
        </w:rPr>
        <w:t>Totodată</w:t>
      </w:r>
      <w:r w:rsidR="006D4EBC">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se atestă că</w:t>
      </w:r>
      <w:r w:rsidR="006D4EBC">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creanțele față de BS</w:t>
      </w:r>
      <w:r w:rsidR="006D4EBC">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la situația din 31.12.2018</w:t>
      </w:r>
      <w:r w:rsidR="006D4EBC">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pentru titlurile executorii achitate anterior de MF și care urmează a fi restituite la BS au însumat 24,2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 dintre care:</w:t>
      </w:r>
      <w:r w:rsidR="00793C62">
        <w:rPr>
          <w:rFonts w:asciiTheme="majorHAnsi" w:eastAsia="Times New Roman" w:hAnsiTheme="majorHAnsi" w:cs="Times New Roman"/>
          <w:sz w:val="24"/>
          <w:szCs w:val="24"/>
          <w:lang w:val="ro-MD"/>
        </w:rPr>
        <w:t xml:space="preserve"> </w:t>
      </w:r>
      <w:r w:rsidRPr="009E4B7F">
        <w:rPr>
          <w:rFonts w:asciiTheme="majorHAnsi" w:eastAsia="Times New Roman" w:hAnsiTheme="majorHAnsi" w:cs="Times New Roman"/>
          <w:sz w:val="24"/>
          <w:szCs w:val="24"/>
          <w:lang w:val="ro-MD"/>
        </w:rPr>
        <w:t>„</w:t>
      </w:r>
      <w:proofErr w:type="spellStart"/>
      <w:r w:rsidRPr="009E4B7F">
        <w:rPr>
          <w:rFonts w:asciiTheme="majorHAnsi" w:eastAsia="Times New Roman" w:hAnsiTheme="majorHAnsi" w:cs="Times New Roman"/>
          <w:sz w:val="24"/>
          <w:szCs w:val="24"/>
          <w:lang w:val="ro-MD"/>
        </w:rPr>
        <w:t>Glassis</w:t>
      </w:r>
      <w:proofErr w:type="spellEnd"/>
      <w:r w:rsidRPr="009E4B7F">
        <w:rPr>
          <w:rFonts w:asciiTheme="majorHAnsi" w:eastAsia="Times New Roman" w:hAnsiTheme="majorHAnsi" w:cs="Times New Roman"/>
          <w:sz w:val="24"/>
          <w:szCs w:val="24"/>
          <w:lang w:val="ro-MD"/>
        </w:rPr>
        <w:t xml:space="preserve"> Enterprises” LLC – din anul 2000 (0,4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 „</w:t>
      </w:r>
      <w:proofErr w:type="spellStart"/>
      <w:r w:rsidRPr="009E4B7F">
        <w:rPr>
          <w:rFonts w:asciiTheme="majorHAnsi" w:eastAsia="Times New Roman" w:hAnsiTheme="majorHAnsi" w:cs="Times New Roman"/>
          <w:sz w:val="24"/>
          <w:szCs w:val="24"/>
          <w:lang w:val="ro-MD"/>
        </w:rPr>
        <w:t>Swan</w:t>
      </w:r>
      <w:proofErr w:type="spellEnd"/>
      <w:r w:rsidRPr="009E4B7F">
        <w:rPr>
          <w:rFonts w:asciiTheme="majorHAnsi" w:eastAsia="Times New Roman" w:hAnsiTheme="majorHAnsi" w:cs="Times New Roman"/>
          <w:sz w:val="24"/>
          <w:szCs w:val="24"/>
          <w:lang w:val="ro-MD"/>
        </w:rPr>
        <w:t xml:space="preserve"> </w:t>
      </w:r>
      <w:proofErr w:type="spellStart"/>
      <w:r w:rsidRPr="009E4B7F">
        <w:rPr>
          <w:rFonts w:asciiTheme="majorHAnsi" w:eastAsia="Times New Roman" w:hAnsiTheme="majorHAnsi" w:cs="Times New Roman"/>
          <w:sz w:val="24"/>
          <w:szCs w:val="24"/>
          <w:lang w:val="ro-MD"/>
        </w:rPr>
        <w:t>Laboratories</w:t>
      </w:r>
      <w:proofErr w:type="spellEnd"/>
      <w:r w:rsidRPr="009E4B7F">
        <w:rPr>
          <w:rFonts w:asciiTheme="majorHAnsi" w:eastAsia="Times New Roman" w:hAnsiTheme="majorHAnsi" w:cs="Times New Roman"/>
          <w:sz w:val="24"/>
          <w:szCs w:val="24"/>
          <w:lang w:val="ro-MD"/>
        </w:rPr>
        <w:t>” – din anul 2000 (3,4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 SA „Aroma” – 12,7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 xml:space="preserve">, </w:t>
      </w:r>
      <w:proofErr w:type="spellStart"/>
      <w:r w:rsidRPr="009E4B7F">
        <w:rPr>
          <w:rFonts w:asciiTheme="majorHAnsi" w:eastAsia="Times New Roman" w:hAnsiTheme="majorHAnsi" w:cs="Times New Roman"/>
          <w:sz w:val="24"/>
          <w:szCs w:val="24"/>
          <w:lang w:val="ro-MD"/>
        </w:rPr>
        <w:t>Sandulachi</w:t>
      </w:r>
      <w:proofErr w:type="spellEnd"/>
      <w:r w:rsidRPr="009E4B7F">
        <w:rPr>
          <w:rFonts w:asciiTheme="majorHAnsi" w:eastAsia="Times New Roman" w:hAnsiTheme="majorHAnsi" w:cs="Times New Roman"/>
          <w:sz w:val="24"/>
          <w:szCs w:val="24"/>
          <w:lang w:val="ro-MD"/>
        </w:rPr>
        <w:t xml:space="preserve"> </w:t>
      </w:r>
      <w:proofErr w:type="spellStart"/>
      <w:r w:rsidRPr="009E4B7F">
        <w:rPr>
          <w:rFonts w:asciiTheme="majorHAnsi" w:eastAsia="Times New Roman" w:hAnsiTheme="majorHAnsi" w:cs="Times New Roman"/>
          <w:sz w:val="24"/>
          <w:szCs w:val="24"/>
          <w:lang w:val="ro-MD"/>
        </w:rPr>
        <w:t>Pantelei</w:t>
      </w:r>
      <w:proofErr w:type="spellEnd"/>
      <w:r w:rsidRPr="009E4B7F">
        <w:rPr>
          <w:rFonts w:asciiTheme="majorHAnsi" w:eastAsia="Times New Roman" w:hAnsiTheme="majorHAnsi" w:cs="Times New Roman"/>
          <w:sz w:val="24"/>
          <w:szCs w:val="24"/>
          <w:lang w:val="ro-MD"/>
        </w:rPr>
        <w:t xml:space="preserve"> – din anul 2012 (7,7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/378.8 mii euro), SRL „</w:t>
      </w:r>
      <w:proofErr w:type="spellStart"/>
      <w:r w:rsidRPr="009E4B7F">
        <w:rPr>
          <w:rFonts w:asciiTheme="majorHAnsi" w:eastAsia="Times New Roman" w:hAnsiTheme="majorHAnsi" w:cs="Times New Roman"/>
          <w:sz w:val="24"/>
          <w:szCs w:val="24"/>
          <w:lang w:val="ro-MD"/>
        </w:rPr>
        <w:t>Drabant</w:t>
      </w:r>
      <w:proofErr w:type="spellEnd"/>
      <w:r w:rsidRPr="009E4B7F">
        <w:rPr>
          <w:rFonts w:asciiTheme="majorHAnsi" w:eastAsia="Times New Roman" w:hAnsiTheme="majorHAnsi" w:cs="Times New Roman"/>
          <w:sz w:val="24"/>
          <w:szCs w:val="24"/>
          <w:lang w:val="ro-MD"/>
        </w:rPr>
        <w:t>” – din anul 2013 (0,013 mil.</w:t>
      </w:r>
      <w:r>
        <w:rPr>
          <w:rFonts w:asciiTheme="majorHAnsi" w:eastAsia="Times New Roman" w:hAnsiTheme="majorHAnsi" w:cs="Times New Roman"/>
          <w:sz w:val="24"/>
          <w:szCs w:val="24"/>
          <w:lang w:val="ro-MD"/>
        </w:rPr>
        <w:t xml:space="preserve"> </w:t>
      </w:r>
      <w:r w:rsidR="007160B9">
        <w:rPr>
          <w:rFonts w:asciiTheme="majorHAnsi" w:eastAsia="Times New Roman" w:hAnsiTheme="majorHAnsi" w:cs="Times New Roman"/>
          <w:sz w:val="24"/>
          <w:szCs w:val="24"/>
          <w:lang w:val="ro-MD"/>
        </w:rPr>
        <w:t>MDL</w:t>
      </w:r>
      <w:r w:rsidRPr="009E4B7F">
        <w:rPr>
          <w:rFonts w:asciiTheme="majorHAnsi" w:eastAsia="Times New Roman" w:hAnsiTheme="majorHAnsi" w:cs="Times New Roman"/>
          <w:sz w:val="24"/>
          <w:szCs w:val="24"/>
          <w:lang w:val="ro-MD"/>
        </w:rPr>
        <w:t>). Examinările auditului relevă că</w:t>
      </w:r>
      <w:r w:rsidR="00157CD4">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pe parcursul anului 2018</w:t>
      </w:r>
      <w:r w:rsidR="00157CD4">
        <w:rPr>
          <w:rFonts w:asciiTheme="majorHAnsi" w:eastAsia="Times New Roman" w:hAnsiTheme="majorHAnsi" w:cs="Times New Roman"/>
          <w:sz w:val="24"/>
          <w:szCs w:val="24"/>
          <w:lang w:val="ro-MD"/>
        </w:rPr>
        <w:t>,</w:t>
      </w:r>
      <w:r w:rsidRPr="009E4B7F">
        <w:rPr>
          <w:rFonts w:asciiTheme="majorHAnsi" w:eastAsia="Times New Roman" w:hAnsiTheme="majorHAnsi" w:cs="Times New Roman"/>
          <w:sz w:val="24"/>
          <w:szCs w:val="24"/>
          <w:lang w:val="ro-MD"/>
        </w:rPr>
        <w:t xml:space="preserve"> în BS nu au fost încasate mijloace pentru achitarea creanțelor menționate.</w:t>
      </w:r>
    </w:p>
    <w:p w:rsidR="00321962" w:rsidRDefault="00321962" w:rsidP="008420F3">
      <w:pPr>
        <w:spacing w:after="0" w:line="276" w:lineRule="auto"/>
        <w:ind w:firstLine="709"/>
        <w:jc w:val="both"/>
        <w:rPr>
          <w:rFonts w:asciiTheme="majorHAnsi" w:eastAsia="Times New Roman" w:hAnsiTheme="majorHAnsi" w:cs="Times New Roman"/>
          <w:sz w:val="24"/>
          <w:szCs w:val="24"/>
          <w:lang w:val="ro-MD"/>
        </w:rPr>
      </w:pPr>
    </w:p>
    <w:p w:rsidR="00321962" w:rsidRPr="005F72DD" w:rsidRDefault="00321962" w:rsidP="008420F3">
      <w:pPr>
        <w:spacing w:after="0" w:line="276" w:lineRule="auto"/>
        <w:ind w:firstLine="709"/>
        <w:jc w:val="both"/>
        <w:rPr>
          <w:rFonts w:asciiTheme="majorHAnsi" w:eastAsia="Times New Roman" w:hAnsiTheme="majorHAnsi" w:cs="Times New Roman"/>
          <w:sz w:val="24"/>
          <w:szCs w:val="24"/>
          <w:lang w:val="ro-MD"/>
        </w:rPr>
      </w:pPr>
    </w:p>
    <w:p w:rsidR="008420F3" w:rsidRDefault="008420F3" w:rsidP="008420F3">
      <w:pPr>
        <w:pStyle w:val="ListParagraph"/>
        <w:tabs>
          <w:tab w:val="left" w:pos="993"/>
        </w:tabs>
        <w:spacing w:after="0" w:line="276" w:lineRule="auto"/>
        <w:ind w:left="0" w:firstLine="709"/>
        <w:jc w:val="both"/>
        <w:rPr>
          <w:rFonts w:asciiTheme="majorHAnsi" w:hAnsiTheme="majorHAnsi" w:cstheme="majorHAnsi"/>
          <w:sz w:val="24"/>
          <w:szCs w:val="24"/>
        </w:rPr>
      </w:pPr>
    </w:p>
    <w:p w:rsidR="008420F3" w:rsidRPr="00FE10A8" w:rsidRDefault="008420F3" w:rsidP="00A251BC">
      <w:pPr>
        <w:pStyle w:val="ListParagraph"/>
        <w:numPr>
          <w:ilvl w:val="0"/>
          <w:numId w:val="1"/>
        </w:numPr>
        <w:tabs>
          <w:tab w:val="left" w:pos="993"/>
        </w:tabs>
        <w:spacing w:after="0" w:line="276" w:lineRule="auto"/>
        <w:jc w:val="center"/>
        <w:outlineLvl w:val="0"/>
        <w:rPr>
          <w:rFonts w:asciiTheme="majorHAnsi" w:hAnsiTheme="majorHAnsi" w:cstheme="majorHAnsi"/>
          <w:b/>
          <w:sz w:val="28"/>
          <w:szCs w:val="28"/>
        </w:rPr>
      </w:pPr>
      <w:bookmarkStart w:id="28" w:name="_Toc10126099"/>
      <w:r w:rsidRPr="000E3406">
        <w:rPr>
          <w:rFonts w:asciiTheme="majorHAnsi" w:hAnsiTheme="majorHAnsi" w:cstheme="majorHAnsi"/>
          <w:b/>
          <w:sz w:val="28"/>
          <w:szCs w:val="28"/>
        </w:rPr>
        <w:lastRenderedPageBreak/>
        <w:t>ALTE INFORMAȚII</w:t>
      </w:r>
      <w:bookmarkEnd w:id="28"/>
    </w:p>
    <w:p w:rsidR="00334D0B" w:rsidRPr="0073162C" w:rsidRDefault="00A251BC" w:rsidP="008420F3">
      <w:pPr>
        <w:spacing w:after="0" w:line="276" w:lineRule="auto"/>
        <w:jc w:val="both"/>
        <w:rPr>
          <w:rFonts w:asciiTheme="majorHAnsi" w:eastAsia="Times New Roman" w:hAnsiTheme="majorHAnsi" w:cs="Times New Roman"/>
          <w:sz w:val="24"/>
          <w:szCs w:val="24"/>
          <w:lang w:val="ro-MD"/>
        </w:rPr>
      </w:pPr>
      <w:r w:rsidRPr="00222F03">
        <w:rPr>
          <w:rFonts w:asciiTheme="majorHAnsi" w:hAnsiTheme="majorHAnsi" w:cs="Times New Roman"/>
          <w:b/>
          <w:sz w:val="24"/>
          <w:szCs w:val="24"/>
          <w:lang w:val="ro-MD"/>
        </w:rPr>
        <w:t>4</w:t>
      </w:r>
      <w:r w:rsidR="008420F3" w:rsidRPr="00222F03">
        <w:rPr>
          <w:rFonts w:asciiTheme="majorHAnsi" w:hAnsiTheme="majorHAnsi" w:cs="Times New Roman"/>
          <w:b/>
          <w:sz w:val="24"/>
          <w:szCs w:val="24"/>
          <w:lang w:val="ro-MD"/>
        </w:rPr>
        <w:t>.1.</w:t>
      </w:r>
      <w:r w:rsidR="008420F3">
        <w:rPr>
          <w:rFonts w:asciiTheme="majorHAnsi" w:hAnsiTheme="majorHAnsi" w:cs="Times New Roman"/>
          <w:sz w:val="24"/>
          <w:szCs w:val="24"/>
          <w:lang w:val="ro-MD"/>
        </w:rPr>
        <w:t xml:space="preserve"> Ce</w:t>
      </w:r>
      <w:r w:rsidR="008420F3" w:rsidRPr="001C4EFD">
        <w:rPr>
          <w:rFonts w:asciiTheme="majorHAnsi" w:hAnsiTheme="majorHAnsi" w:cs="Times New Roman"/>
          <w:sz w:val="24"/>
          <w:szCs w:val="24"/>
          <w:lang w:val="ro-MD"/>
        </w:rPr>
        <w:t>rințele</w:t>
      </w:r>
      <w:r w:rsidR="008420F3" w:rsidRPr="001C4EFD">
        <w:rPr>
          <w:rFonts w:asciiTheme="majorHAnsi" w:eastAsia="Times New Roman" w:hAnsiTheme="majorHAnsi" w:cs="Times New Roman"/>
          <w:sz w:val="24"/>
          <w:szCs w:val="24"/>
          <w:lang w:val="ro-MD"/>
        </w:rPr>
        <w:t xml:space="preserve"> și recomandările anterioare ale Curții de Conturi au fost </w:t>
      </w:r>
      <w:r w:rsidR="008420F3">
        <w:rPr>
          <w:rFonts w:asciiTheme="majorHAnsi" w:eastAsia="Times New Roman" w:hAnsiTheme="majorHAnsi" w:cs="Times New Roman"/>
          <w:sz w:val="24"/>
          <w:szCs w:val="24"/>
          <w:lang w:val="ro-MD"/>
        </w:rPr>
        <w:t xml:space="preserve">executate și </w:t>
      </w:r>
      <w:r w:rsidR="008420F3" w:rsidRPr="001C4EFD">
        <w:rPr>
          <w:rFonts w:asciiTheme="majorHAnsi" w:eastAsia="Times New Roman" w:hAnsiTheme="majorHAnsi" w:cs="Times New Roman"/>
          <w:sz w:val="24"/>
          <w:szCs w:val="24"/>
          <w:lang w:val="ro-MD"/>
        </w:rPr>
        <w:t>implementate</w:t>
      </w:r>
      <w:r w:rsidR="008420F3">
        <w:rPr>
          <w:rFonts w:asciiTheme="majorHAnsi" w:eastAsia="Times New Roman" w:hAnsiTheme="majorHAnsi" w:cs="Times New Roman"/>
          <w:sz w:val="24"/>
          <w:szCs w:val="24"/>
          <w:lang w:val="ro-MD"/>
        </w:rPr>
        <w:t xml:space="preserve"> în majoritate, dar nu integral, urmând a fi luate măsuri </w:t>
      </w:r>
      <w:r w:rsidR="006135EF">
        <w:rPr>
          <w:rFonts w:asciiTheme="majorHAnsi" w:eastAsia="Times New Roman" w:hAnsiTheme="majorHAnsi" w:cs="Times New Roman"/>
          <w:sz w:val="24"/>
          <w:szCs w:val="24"/>
          <w:lang w:val="ro-MD"/>
        </w:rPr>
        <w:t xml:space="preserve">suplimentare </w:t>
      </w:r>
      <w:r w:rsidR="008420F3">
        <w:rPr>
          <w:rFonts w:asciiTheme="majorHAnsi" w:eastAsia="Times New Roman" w:hAnsiTheme="majorHAnsi" w:cs="Times New Roman"/>
          <w:sz w:val="24"/>
          <w:szCs w:val="24"/>
          <w:lang w:val="ro-MD"/>
        </w:rPr>
        <w:t>de implementare.</w:t>
      </w:r>
      <w:r w:rsidR="00334D0B">
        <w:rPr>
          <w:rFonts w:asciiTheme="majorHAnsi" w:eastAsia="Times New Roman" w:hAnsiTheme="majorHAnsi" w:cs="Times New Roman"/>
          <w:sz w:val="24"/>
          <w:szCs w:val="24"/>
          <w:lang w:val="ro-MD"/>
        </w:rPr>
        <w:t xml:space="preserve"> </w:t>
      </w:r>
      <w:r w:rsidR="0073162C">
        <w:rPr>
          <w:rFonts w:asciiTheme="majorHAnsi" w:eastAsia="Times New Roman" w:hAnsiTheme="majorHAnsi" w:cs="Times New Roman"/>
          <w:sz w:val="24"/>
          <w:szCs w:val="24"/>
          <w:lang w:val="ro-MD"/>
        </w:rPr>
        <w:t>Astfel, din 3 cerințe</w:t>
      </w:r>
      <w:r w:rsidR="000A0A3E">
        <w:rPr>
          <w:rFonts w:asciiTheme="majorHAnsi" w:eastAsia="Times New Roman" w:hAnsiTheme="majorHAnsi" w:cs="Times New Roman"/>
          <w:sz w:val="24"/>
          <w:szCs w:val="24"/>
          <w:lang w:val="ro-MD"/>
        </w:rPr>
        <w:t>,</w:t>
      </w:r>
      <w:r w:rsidR="0073162C">
        <w:rPr>
          <w:rFonts w:asciiTheme="majorHAnsi" w:eastAsia="Times New Roman" w:hAnsiTheme="majorHAnsi" w:cs="Times New Roman"/>
          <w:sz w:val="24"/>
          <w:szCs w:val="24"/>
          <w:lang w:val="ro-MD"/>
        </w:rPr>
        <w:t xml:space="preserve"> au fost executate 2</w:t>
      </w:r>
      <w:r w:rsidR="006135EF">
        <w:rPr>
          <w:rFonts w:asciiTheme="majorHAnsi" w:eastAsia="Times New Roman" w:hAnsiTheme="majorHAnsi" w:cs="Times New Roman"/>
          <w:sz w:val="24"/>
          <w:szCs w:val="24"/>
          <w:lang w:val="ro-MD"/>
        </w:rPr>
        <w:t>,</w:t>
      </w:r>
      <w:r w:rsidR="0073162C">
        <w:rPr>
          <w:rFonts w:asciiTheme="majorHAnsi" w:eastAsia="Times New Roman" w:hAnsiTheme="majorHAnsi" w:cs="Times New Roman"/>
          <w:sz w:val="24"/>
          <w:szCs w:val="24"/>
          <w:lang w:val="ro-MD"/>
        </w:rPr>
        <w:t xml:space="preserve"> iar una nu a fost executată. Totodată, din 6 recomandări</w:t>
      </w:r>
      <w:r w:rsidR="000A0A3E">
        <w:rPr>
          <w:rFonts w:asciiTheme="majorHAnsi" w:eastAsia="Times New Roman" w:hAnsiTheme="majorHAnsi" w:cs="Times New Roman"/>
          <w:sz w:val="24"/>
          <w:szCs w:val="24"/>
          <w:lang w:val="ro-MD"/>
        </w:rPr>
        <w:t>,</w:t>
      </w:r>
      <w:r w:rsidR="0073162C">
        <w:rPr>
          <w:rFonts w:asciiTheme="majorHAnsi" w:eastAsia="Times New Roman" w:hAnsiTheme="majorHAnsi" w:cs="Times New Roman"/>
          <w:sz w:val="24"/>
          <w:szCs w:val="24"/>
          <w:lang w:val="ro-MD"/>
        </w:rPr>
        <w:t xml:space="preserve"> au fost implementate 4</w:t>
      </w:r>
      <w:r w:rsidR="006135EF">
        <w:rPr>
          <w:rFonts w:asciiTheme="majorHAnsi" w:eastAsia="Times New Roman" w:hAnsiTheme="majorHAnsi" w:cs="Times New Roman"/>
          <w:sz w:val="24"/>
          <w:szCs w:val="24"/>
          <w:lang w:val="ro-MD"/>
        </w:rPr>
        <w:t>,</w:t>
      </w:r>
      <w:r w:rsidR="0073162C">
        <w:rPr>
          <w:rFonts w:asciiTheme="majorHAnsi" w:eastAsia="Times New Roman" w:hAnsiTheme="majorHAnsi" w:cs="Times New Roman"/>
          <w:sz w:val="24"/>
          <w:szCs w:val="24"/>
          <w:lang w:val="ro-MD"/>
        </w:rPr>
        <w:t xml:space="preserve"> iar 2 nu au fost implementate. </w:t>
      </w:r>
      <w:r w:rsidR="00334D0B" w:rsidRPr="00334D0B">
        <w:rPr>
          <w:rFonts w:asciiTheme="majorHAnsi" w:hAnsiTheme="majorHAnsi" w:cstheme="majorHAnsi"/>
          <w:i/>
          <w:sz w:val="24"/>
          <w:szCs w:val="24"/>
        </w:rPr>
        <w:t xml:space="preserve">Rezultatele verificărilor efectuate, precum și informațiile prezentate de MF în vederea executării cerințelor și recomandărilor se prezintă în detaliu </w:t>
      </w:r>
      <w:r w:rsidR="00334D0B">
        <w:rPr>
          <w:rFonts w:asciiTheme="majorHAnsi" w:hAnsiTheme="majorHAnsi" w:cstheme="majorHAnsi"/>
          <w:i/>
          <w:sz w:val="24"/>
          <w:szCs w:val="24"/>
        </w:rPr>
        <w:t>în Anexa nr.</w:t>
      </w:r>
      <w:r w:rsidR="00A776C7">
        <w:rPr>
          <w:rFonts w:asciiTheme="majorHAnsi" w:hAnsiTheme="majorHAnsi" w:cstheme="majorHAnsi"/>
          <w:i/>
          <w:sz w:val="24"/>
          <w:szCs w:val="24"/>
        </w:rPr>
        <w:t>12</w:t>
      </w:r>
      <w:r w:rsidR="00334D0B" w:rsidRPr="00334D0B">
        <w:rPr>
          <w:rFonts w:asciiTheme="majorHAnsi" w:hAnsiTheme="majorHAnsi" w:cstheme="majorHAnsi"/>
          <w:i/>
          <w:sz w:val="24"/>
          <w:szCs w:val="24"/>
        </w:rPr>
        <w:t xml:space="preserve"> la prezentul Raport de audit.</w:t>
      </w:r>
    </w:p>
    <w:p w:rsidR="008420F3" w:rsidRDefault="00A251BC" w:rsidP="008420F3">
      <w:pPr>
        <w:spacing w:after="0" w:line="276" w:lineRule="auto"/>
        <w:jc w:val="both"/>
        <w:rPr>
          <w:rFonts w:asciiTheme="majorHAnsi" w:hAnsiTheme="majorHAnsi" w:cs="Times New Roman"/>
          <w:sz w:val="24"/>
          <w:szCs w:val="24"/>
          <w:lang w:val="ro-MD"/>
        </w:rPr>
      </w:pPr>
      <w:r w:rsidRPr="00222F03">
        <w:rPr>
          <w:rFonts w:asciiTheme="majorHAnsi" w:eastAsia="Times New Roman" w:hAnsiTheme="majorHAnsi" w:cs="Times New Roman"/>
          <w:b/>
          <w:sz w:val="24"/>
          <w:szCs w:val="24"/>
          <w:lang w:val="ro-MD"/>
        </w:rPr>
        <w:t>4</w:t>
      </w:r>
      <w:r w:rsidR="008420F3" w:rsidRPr="00222F03">
        <w:rPr>
          <w:rFonts w:asciiTheme="majorHAnsi" w:eastAsia="Times New Roman" w:hAnsiTheme="majorHAnsi" w:cs="Times New Roman"/>
          <w:b/>
          <w:sz w:val="24"/>
          <w:szCs w:val="24"/>
          <w:lang w:val="ro-MD"/>
        </w:rPr>
        <w:t>.2.</w:t>
      </w:r>
      <w:r w:rsidR="008420F3">
        <w:rPr>
          <w:rFonts w:asciiTheme="majorHAnsi" w:eastAsia="Times New Roman" w:hAnsiTheme="majorHAnsi" w:cs="Times New Roman"/>
          <w:sz w:val="24"/>
          <w:szCs w:val="24"/>
          <w:lang w:val="ro-MD"/>
        </w:rPr>
        <w:t xml:space="preserve"> C</w:t>
      </w:r>
      <w:r w:rsidR="008420F3">
        <w:rPr>
          <w:rFonts w:asciiTheme="majorHAnsi" w:hAnsiTheme="majorHAnsi" w:cs="Times New Roman"/>
          <w:sz w:val="24"/>
          <w:szCs w:val="24"/>
          <w:lang w:val="ro-MD"/>
        </w:rPr>
        <w:t xml:space="preserve">ontroalele-cheie </w:t>
      </w:r>
      <w:r w:rsidR="008420F3" w:rsidRPr="004F5165">
        <w:rPr>
          <w:rFonts w:asciiTheme="majorHAnsi" w:hAnsiTheme="majorHAnsi" w:cs="Times New Roman"/>
          <w:sz w:val="24"/>
          <w:szCs w:val="24"/>
          <w:lang w:val="ro-MD"/>
        </w:rPr>
        <w:t xml:space="preserve">aferente principalelor procese financiare sunt funcționale, </w:t>
      </w:r>
      <w:r w:rsidR="008420F3">
        <w:rPr>
          <w:rFonts w:asciiTheme="majorHAnsi" w:hAnsiTheme="majorHAnsi" w:cs="Times New Roman"/>
          <w:sz w:val="24"/>
          <w:szCs w:val="24"/>
          <w:lang w:val="ro-MD"/>
        </w:rPr>
        <w:t xml:space="preserve">deși </w:t>
      </w:r>
      <w:r w:rsidR="008420F3" w:rsidRPr="004F5165">
        <w:rPr>
          <w:rFonts w:asciiTheme="majorHAnsi" w:hAnsiTheme="majorHAnsi" w:cs="Times New Roman"/>
          <w:sz w:val="24"/>
          <w:szCs w:val="24"/>
          <w:lang w:val="ro-MD"/>
        </w:rPr>
        <w:t>în</w:t>
      </w:r>
      <w:r w:rsidR="008420F3">
        <w:rPr>
          <w:rFonts w:asciiTheme="majorHAnsi" w:hAnsiTheme="majorHAnsi" w:cs="Times New Roman"/>
          <w:sz w:val="24"/>
          <w:szCs w:val="24"/>
          <w:lang w:val="ro-MD"/>
        </w:rPr>
        <w:t xml:space="preserve"> unele cazuri</w:t>
      </w:r>
      <w:r w:rsidR="008420F3" w:rsidRPr="004F5165">
        <w:rPr>
          <w:rFonts w:asciiTheme="majorHAnsi" w:hAnsiTheme="majorHAnsi" w:cs="Times New Roman"/>
          <w:sz w:val="24"/>
          <w:szCs w:val="24"/>
          <w:lang w:val="ro-MD"/>
        </w:rPr>
        <w:t xml:space="preserve"> nu </w:t>
      </w:r>
      <w:r w:rsidR="008420F3">
        <w:rPr>
          <w:rFonts w:asciiTheme="majorHAnsi" w:hAnsiTheme="majorHAnsi" w:cs="Times New Roman"/>
          <w:sz w:val="24"/>
          <w:szCs w:val="24"/>
          <w:lang w:val="ro-MD"/>
        </w:rPr>
        <w:t>au</w:t>
      </w:r>
      <w:r w:rsidR="008420F3" w:rsidRPr="004F5165">
        <w:rPr>
          <w:rFonts w:asciiTheme="majorHAnsi" w:hAnsiTheme="majorHAnsi" w:cs="Times New Roman"/>
          <w:sz w:val="24"/>
          <w:szCs w:val="24"/>
          <w:lang w:val="ro-MD"/>
        </w:rPr>
        <w:t xml:space="preserve"> atin</w:t>
      </w:r>
      <w:r w:rsidR="008420F3">
        <w:rPr>
          <w:rFonts w:asciiTheme="majorHAnsi" w:hAnsiTheme="majorHAnsi" w:cs="Times New Roman"/>
          <w:sz w:val="24"/>
          <w:szCs w:val="24"/>
          <w:lang w:val="ro-MD"/>
        </w:rPr>
        <w:t>s</w:t>
      </w:r>
      <w:r w:rsidR="008420F3" w:rsidRPr="004F5165">
        <w:rPr>
          <w:rFonts w:asciiTheme="majorHAnsi" w:hAnsiTheme="majorHAnsi" w:cs="Times New Roman"/>
          <w:sz w:val="24"/>
          <w:szCs w:val="24"/>
          <w:lang w:val="ro-MD"/>
        </w:rPr>
        <w:t xml:space="preserve"> pe deplin obiectivele, </w:t>
      </w:r>
      <w:r w:rsidR="008420F3">
        <w:rPr>
          <w:rFonts w:asciiTheme="majorHAnsi" w:hAnsiTheme="majorHAnsi" w:cs="Times New Roman"/>
          <w:sz w:val="24"/>
          <w:szCs w:val="24"/>
          <w:lang w:val="ro-MD"/>
        </w:rPr>
        <w:t>fiind admise unele observații</w:t>
      </w:r>
      <w:r w:rsidR="008420F3" w:rsidRPr="004F5165">
        <w:rPr>
          <w:rFonts w:asciiTheme="majorHAnsi" w:hAnsiTheme="majorHAnsi" w:cs="Times New Roman"/>
          <w:sz w:val="24"/>
          <w:szCs w:val="24"/>
          <w:lang w:val="ro-MD"/>
        </w:rPr>
        <w:t xml:space="preserve"> de audit </w:t>
      </w:r>
      <w:r w:rsidR="008420F3">
        <w:rPr>
          <w:rFonts w:asciiTheme="majorHAnsi" w:hAnsiTheme="majorHAnsi" w:cs="Times New Roman"/>
          <w:sz w:val="24"/>
          <w:szCs w:val="24"/>
          <w:lang w:val="ro-MD"/>
        </w:rPr>
        <w:t>specificate</w:t>
      </w:r>
      <w:r w:rsidR="00793C62">
        <w:rPr>
          <w:rFonts w:asciiTheme="majorHAnsi" w:hAnsiTheme="majorHAnsi" w:cs="Times New Roman"/>
          <w:sz w:val="24"/>
          <w:szCs w:val="24"/>
          <w:lang w:val="ro-MD"/>
        </w:rPr>
        <w:t xml:space="preserve"> </w:t>
      </w:r>
      <w:r w:rsidR="008420F3" w:rsidRPr="00E136A9">
        <w:rPr>
          <w:rFonts w:asciiTheme="majorHAnsi" w:hAnsiTheme="majorHAnsi" w:cs="Times New Roman"/>
          <w:i/>
          <w:sz w:val="24"/>
          <w:szCs w:val="24"/>
          <w:lang w:val="ro-MD"/>
        </w:rPr>
        <w:t>la compartimentul IV. Aspecte</w:t>
      </w:r>
      <w:r w:rsidR="000A0A3E">
        <w:rPr>
          <w:rFonts w:asciiTheme="majorHAnsi" w:hAnsiTheme="majorHAnsi" w:cs="Times New Roman"/>
          <w:i/>
          <w:sz w:val="24"/>
          <w:szCs w:val="24"/>
          <w:lang w:val="ro-MD"/>
        </w:rPr>
        <w:t>le</w:t>
      </w:r>
      <w:r w:rsidR="006135EF">
        <w:rPr>
          <w:rFonts w:asciiTheme="majorHAnsi" w:hAnsiTheme="majorHAnsi" w:cs="Times New Roman"/>
          <w:i/>
          <w:sz w:val="24"/>
          <w:szCs w:val="24"/>
          <w:lang w:val="ro-MD"/>
        </w:rPr>
        <w:t>-</w:t>
      </w:r>
      <w:r w:rsidR="008420F3" w:rsidRPr="00E136A9">
        <w:rPr>
          <w:rFonts w:asciiTheme="majorHAnsi" w:hAnsiTheme="majorHAnsi" w:cs="Times New Roman"/>
          <w:i/>
          <w:sz w:val="24"/>
          <w:szCs w:val="24"/>
          <w:lang w:val="ro-MD"/>
        </w:rPr>
        <w:t>cheie de audit</w:t>
      </w:r>
      <w:r w:rsidR="008420F3">
        <w:rPr>
          <w:rFonts w:asciiTheme="majorHAnsi" w:hAnsiTheme="majorHAnsi" w:cs="Times New Roman"/>
          <w:sz w:val="24"/>
          <w:szCs w:val="24"/>
          <w:lang w:val="ro-MD"/>
        </w:rPr>
        <w:t>.</w:t>
      </w:r>
    </w:p>
    <w:p w:rsidR="008420F3" w:rsidRDefault="00A251BC" w:rsidP="008420F3">
      <w:pPr>
        <w:spacing w:after="0" w:line="276" w:lineRule="auto"/>
        <w:jc w:val="both"/>
        <w:rPr>
          <w:rFonts w:asciiTheme="majorHAnsi" w:hAnsiTheme="majorHAnsi" w:cstheme="majorHAnsi"/>
          <w:sz w:val="24"/>
          <w:szCs w:val="24"/>
          <w:lang w:val="ro-MD"/>
        </w:rPr>
      </w:pPr>
      <w:r w:rsidRPr="00222F03">
        <w:rPr>
          <w:rFonts w:asciiTheme="majorHAnsi" w:hAnsiTheme="majorHAnsi" w:cs="Times New Roman"/>
          <w:b/>
          <w:sz w:val="24"/>
          <w:szCs w:val="24"/>
          <w:lang w:val="ro-MD"/>
        </w:rPr>
        <w:t>4</w:t>
      </w:r>
      <w:r w:rsidR="008420F3" w:rsidRPr="00222F03">
        <w:rPr>
          <w:rFonts w:asciiTheme="majorHAnsi" w:hAnsiTheme="majorHAnsi" w:cs="Times New Roman"/>
          <w:b/>
          <w:sz w:val="24"/>
          <w:szCs w:val="24"/>
          <w:lang w:val="ro-MD"/>
        </w:rPr>
        <w:t>.3</w:t>
      </w:r>
      <w:r w:rsidR="000A0A3E">
        <w:rPr>
          <w:rFonts w:asciiTheme="majorHAnsi" w:hAnsiTheme="majorHAnsi" w:cs="Times New Roman"/>
          <w:b/>
          <w:sz w:val="24"/>
          <w:szCs w:val="24"/>
          <w:lang w:val="ro-MD"/>
        </w:rPr>
        <w:t>.</w:t>
      </w:r>
      <w:r w:rsidR="008420F3">
        <w:rPr>
          <w:rFonts w:asciiTheme="majorHAnsi" w:hAnsiTheme="majorHAnsi" w:cs="Times New Roman"/>
          <w:sz w:val="24"/>
          <w:szCs w:val="24"/>
          <w:lang w:val="ro-MD"/>
        </w:rPr>
        <w:t xml:space="preserve"> </w:t>
      </w:r>
      <w:r w:rsidR="008420F3" w:rsidRPr="00174BC7">
        <w:rPr>
          <w:rFonts w:asciiTheme="majorHAnsi" w:hAnsiTheme="majorHAnsi" w:cstheme="majorHAnsi"/>
          <w:sz w:val="24"/>
          <w:szCs w:val="24"/>
          <w:lang w:val="ro-MD"/>
        </w:rPr>
        <w:t>În anul 2018,</w:t>
      </w:r>
      <w:r w:rsidR="008420F3" w:rsidRPr="00174BC7">
        <w:rPr>
          <w:rFonts w:asciiTheme="majorHAnsi" w:hAnsiTheme="majorHAnsi" w:cstheme="majorHAnsi"/>
          <w:b/>
          <w:sz w:val="24"/>
          <w:szCs w:val="24"/>
          <w:lang w:val="ro-MD"/>
        </w:rPr>
        <w:t xml:space="preserve"> </w:t>
      </w:r>
      <w:r w:rsidR="008420F3">
        <w:rPr>
          <w:rFonts w:asciiTheme="majorHAnsi" w:hAnsiTheme="majorHAnsi" w:cstheme="majorHAnsi"/>
          <w:sz w:val="24"/>
          <w:szCs w:val="24"/>
          <w:lang w:val="ro-MD"/>
        </w:rPr>
        <w:t>MF</w:t>
      </w:r>
      <w:r w:rsidR="008420F3" w:rsidRPr="00174BC7">
        <w:rPr>
          <w:rFonts w:asciiTheme="majorHAnsi" w:hAnsiTheme="majorHAnsi" w:cstheme="majorHAnsi"/>
          <w:sz w:val="24"/>
          <w:szCs w:val="24"/>
          <w:lang w:val="ro-MD"/>
        </w:rPr>
        <w:t xml:space="preserve"> a achiziționat servicii informatice de administrare, menținere, dezvoltare și asigurare a funcționării sistemului informațional de gestionare a finanțelor publice de la IP </w:t>
      </w:r>
      <w:r w:rsidR="006135EF">
        <w:rPr>
          <w:rFonts w:asciiTheme="majorHAnsi" w:hAnsiTheme="majorHAnsi" w:cstheme="majorHAnsi"/>
          <w:sz w:val="24"/>
          <w:szCs w:val="24"/>
          <w:lang w:val="ro-MD"/>
        </w:rPr>
        <w:t>„</w:t>
      </w:r>
      <w:r w:rsidR="008420F3" w:rsidRPr="00174BC7">
        <w:rPr>
          <w:rFonts w:asciiTheme="majorHAnsi" w:hAnsiTheme="majorHAnsi" w:cstheme="majorHAnsi"/>
          <w:sz w:val="24"/>
          <w:szCs w:val="24"/>
          <w:lang w:val="ro-MD"/>
        </w:rPr>
        <w:t>Centrul de Tehnologii Informaționale în Finanțe”</w:t>
      </w:r>
      <w:r w:rsidR="008420F3" w:rsidRPr="00174BC7">
        <w:rPr>
          <w:rStyle w:val="FootnoteReference"/>
          <w:rFonts w:asciiTheme="majorHAnsi" w:hAnsiTheme="majorHAnsi" w:cstheme="majorHAnsi"/>
          <w:sz w:val="24"/>
          <w:szCs w:val="24"/>
          <w:lang w:val="ro-MD"/>
        </w:rPr>
        <w:footnoteReference w:id="57"/>
      </w:r>
      <w:r w:rsidR="006135EF">
        <w:rPr>
          <w:rFonts w:asciiTheme="majorHAnsi" w:hAnsiTheme="majorHAnsi" w:cstheme="majorHAnsi"/>
          <w:sz w:val="24"/>
          <w:szCs w:val="24"/>
          <w:lang w:val="ro-MD"/>
        </w:rPr>
        <w:t>,</w:t>
      </w:r>
      <w:r w:rsidR="008420F3" w:rsidRPr="00174BC7">
        <w:rPr>
          <w:rFonts w:asciiTheme="majorHAnsi" w:hAnsiTheme="majorHAnsi" w:cstheme="majorHAnsi"/>
          <w:sz w:val="24"/>
          <w:szCs w:val="24"/>
          <w:lang w:val="ro-MD"/>
        </w:rPr>
        <w:t xml:space="preserve"> în sumă de 14,6 mil. </w:t>
      </w:r>
      <w:r w:rsidR="007160B9">
        <w:rPr>
          <w:rFonts w:asciiTheme="majorHAnsi" w:hAnsiTheme="majorHAnsi" w:cstheme="majorHAnsi"/>
          <w:sz w:val="24"/>
          <w:szCs w:val="24"/>
          <w:lang w:val="ro-MD"/>
        </w:rPr>
        <w:t>MDL</w:t>
      </w:r>
      <w:r w:rsidR="008420F3" w:rsidRPr="00174BC7">
        <w:rPr>
          <w:rFonts w:asciiTheme="majorHAnsi" w:hAnsiTheme="majorHAnsi" w:cstheme="majorHAnsi"/>
          <w:sz w:val="24"/>
          <w:szCs w:val="24"/>
          <w:lang w:val="ro-MD"/>
        </w:rPr>
        <w:t>, inclusiv TVA</w:t>
      </w:r>
      <w:r w:rsidR="008420F3">
        <w:rPr>
          <w:rFonts w:asciiTheme="majorHAnsi" w:hAnsiTheme="majorHAnsi" w:cstheme="majorHAnsi"/>
          <w:sz w:val="24"/>
          <w:szCs w:val="24"/>
          <w:lang w:val="ro-MD"/>
        </w:rPr>
        <w:t xml:space="preserve">, cu 1,9 mil. </w:t>
      </w:r>
      <w:r w:rsidR="007160B9">
        <w:rPr>
          <w:rFonts w:asciiTheme="majorHAnsi" w:hAnsiTheme="majorHAnsi" w:cstheme="majorHAnsi"/>
          <w:sz w:val="24"/>
          <w:szCs w:val="24"/>
          <w:lang w:val="ro-MD"/>
        </w:rPr>
        <w:t>MDL</w:t>
      </w:r>
      <w:r w:rsidR="008420F3">
        <w:rPr>
          <w:rFonts w:asciiTheme="majorHAnsi" w:hAnsiTheme="majorHAnsi" w:cstheme="majorHAnsi"/>
          <w:sz w:val="24"/>
          <w:szCs w:val="24"/>
          <w:lang w:val="ro-MD"/>
        </w:rPr>
        <w:t xml:space="preserve"> mai mult decât în anul precedent. </w:t>
      </w:r>
      <w:r w:rsidR="008420F3" w:rsidRPr="00174BC7">
        <w:rPr>
          <w:rFonts w:asciiTheme="majorHAnsi" w:hAnsiTheme="majorHAnsi" w:cstheme="majorHAnsi"/>
          <w:sz w:val="24"/>
          <w:szCs w:val="24"/>
          <w:lang w:val="ro-MD"/>
        </w:rPr>
        <w:t>MF asigură securitatea informațională prin formarea sistemului de acte normative interne ce cuprinde politici, proceduri, instrucțiuni, regulamente etc.</w:t>
      </w:r>
    </w:p>
    <w:p w:rsidR="008420F3" w:rsidRDefault="008420F3" w:rsidP="008420F3">
      <w:pPr>
        <w:spacing w:after="0" w:line="276" w:lineRule="auto"/>
        <w:jc w:val="both"/>
        <w:rPr>
          <w:rFonts w:asciiTheme="majorHAnsi" w:hAnsiTheme="majorHAnsi" w:cstheme="majorHAnsi"/>
          <w:i/>
          <w:sz w:val="24"/>
          <w:szCs w:val="24"/>
          <w:lang w:val="ro-MD"/>
        </w:rPr>
      </w:pPr>
      <w:r w:rsidRPr="004E1738">
        <w:rPr>
          <w:rFonts w:asciiTheme="majorHAnsi" w:hAnsiTheme="majorHAnsi" w:cstheme="majorHAnsi"/>
          <w:sz w:val="24"/>
          <w:szCs w:val="24"/>
          <w:lang w:val="ro-MD"/>
        </w:rPr>
        <w:t>Auditul</w:t>
      </w:r>
      <w:r w:rsidR="006135EF">
        <w:rPr>
          <w:rFonts w:asciiTheme="majorHAnsi" w:hAnsiTheme="majorHAnsi" w:cstheme="majorHAnsi"/>
          <w:sz w:val="24"/>
          <w:szCs w:val="24"/>
          <w:lang w:val="ro-MD"/>
        </w:rPr>
        <w:t>,</w:t>
      </w:r>
      <w:r w:rsidRPr="004E1738">
        <w:rPr>
          <w:rFonts w:asciiTheme="majorHAnsi" w:hAnsiTheme="majorHAnsi" w:cstheme="majorHAnsi"/>
          <w:sz w:val="24"/>
          <w:szCs w:val="24"/>
          <w:lang w:val="ro-MD"/>
        </w:rPr>
        <w:t xml:space="preserve"> urmare </w:t>
      </w:r>
      <w:r w:rsidR="006135EF">
        <w:rPr>
          <w:rFonts w:asciiTheme="majorHAnsi" w:hAnsiTheme="majorHAnsi" w:cstheme="majorHAnsi"/>
          <w:sz w:val="24"/>
          <w:szCs w:val="24"/>
          <w:lang w:val="ro-MD"/>
        </w:rPr>
        <w:t xml:space="preserve">a </w:t>
      </w:r>
      <w:r w:rsidRPr="004E1738">
        <w:rPr>
          <w:rFonts w:asciiTheme="majorHAnsi" w:hAnsiTheme="majorHAnsi" w:cstheme="majorHAnsi"/>
          <w:sz w:val="24"/>
          <w:szCs w:val="24"/>
          <w:lang w:val="ro-MD"/>
        </w:rPr>
        <w:t xml:space="preserve">analizei și testării controalelor TI, a constatat că TI ale entității auditate asigură integritatea, confidențialitatea și disponibilitatea informațiilor/rapoartelor utilizate la consolidarea </w:t>
      </w:r>
      <w:r w:rsidRPr="004E1738">
        <w:rPr>
          <w:rFonts w:asciiTheme="majorHAnsi" w:hAnsiTheme="majorHAnsi" w:cstheme="majorHAnsi"/>
          <w:i/>
          <w:sz w:val="24"/>
          <w:szCs w:val="24"/>
          <w:lang w:val="ro-MD"/>
        </w:rPr>
        <w:t>Raportului Guvernului privind executarea</w:t>
      </w:r>
      <w:r w:rsidR="00793C62">
        <w:rPr>
          <w:rFonts w:asciiTheme="majorHAnsi" w:hAnsiTheme="majorHAnsi" w:cstheme="majorHAnsi"/>
          <w:i/>
          <w:sz w:val="24"/>
          <w:szCs w:val="24"/>
          <w:lang w:val="ro-MD"/>
        </w:rPr>
        <w:t xml:space="preserve"> </w:t>
      </w:r>
      <w:r w:rsidRPr="004E1738">
        <w:rPr>
          <w:rFonts w:asciiTheme="majorHAnsi" w:hAnsiTheme="majorHAnsi" w:cstheme="majorHAnsi"/>
          <w:i/>
          <w:sz w:val="24"/>
          <w:szCs w:val="24"/>
          <w:lang w:val="ro-MD"/>
        </w:rPr>
        <w:t>bugetului de stat</w:t>
      </w:r>
      <w:r>
        <w:rPr>
          <w:rFonts w:asciiTheme="majorHAnsi" w:hAnsiTheme="majorHAnsi" w:cstheme="majorHAnsi"/>
          <w:i/>
          <w:sz w:val="24"/>
          <w:szCs w:val="24"/>
          <w:lang w:val="ro-MD"/>
        </w:rPr>
        <w:t>.</w:t>
      </w:r>
    </w:p>
    <w:p w:rsidR="008420F3" w:rsidRPr="004E1738" w:rsidRDefault="008420F3" w:rsidP="008420F3">
      <w:pPr>
        <w:spacing w:after="0" w:line="276" w:lineRule="auto"/>
        <w:jc w:val="both"/>
        <w:rPr>
          <w:rFonts w:asciiTheme="majorHAnsi" w:hAnsiTheme="majorHAnsi" w:cstheme="majorHAnsi"/>
          <w:sz w:val="24"/>
          <w:szCs w:val="24"/>
          <w:lang w:val="ro-MD"/>
        </w:rPr>
      </w:pPr>
      <w:r w:rsidRPr="004E1738">
        <w:rPr>
          <w:rFonts w:asciiTheme="majorHAnsi" w:hAnsiTheme="majorHAnsi" w:cstheme="majorHAnsi"/>
          <w:sz w:val="24"/>
          <w:szCs w:val="24"/>
        </w:rPr>
        <w:t>Auditul a stabilit că MF deține o Politică de securitate a informației, aprobată prin Ordinul MF</w:t>
      </w:r>
      <w:r w:rsidR="00793C62">
        <w:rPr>
          <w:rFonts w:asciiTheme="majorHAnsi" w:hAnsiTheme="majorHAnsi" w:cstheme="majorHAnsi"/>
          <w:sz w:val="24"/>
          <w:szCs w:val="24"/>
        </w:rPr>
        <w:t xml:space="preserve"> </w:t>
      </w:r>
      <w:r w:rsidRPr="004E1738">
        <w:rPr>
          <w:rFonts w:asciiTheme="majorHAnsi" w:hAnsiTheme="majorHAnsi" w:cstheme="majorHAnsi"/>
          <w:sz w:val="24"/>
          <w:szCs w:val="24"/>
        </w:rPr>
        <w:t xml:space="preserve">nr.147 din 21 noiembrie 2016. Potrivit prevederilor Politicii de securitate, MF urma să </w:t>
      </w:r>
      <w:r w:rsidRPr="004E1738">
        <w:rPr>
          <w:rFonts w:asciiTheme="majorHAnsi" w:hAnsiTheme="majorHAnsi" w:cstheme="majorHAnsi"/>
          <w:sz w:val="24"/>
          <w:szCs w:val="24"/>
          <w:lang w:val="ro-MD"/>
        </w:rPr>
        <w:t>elaboreze și să aprobe mai multe norme de securitate informațională</w:t>
      </w:r>
      <w:r>
        <w:rPr>
          <w:rFonts w:asciiTheme="majorHAnsi" w:hAnsiTheme="majorHAnsi" w:cstheme="majorHAnsi"/>
          <w:sz w:val="24"/>
          <w:szCs w:val="24"/>
          <w:lang w:val="ro-MD"/>
        </w:rPr>
        <w:t>:</w:t>
      </w:r>
      <w:r w:rsidRPr="004E1738">
        <w:rPr>
          <w:rFonts w:ascii="Times New Roman" w:hAnsi="Times New Roman" w:cs="Times New Roman"/>
          <w:sz w:val="28"/>
          <w:szCs w:val="28"/>
          <w:lang w:val="ro-MD"/>
        </w:rPr>
        <w:t xml:space="preserve"> </w:t>
      </w:r>
      <w:r w:rsidRPr="004E1738">
        <w:rPr>
          <w:rFonts w:asciiTheme="majorHAnsi" w:hAnsiTheme="majorHAnsi" w:cstheme="majorHAnsi"/>
          <w:sz w:val="24"/>
          <w:szCs w:val="24"/>
          <w:lang w:val="ro-MD"/>
        </w:rPr>
        <w:t>Registrul riscurilor de securitate aferente sistemului informațional al MF</w:t>
      </w:r>
      <w:r>
        <w:rPr>
          <w:rFonts w:asciiTheme="majorHAnsi" w:hAnsiTheme="majorHAnsi" w:cstheme="majorHAnsi"/>
          <w:sz w:val="24"/>
          <w:szCs w:val="24"/>
          <w:lang w:val="ro-MD"/>
        </w:rPr>
        <w:t xml:space="preserve">, </w:t>
      </w:r>
      <w:r w:rsidRPr="004E1738">
        <w:rPr>
          <w:rFonts w:asciiTheme="majorHAnsi" w:hAnsiTheme="majorHAnsi" w:cstheme="majorHAnsi"/>
          <w:sz w:val="24"/>
          <w:szCs w:val="24"/>
          <w:lang w:val="ro-MD"/>
        </w:rPr>
        <w:t>Modul de păstrare a copiilor de rezervă ale resurselor informaționale și de program, a cheilor criptografice</w:t>
      </w:r>
      <w:r>
        <w:rPr>
          <w:rFonts w:asciiTheme="majorHAnsi" w:hAnsiTheme="majorHAnsi" w:cstheme="majorHAnsi"/>
          <w:sz w:val="24"/>
          <w:szCs w:val="24"/>
          <w:lang w:val="ro-MD"/>
        </w:rPr>
        <w:t xml:space="preserve">, </w:t>
      </w:r>
      <w:r w:rsidRPr="004E1738">
        <w:rPr>
          <w:rFonts w:asciiTheme="majorHAnsi" w:hAnsiTheme="majorHAnsi" w:cstheme="majorHAnsi"/>
          <w:sz w:val="24"/>
          <w:szCs w:val="24"/>
          <w:lang w:val="ro-MD"/>
        </w:rPr>
        <w:t xml:space="preserve">Modelul sistemului securității informaționale și principalele măsuri </w:t>
      </w:r>
      <w:proofErr w:type="spellStart"/>
      <w:r w:rsidRPr="004E1738">
        <w:rPr>
          <w:rFonts w:asciiTheme="majorHAnsi" w:hAnsiTheme="majorHAnsi" w:cstheme="majorHAnsi"/>
          <w:sz w:val="24"/>
          <w:szCs w:val="24"/>
          <w:lang w:val="ro-MD"/>
        </w:rPr>
        <w:t>tehnico</w:t>
      </w:r>
      <w:proofErr w:type="spellEnd"/>
      <w:r w:rsidRPr="004E1738">
        <w:rPr>
          <w:rFonts w:asciiTheme="majorHAnsi" w:hAnsiTheme="majorHAnsi" w:cstheme="majorHAnsi"/>
          <w:sz w:val="24"/>
          <w:szCs w:val="24"/>
          <w:lang w:val="ro-MD"/>
        </w:rPr>
        <w:t>-organizatorice necesare de asigurare a funcționării acestuia</w:t>
      </w:r>
      <w:r>
        <w:rPr>
          <w:rFonts w:asciiTheme="majorHAnsi" w:hAnsiTheme="majorHAnsi" w:cstheme="majorHAnsi"/>
          <w:sz w:val="24"/>
          <w:szCs w:val="24"/>
          <w:lang w:val="ro-MD"/>
        </w:rPr>
        <w:t xml:space="preserve"> etc. U</w:t>
      </w:r>
      <w:r w:rsidRPr="004E1738">
        <w:rPr>
          <w:rFonts w:asciiTheme="majorHAnsi" w:hAnsiTheme="majorHAnsi" w:cstheme="majorHAnsi"/>
          <w:sz w:val="24"/>
          <w:szCs w:val="24"/>
          <w:lang w:val="ro-MD"/>
        </w:rPr>
        <w:t xml:space="preserve">rmare </w:t>
      </w:r>
      <w:r w:rsidR="006135EF">
        <w:rPr>
          <w:rFonts w:asciiTheme="majorHAnsi" w:hAnsiTheme="majorHAnsi" w:cstheme="majorHAnsi"/>
          <w:sz w:val="24"/>
          <w:szCs w:val="24"/>
          <w:lang w:val="ro-MD"/>
        </w:rPr>
        <w:t xml:space="preserve">a </w:t>
      </w:r>
      <w:r w:rsidRPr="004E1738">
        <w:rPr>
          <w:rFonts w:asciiTheme="majorHAnsi" w:hAnsiTheme="majorHAnsi" w:cstheme="majorHAnsi"/>
          <w:sz w:val="24"/>
          <w:szCs w:val="24"/>
          <w:lang w:val="ro-MD"/>
        </w:rPr>
        <w:t xml:space="preserve">verificărilor </w:t>
      </w:r>
      <w:r w:rsidR="006135EF">
        <w:rPr>
          <w:rFonts w:asciiTheme="majorHAnsi" w:hAnsiTheme="majorHAnsi" w:cstheme="majorHAnsi"/>
          <w:sz w:val="24"/>
          <w:szCs w:val="24"/>
          <w:lang w:val="ro-MD"/>
        </w:rPr>
        <w:t xml:space="preserve">efectuate de </w:t>
      </w:r>
      <w:r w:rsidRPr="004E1738">
        <w:rPr>
          <w:rFonts w:asciiTheme="majorHAnsi" w:hAnsiTheme="majorHAnsi" w:cstheme="majorHAnsi"/>
          <w:sz w:val="24"/>
          <w:szCs w:val="24"/>
          <w:lang w:val="ro-MD"/>
        </w:rPr>
        <w:t>audit</w:t>
      </w:r>
      <w:r w:rsidR="006135EF">
        <w:rPr>
          <w:rFonts w:asciiTheme="majorHAnsi" w:hAnsiTheme="majorHAnsi" w:cstheme="majorHAnsi"/>
          <w:sz w:val="24"/>
          <w:szCs w:val="24"/>
          <w:lang w:val="ro-MD"/>
        </w:rPr>
        <w:t>,</w:t>
      </w:r>
      <w:r w:rsidRPr="004E1738">
        <w:rPr>
          <w:rFonts w:asciiTheme="majorHAnsi" w:hAnsiTheme="majorHAnsi" w:cstheme="majorHAnsi"/>
          <w:sz w:val="24"/>
          <w:szCs w:val="24"/>
          <w:lang w:val="ro-MD"/>
        </w:rPr>
        <w:t xml:space="preserve"> s-a constatat </w:t>
      </w:r>
      <w:r>
        <w:rPr>
          <w:rFonts w:asciiTheme="majorHAnsi" w:hAnsiTheme="majorHAnsi" w:cstheme="majorHAnsi"/>
          <w:sz w:val="24"/>
          <w:szCs w:val="24"/>
          <w:lang w:val="ro-MD"/>
        </w:rPr>
        <w:t>că acestea nu au fost elaborate, ceea ce sporește riscul de securitate.</w:t>
      </w:r>
    </w:p>
    <w:p w:rsidR="008420F3" w:rsidRDefault="008420F3" w:rsidP="008420F3">
      <w:pPr>
        <w:spacing w:after="0" w:line="276" w:lineRule="auto"/>
        <w:jc w:val="both"/>
        <w:rPr>
          <w:rFonts w:asciiTheme="majorHAnsi" w:hAnsiTheme="majorHAnsi" w:cs="Times New Roman"/>
          <w:sz w:val="24"/>
          <w:szCs w:val="24"/>
          <w:lang w:val="ro-MD"/>
        </w:rPr>
      </w:pPr>
    </w:p>
    <w:p w:rsidR="008420F3" w:rsidRPr="00987207" w:rsidRDefault="008420F3" w:rsidP="00A251BC">
      <w:pPr>
        <w:pStyle w:val="ListParagraph"/>
        <w:numPr>
          <w:ilvl w:val="0"/>
          <w:numId w:val="1"/>
        </w:numPr>
        <w:tabs>
          <w:tab w:val="left" w:pos="567"/>
        </w:tabs>
        <w:spacing w:after="0" w:line="276" w:lineRule="auto"/>
        <w:ind w:left="0" w:firstLine="0"/>
        <w:jc w:val="center"/>
        <w:outlineLvl w:val="0"/>
        <w:rPr>
          <w:rFonts w:asciiTheme="majorHAnsi" w:hAnsiTheme="majorHAnsi" w:cstheme="majorHAnsi"/>
          <w:b/>
          <w:sz w:val="28"/>
          <w:szCs w:val="28"/>
          <w:lang w:val="ro-MD"/>
        </w:rPr>
      </w:pPr>
      <w:bookmarkStart w:id="29" w:name="_Toc10126100"/>
      <w:r w:rsidRPr="00CE251C">
        <w:rPr>
          <w:rFonts w:asciiTheme="majorHAnsi" w:hAnsiTheme="majorHAnsi" w:cstheme="majorHAnsi"/>
          <w:b/>
          <w:sz w:val="28"/>
          <w:szCs w:val="28"/>
          <w:lang w:val="ro-MD"/>
        </w:rPr>
        <w:t>RESPONSABILITĂȚILE CONDUCERII</w:t>
      </w:r>
      <w:r>
        <w:rPr>
          <w:rFonts w:asciiTheme="majorHAnsi" w:hAnsiTheme="majorHAnsi" w:cstheme="majorHAnsi"/>
          <w:b/>
          <w:sz w:val="28"/>
          <w:szCs w:val="28"/>
          <w:lang w:val="ro-MD"/>
        </w:rPr>
        <w:t xml:space="preserve"> PENTRU </w:t>
      </w:r>
      <w:r w:rsidRPr="00987207">
        <w:rPr>
          <w:rFonts w:asciiTheme="majorHAnsi" w:hAnsiTheme="majorHAnsi" w:cstheme="majorHAnsi"/>
          <w:b/>
          <w:sz w:val="28"/>
          <w:szCs w:val="28"/>
        </w:rPr>
        <w:t>RAPORTUL GUVERNULUI PRIVIND EXECUTAREA BUGETULUI DE STAT</w:t>
      </w:r>
      <w:bookmarkEnd w:id="29"/>
    </w:p>
    <w:p w:rsidR="008420F3" w:rsidRPr="00CE251C" w:rsidRDefault="008420F3" w:rsidP="008420F3">
      <w:pPr>
        <w:tabs>
          <w:tab w:val="left" w:pos="1134"/>
        </w:tabs>
        <w:spacing w:after="0" w:line="276" w:lineRule="auto"/>
        <w:ind w:firstLine="709"/>
        <w:jc w:val="both"/>
        <w:rPr>
          <w:rFonts w:asciiTheme="majorHAnsi" w:eastAsia="Calibri" w:hAnsiTheme="majorHAnsi" w:cstheme="majorHAnsi"/>
          <w:sz w:val="24"/>
          <w:szCs w:val="24"/>
          <w:lang w:eastAsia="ru-RU"/>
        </w:rPr>
      </w:pPr>
      <w:r w:rsidRPr="00CE251C">
        <w:rPr>
          <w:rFonts w:asciiTheme="majorHAnsi" w:eastAsia="Calibri" w:hAnsiTheme="majorHAnsi" w:cstheme="majorHAnsi"/>
          <w:i/>
          <w:sz w:val="24"/>
          <w:szCs w:val="24"/>
          <w:lang w:eastAsia="ru-RU"/>
        </w:rPr>
        <w:t>Responsabilitatea Guvernului, în condițiile prevederilor legale</w:t>
      </w:r>
      <w:r w:rsidRPr="00CE251C">
        <w:rPr>
          <w:rFonts w:asciiTheme="majorHAnsi" w:eastAsia="Calibri" w:hAnsiTheme="majorHAnsi" w:cstheme="majorHAnsi"/>
          <w:i/>
          <w:sz w:val="24"/>
          <w:szCs w:val="24"/>
          <w:vertAlign w:val="superscript"/>
          <w:lang w:eastAsia="ru-RU"/>
        </w:rPr>
        <w:footnoteReference w:id="58"/>
      </w:r>
      <w:r w:rsidRPr="00CE251C">
        <w:rPr>
          <w:rFonts w:asciiTheme="majorHAnsi" w:eastAsia="Calibri" w:hAnsiTheme="majorHAnsi" w:cstheme="majorHAnsi"/>
          <w:i/>
          <w:sz w:val="24"/>
          <w:szCs w:val="24"/>
          <w:lang w:eastAsia="ru-RU"/>
        </w:rPr>
        <w:t xml:space="preserve">, </w:t>
      </w:r>
      <w:r w:rsidRPr="00CE251C">
        <w:rPr>
          <w:rFonts w:asciiTheme="majorHAnsi" w:eastAsia="Calibri" w:hAnsiTheme="majorHAnsi" w:cstheme="majorHAnsi"/>
          <w:sz w:val="24"/>
          <w:szCs w:val="24"/>
          <w:lang w:eastAsia="ru-RU"/>
        </w:rPr>
        <w:t xml:space="preserve">constă în conducerea generală a activității executive în domeniul finanțelor publice, în conformitate cu condițiile și regulile stabilite, asigurarea durabilității programului de guvernare și </w:t>
      </w:r>
      <w:r w:rsidR="006135EF">
        <w:rPr>
          <w:rFonts w:asciiTheme="majorHAnsi" w:eastAsia="Calibri" w:hAnsiTheme="majorHAnsi" w:cstheme="majorHAnsi"/>
          <w:sz w:val="24"/>
          <w:szCs w:val="24"/>
          <w:lang w:eastAsia="ru-RU"/>
        </w:rPr>
        <w:t xml:space="preserve">a </w:t>
      </w:r>
      <w:r w:rsidRPr="00CE251C">
        <w:rPr>
          <w:rFonts w:asciiTheme="majorHAnsi" w:eastAsia="Calibri" w:hAnsiTheme="majorHAnsi" w:cstheme="majorHAnsi"/>
          <w:sz w:val="24"/>
          <w:szCs w:val="24"/>
          <w:lang w:eastAsia="ru-RU"/>
        </w:rPr>
        <w:t>altor documente de politici din punct de vedere bugetar-fiscal, asigurarea administrării datoriei de stat și monitorizarea datoriei publice, aprobarea cadrului bugetar pe termen mediu, aprobarea și prezentarea în Parlament a proiectelor legilor bugetare anuale, precum și a proiectelor de legi privind modificarea bugetelor, asigurarea gestionării eficiente și transparente a fondului de rezervă și fondului de intervenție ale Guvernului etc.</w:t>
      </w:r>
    </w:p>
    <w:p w:rsidR="008420F3" w:rsidRPr="00CE251C" w:rsidRDefault="008420F3" w:rsidP="008420F3">
      <w:pPr>
        <w:tabs>
          <w:tab w:val="left" w:pos="1134"/>
        </w:tabs>
        <w:spacing w:after="0" w:line="276" w:lineRule="auto"/>
        <w:ind w:firstLine="709"/>
        <w:jc w:val="both"/>
        <w:rPr>
          <w:rFonts w:asciiTheme="majorHAnsi" w:eastAsia="Calibri" w:hAnsiTheme="majorHAnsi" w:cstheme="majorHAnsi"/>
          <w:sz w:val="24"/>
          <w:szCs w:val="24"/>
          <w:lang w:eastAsia="ru-RU"/>
        </w:rPr>
      </w:pPr>
      <w:r w:rsidRPr="00CE251C">
        <w:rPr>
          <w:rFonts w:asciiTheme="majorHAnsi" w:eastAsia="Calibri" w:hAnsiTheme="majorHAnsi" w:cstheme="majorHAnsi"/>
          <w:i/>
          <w:sz w:val="24"/>
          <w:szCs w:val="24"/>
          <w:lang w:eastAsia="ru-RU"/>
        </w:rPr>
        <w:t>Responsabilitatea Ministerului Finanțelor</w:t>
      </w:r>
      <w:r w:rsidRPr="00CE251C">
        <w:rPr>
          <w:rFonts w:asciiTheme="majorHAnsi" w:eastAsia="Calibri" w:hAnsiTheme="majorHAnsi" w:cstheme="majorHAnsi"/>
          <w:i/>
          <w:sz w:val="24"/>
          <w:szCs w:val="24"/>
          <w:vertAlign w:val="superscript"/>
          <w:lang w:eastAsia="ru-RU"/>
        </w:rPr>
        <w:footnoteReference w:id="59"/>
      </w:r>
      <w:r w:rsidRPr="00CE251C">
        <w:rPr>
          <w:rFonts w:asciiTheme="majorHAnsi" w:eastAsia="Calibri" w:hAnsiTheme="majorHAnsi" w:cstheme="majorHAnsi"/>
          <w:sz w:val="24"/>
          <w:szCs w:val="24"/>
          <w:lang w:eastAsia="ru-RU"/>
        </w:rPr>
        <w:t xml:space="preserve">, în calitate de autoritate publică centrală în domeniul finanțelor publice, este asigurarea coordonării generale a procesului bugetar, elaborarea și </w:t>
      </w:r>
      <w:r w:rsidRPr="00CE251C">
        <w:rPr>
          <w:rFonts w:asciiTheme="majorHAnsi" w:eastAsia="Calibri" w:hAnsiTheme="majorHAnsi" w:cstheme="majorHAnsi"/>
          <w:sz w:val="24"/>
          <w:szCs w:val="24"/>
          <w:lang w:eastAsia="ru-RU"/>
        </w:rPr>
        <w:lastRenderedPageBreak/>
        <w:t xml:space="preserve">asigurarea implementării politicii bugetar-fiscale în conformitate cu principiile și regulile bugetar-fiscale stabilite de cadrul regulator, elaborarea și prezentarea către Guvern a CBTM, a proiectului Legii bugetului de stat pe anul respectiv și a modificărilor la aceasta, administrarea datoriei de stat și garanțiilor de stat, precum și monitorizarea datoriei sectorului public, elaborarea și aprobarea actelor normative și legislative aferente domeniului bugetar și finanțelor publice, asigurarea gestionării mijloacelor financiare ale bugetului public național prin CUT și prin conturile deschise la BNM și în instituțiile financiare, monitorizarea executării bugetelor pe componentele BPN, organizarea și asigurarea funcționării sistemului </w:t>
      </w:r>
      <w:proofErr w:type="spellStart"/>
      <w:r w:rsidRPr="00CE251C">
        <w:rPr>
          <w:rFonts w:asciiTheme="majorHAnsi" w:eastAsia="Calibri" w:hAnsiTheme="majorHAnsi" w:cstheme="majorHAnsi"/>
          <w:sz w:val="24"/>
          <w:szCs w:val="24"/>
          <w:lang w:eastAsia="ru-RU"/>
        </w:rPr>
        <w:t>trezorerial</w:t>
      </w:r>
      <w:proofErr w:type="spellEnd"/>
      <w:r w:rsidRPr="00CE251C">
        <w:rPr>
          <w:rFonts w:asciiTheme="majorHAnsi" w:eastAsia="Calibri" w:hAnsiTheme="majorHAnsi" w:cstheme="majorHAnsi"/>
          <w:sz w:val="24"/>
          <w:szCs w:val="24"/>
          <w:lang w:eastAsia="ru-RU"/>
        </w:rPr>
        <w:t>, întocmirea și publicarea rapoartelor periodice și anuale privind executarea bugetului de stat, precum și executarea bugetului public național etc.</w:t>
      </w:r>
    </w:p>
    <w:p w:rsidR="008420F3" w:rsidRPr="00CE251C" w:rsidRDefault="008420F3" w:rsidP="008420F3">
      <w:pPr>
        <w:tabs>
          <w:tab w:val="left" w:pos="1134"/>
        </w:tabs>
        <w:spacing w:after="0" w:line="276" w:lineRule="auto"/>
        <w:ind w:firstLine="709"/>
        <w:jc w:val="both"/>
        <w:rPr>
          <w:rFonts w:asciiTheme="majorHAnsi" w:eastAsia="Calibri" w:hAnsiTheme="majorHAnsi" w:cstheme="majorHAnsi"/>
          <w:sz w:val="24"/>
          <w:szCs w:val="24"/>
          <w:lang w:eastAsia="ru-RU"/>
        </w:rPr>
      </w:pPr>
      <w:r w:rsidRPr="00CE251C">
        <w:rPr>
          <w:rFonts w:asciiTheme="majorHAnsi" w:eastAsia="Calibri" w:hAnsiTheme="majorHAnsi" w:cstheme="majorHAnsi"/>
          <w:i/>
          <w:sz w:val="24"/>
          <w:szCs w:val="24"/>
          <w:lang w:eastAsia="ru-RU"/>
        </w:rPr>
        <w:t xml:space="preserve">Responsabilitatea Trezoreriei de Stat </w:t>
      </w:r>
      <w:r w:rsidRPr="00CE251C">
        <w:rPr>
          <w:rFonts w:asciiTheme="majorHAnsi" w:eastAsia="Calibri" w:hAnsiTheme="majorHAnsi" w:cstheme="majorHAnsi"/>
          <w:sz w:val="24"/>
          <w:szCs w:val="24"/>
          <w:lang w:eastAsia="ru-RU"/>
        </w:rPr>
        <w:t xml:space="preserve">se rezumă la executarea de casă prin intermediul sistemului </w:t>
      </w:r>
      <w:proofErr w:type="spellStart"/>
      <w:r w:rsidRPr="00CE251C">
        <w:rPr>
          <w:rFonts w:asciiTheme="majorHAnsi" w:eastAsia="Calibri" w:hAnsiTheme="majorHAnsi" w:cstheme="majorHAnsi"/>
          <w:sz w:val="24"/>
          <w:szCs w:val="24"/>
          <w:lang w:eastAsia="ru-RU"/>
        </w:rPr>
        <w:t>trezorerial</w:t>
      </w:r>
      <w:proofErr w:type="spellEnd"/>
      <w:r w:rsidRPr="00CE251C">
        <w:rPr>
          <w:rFonts w:asciiTheme="majorHAnsi" w:eastAsia="Calibri" w:hAnsiTheme="majorHAnsi" w:cstheme="majorHAnsi"/>
          <w:sz w:val="24"/>
          <w:szCs w:val="24"/>
          <w:lang w:eastAsia="ru-RU"/>
        </w:rPr>
        <w:t xml:space="preserve"> a operațiunilor bugetelor de toate nivelurile</w:t>
      </w:r>
      <w:r w:rsidR="006135EF">
        <w:rPr>
          <w:rFonts w:asciiTheme="majorHAnsi" w:eastAsia="Calibri" w:hAnsiTheme="majorHAnsi" w:cstheme="majorHAnsi"/>
          <w:sz w:val="24"/>
          <w:szCs w:val="24"/>
          <w:lang w:eastAsia="ru-RU"/>
        </w:rPr>
        <w:t>,</w:t>
      </w:r>
      <w:r w:rsidRPr="00CE251C">
        <w:rPr>
          <w:rFonts w:asciiTheme="majorHAnsi" w:eastAsia="Calibri" w:hAnsiTheme="majorHAnsi" w:cstheme="majorHAnsi"/>
          <w:sz w:val="24"/>
          <w:szCs w:val="24"/>
          <w:lang w:eastAsia="ru-RU"/>
        </w:rPr>
        <w:t xml:space="preserve"> care sunt parte a bugetului public național, asigurând evidența veniturilor în baza încasărilor efective în ordinea colectării; efectuarea de cheltuieli în conformitate cu Legea bugetară anuală; administrarea veniturilor și cheltuielilor prin conturi distincte, bazate pe Clasificația bugetară</w:t>
      </w:r>
      <w:r w:rsidRPr="00CE251C">
        <w:rPr>
          <w:rFonts w:asciiTheme="majorHAnsi" w:eastAsia="Calibri" w:hAnsiTheme="majorHAnsi" w:cstheme="majorHAnsi"/>
          <w:sz w:val="24"/>
          <w:szCs w:val="24"/>
          <w:vertAlign w:val="superscript"/>
          <w:lang w:eastAsia="ru-RU"/>
        </w:rPr>
        <w:footnoteReference w:id="60"/>
      </w:r>
      <w:r w:rsidRPr="00CE251C">
        <w:rPr>
          <w:rFonts w:asciiTheme="majorHAnsi" w:eastAsia="Calibri" w:hAnsiTheme="majorHAnsi" w:cstheme="majorHAnsi"/>
          <w:sz w:val="24"/>
          <w:szCs w:val="24"/>
          <w:lang w:eastAsia="ru-RU"/>
        </w:rPr>
        <w:t xml:space="preserve">, și asigurarea deservirii datoriei de stat, reglementarea metodologiei contabile, evidența, întocmirea și raportarea fidelă a executării bugetului de stat în conformitate cu practicile contabile general acceptate în Republica Moldova. Aceste rapoarte trebuie să reflecte în mod echitabil poziția financiară a Guvernului la situația </w:t>
      </w:r>
      <w:r w:rsidRPr="00A251BC">
        <w:rPr>
          <w:rFonts w:asciiTheme="majorHAnsi" w:eastAsia="Calibri" w:hAnsiTheme="majorHAnsi" w:cstheme="majorHAnsi"/>
          <w:sz w:val="24"/>
          <w:szCs w:val="24"/>
          <w:lang w:eastAsia="ru-RU"/>
        </w:rPr>
        <w:t xml:space="preserve">din </w:t>
      </w:r>
      <w:r w:rsidR="00A251BC">
        <w:rPr>
          <w:rFonts w:asciiTheme="majorHAnsi" w:eastAsia="Calibri" w:hAnsiTheme="majorHAnsi" w:cstheme="majorHAnsi"/>
          <w:sz w:val="24"/>
          <w:szCs w:val="24"/>
          <w:lang w:eastAsia="ru-RU"/>
        </w:rPr>
        <w:t>31.12.2018</w:t>
      </w:r>
      <w:r w:rsidRPr="00A251BC">
        <w:rPr>
          <w:rFonts w:asciiTheme="majorHAnsi" w:eastAsia="Calibri" w:hAnsiTheme="majorHAnsi" w:cstheme="majorHAnsi"/>
          <w:sz w:val="24"/>
          <w:szCs w:val="24"/>
          <w:lang w:eastAsia="ru-RU"/>
        </w:rPr>
        <w:t>.</w:t>
      </w:r>
    </w:p>
    <w:p w:rsidR="008420F3" w:rsidRDefault="008420F3" w:rsidP="008420F3">
      <w:pPr>
        <w:pStyle w:val="ListParagraph"/>
        <w:tabs>
          <w:tab w:val="left" w:pos="567"/>
          <w:tab w:val="left" w:pos="851"/>
          <w:tab w:val="left" w:pos="993"/>
        </w:tabs>
        <w:spacing w:after="0" w:line="276" w:lineRule="auto"/>
        <w:ind w:left="0" w:firstLine="709"/>
        <w:jc w:val="both"/>
        <w:rPr>
          <w:rFonts w:asciiTheme="majorHAnsi" w:eastAsia="Calibri" w:hAnsiTheme="majorHAnsi" w:cstheme="majorHAnsi"/>
          <w:sz w:val="24"/>
          <w:szCs w:val="24"/>
          <w:lang w:eastAsia="ru-RU"/>
        </w:rPr>
      </w:pPr>
      <w:r w:rsidRPr="00CE251C">
        <w:rPr>
          <w:rFonts w:asciiTheme="majorHAnsi" w:eastAsia="Calibri" w:hAnsiTheme="majorHAnsi" w:cstheme="majorHAnsi"/>
          <w:i/>
          <w:sz w:val="24"/>
          <w:szCs w:val="24"/>
          <w:lang w:eastAsia="ru-RU"/>
        </w:rPr>
        <w:t>Responsabilitatea autorităților/instituțiilor bugetare</w:t>
      </w:r>
      <w:r w:rsidRPr="00CE251C">
        <w:rPr>
          <w:rFonts w:asciiTheme="majorHAnsi" w:eastAsia="Calibri" w:hAnsiTheme="majorHAnsi" w:cstheme="majorHAnsi"/>
          <w:sz w:val="24"/>
          <w:szCs w:val="24"/>
          <w:lang w:eastAsia="ru-RU"/>
        </w:rPr>
        <w:t xml:space="preserve"> constă în organizarea și controlul asupra planificării, utilizării alocațiilor conform destinației prevăzute în bugetele proprii și ale instituțiilor subordonate, efectuarea operațiunilor în corespundere cu cadrul general, ținerea evidenței contabile și raportarea conform cadrului regulator, elaborarea și implementarea unui sistem de management financiar și control intern eficient, asigurând buna guvernare a fondurilor publice, precum și gestionarea eficientă a patrimoniului public, inclusiv prevenirea și descoperirea erorilor și fraudelor. De asemenea, autoritățile/instituțiile bugetare, în calitate de organe ierarhic superioare pentru instituțiile din subordine, sunt responsabil</w:t>
      </w:r>
      <w:r w:rsidR="006135EF">
        <w:rPr>
          <w:rFonts w:asciiTheme="majorHAnsi" w:eastAsia="Calibri" w:hAnsiTheme="majorHAnsi" w:cstheme="majorHAnsi"/>
          <w:sz w:val="24"/>
          <w:szCs w:val="24"/>
          <w:lang w:eastAsia="ru-RU"/>
        </w:rPr>
        <w:t>e</w:t>
      </w:r>
      <w:r w:rsidRPr="00CE251C">
        <w:rPr>
          <w:rFonts w:asciiTheme="majorHAnsi" w:eastAsia="Calibri" w:hAnsiTheme="majorHAnsi" w:cstheme="majorHAnsi"/>
          <w:sz w:val="24"/>
          <w:szCs w:val="24"/>
          <w:lang w:eastAsia="ru-RU"/>
        </w:rPr>
        <w:t xml:space="preserve"> de prezentarea către Ministerul Finanțelor, în termenele stabilite, a rapoartelor consolidate pe domeniul patronat.</w:t>
      </w:r>
    </w:p>
    <w:p w:rsidR="008420F3" w:rsidRPr="00CE251C" w:rsidRDefault="008420F3" w:rsidP="008420F3">
      <w:pPr>
        <w:pStyle w:val="ListParagraph"/>
        <w:tabs>
          <w:tab w:val="left" w:pos="567"/>
          <w:tab w:val="left" w:pos="851"/>
          <w:tab w:val="left" w:pos="993"/>
        </w:tabs>
        <w:spacing w:after="0" w:line="276" w:lineRule="auto"/>
        <w:ind w:left="0" w:firstLine="709"/>
        <w:jc w:val="both"/>
        <w:rPr>
          <w:rFonts w:asciiTheme="majorHAnsi" w:eastAsia="Times New Roman" w:hAnsiTheme="majorHAnsi" w:cstheme="majorHAnsi"/>
          <w:sz w:val="24"/>
          <w:szCs w:val="24"/>
        </w:rPr>
      </w:pPr>
    </w:p>
    <w:p w:rsidR="008420F3" w:rsidRPr="00CE251C" w:rsidRDefault="008420F3" w:rsidP="00A251BC">
      <w:pPr>
        <w:pStyle w:val="ListParagraph"/>
        <w:numPr>
          <w:ilvl w:val="0"/>
          <w:numId w:val="1"/>
        </w:numPr>
        <w:tabs>
          <w:tab w:val="left" w:pos="0"/>
        </w:tabs>
        <w:spacing w:after="0" w:line="276" w:lineRule="auto"/>
        <w:ind w:left="0" w:firstLine="0"/>
        <w:jc w:val="center"/>
        <w:outlineLvl w:val="0"/>
        <w:rPr>
          <w:rFonts w:asciiTheme="majorHAnsi" w:hAnsiTheme="majorHAnsi" w:cstheme="majorHAnsi"/>
          <w:b/>
          <w:sz w:val="28"/>
          <w:szCs w:val="28"/>
        </w:rPr>
      </w:pPr>
      <w:bookmarkStart w:id="30" w:name="_Toc10126101"/>
      <w:r>
        <w:rPr>
          <w:rFonts w:asciiTheme="majorHAnsi" w:hAnsiTheme="majorHAnsi" w:cstheme="majorHAnsi"/>
          <w:b/>
          <w:sz w:val="28"/>
          <w:szCs w:val="28"/>
        </w:rPr>
        <w:t>RESPONSABILITĂȚILE AUDITORULUI</w:t>
      </w:r>
      <w:bookmarkEnd w:id="30"/>
    </w:p>
    <w:p w:rsidR="008420F3" w:rsidRPr="00133678" w:rsidRDefault="008420F3" w:rsidP="008420F3">
      <w:pPr>
        <w:tabs>
          <w:tab w:val="left" w:pos="993"/>
        </w:tabs>
        <w:spacing w:after="0" w:line="276" w:lineRule="auto"/>
        <w:jc w:val="both"/>
        <w:rPr>
          <w:rFonts w:asciiTheme="majorHAnsi" w:hAnsiTheme="majorHAnsi" w:cstheme="majorHAnsi"/>
          <w:sz w:val="24"/>
          <w:szCs w:val="24"/>
        </w:rPr>
      </w:pPr>
      <w:r w:rsidRPr="009A7E19">
        <w:rPr>
          <w:rFonts w:asciiTheme="majorHAnsi" w:hAnsiTheme="majorHAnsi" w:cstheme="majorHAnsi"/>
          <w:sz w:val="24"/>
          <w:szCs w:val="24"/>
        </w:rPr>
        <w:t>Responsabilitatea noastră este de a planifica și a realiza misiunea de audit, cu obținerea probelor suficiente și adecvate în vederea susținerii bazei pentru opinia de audit</w:t>
      </w:r>
      <w:r>
        <w:rPr>
          <w:rFonts w:asciiTheme="majorHAnsi" w:hAnsiTheme="majorHAnsi" w:cstheme="majorHAnsi"/>
          <w:sz w:val="24"/>
          <w:szCs w:val="24"/>
        </w:rPr>
        <w:t>.</w:t>
      </w:r>
      <w:r w:rsidRPr="00133678">
        <w:rPr>
          <w:sz w:val="23"/>
          <w:szCs w:val="23"/>
        </w:rPr>
        <w:t xml:space="preserve"> </w:t>
      </w:r>
      <w:r w:rsidRPr="00133678">
        <w:rPr>
          <w:rFonts w:asciiTheme="majorHAnsi" w:hAnsiTheme="majorHAnsi" w:cstheme="majorHAnsi"/>
          <w:sz w:val="24"/>
          <w:szCs w:val="24"/>
        </w:rPr>
        <w:t xml:space="preserve">Obiectivele noastre sunt: obținerea unei asigurări rezonabile că </w:t>
      </w:r>
      <w:r w:rsidRPr="00133678">
        <w:rPr>
          <w:rFonts w:asciiTheme="majorHAnsi" w:eastAsia="Times New Roman" w:hAnsiTheme="majorHAnsi" w:cstheme="majorHAnsi"/>
          <w:bCs/>
          <w:iCs/>
          <w:sz w:val="24"/>
          <w:szCs w:val="24"/>
          <w:lang w:val="ro-MD" w:eastAsia="ru-RU"/>
        </w:rPr>
        <w:t>Raportul Guvernului privind executarea bugetului de stat pe anul 201</w:t>
      </w:r>
      <w:r w:rsidR="006135EF">
        <w:rPr>
          <w:rFonts w:asciiTheme="majorHAnsi" w:eastAsia="Times New Roman" w:hAnsiTheme="majorHAnsi" w:cstheme="majorHAnsi"/>
          <w:bCs/>
          <w:iCs/>
          <w:sz w:val="24"/>
          <w:szCs w:val="24"/>
          <w:lang w:val="ro-MD" w:eastAsia="ru-RU"/>
        </w:rPr>
        <w:t>8</w:t>
      </w:r>
      <w:r w:rsidRPr="00133678">
        <w:rPr>
          <w:rFonts w:asciiTheme="majorHAnsi" w:eastAsia="Times New Roman" w:hAnsiTheme="majorHAnsi" w:cstheme="majorHAnsi"/>
          <w:bCs/>
          <w:iCs/>
          <w:sz w:val="24"/>
          <w:szCs w:val="24"/>
          <w:lang w:val="ro-MD" w:eastAsia="ru-RU"/>
        </w:rPr>
        <w:t>, întocmit de Ministerul Finanțelor și prezentat Guvernului spre aprobare</w:t>
      </w:r>
      <w:r w:rsidR="006135EF">
        <w:rPr>
          <w:rFonts w:asciiTheme="majorHAnsi" w:eastAsia="Times New Roman" w:hAnsiTheme="majorHAnsi" w:cstheme="majorHAnsi"/>
          <w:bCs/>
          <w:iCs/>
          <w:sz w:val="24"/>
          <w:szCs w:val="24"/>
          <w:lang w:val="ro-MD" w:eastAsia="ru-RU"/>
        </w:rPr>
        <w:t>,</w:t>
      </w:r>
      <w:r w:rsidRPr="00133678">
        <w:rPr>
          <w:rFonts w:asciiTheme="majorHAnsi" w:eastAsia="Times New Roman" w:hAnsiTheme="majorHAnsi" w:cstheme="majorHAnsi"/>
          <w:bCs/>
          <w:iCs/>
          <w:sz w:val="24"/>
          <w:szCs w:val="24"/>
          <w:lang w:val="ro-MD" w:eastAsia="ru-RU"/>
        </w:rPr>
        <w:t xml:space="preserve"> este elaborat, în toate aspectele semnificative, în conformitate cu prevederile legale și prezintă informația financiară, bazată pe datele evidenței sistemului </w:t>
      </w:r>
      <w:proofErr w:type="spellStart"/>
      <w:r w:rsidRPr="00133678">
        <w:rPr>
          <w:rFonts w:asciiTheme="majorHAnsi" w:eastAsia="Times New Roman" w:hAnsiTheme="majorHAnsi" w:cstheme="majorHAnsi"/>
          <w:bCs/>
          <w:iCs/>
          <w:sz w:val="24"/>
          <w:szCs w:val="24"/>
          <w:lang w:val="ro-MD" w:eastAsia="ru-RU"/>
        </w:rPr>
        <w:t>trezorerial</w:t>
      </w:r>
      <w:proofErr w:type="spellEnd"/>
      <w:r w:rsidRPr="00133678">
        <w:rPr>
          <w:rFonts w:asciiTheme="majorHAnsi" w:eastAsia="Times New Roman" w:hAnsiTheme="majorHAnsi" w:cstheme="majorHAnsi"/>
          <w:bCs/>
          <w:iCs/>
          <w:sz w:val="24"/>
          <w:szCs w:val="24"/>
          <w:lang w:val="ro-MD" w:eastAsia="ru-RU"/>
        </w:rPr>
        <w:t xml:space="preserve"> și datele consolidate ale rapoartelor </w:t>
      </w:r>
      <w:r w:rsidRPr="00133678">
        <w:rPr>
          <w:rFonts w:asciiTheme="majorHAnsi" w:eastAsia="Times New Roman" w:hAnsiTheme="majorHAnsi" w:cstheme="majorHAnsi"/>
          <w:sz w:val="24"/>
          <w:szCs w:val="24"/>
          <w:lang w:val="ro-MD" w:eastAsia="ru-RU"/>
        </w:rPr>
        <w:t>autorităților/instituțiilor bugetare</w:t>
      </w:r>
      <w:r w:rsidRPr="00133678">
        <w:rPr>
          <w:rFonts w:asciiTheme="majorHAnsi" w:eastAsia="Times New Roman" w:hAnsiTheme="majorHAnsi" w:cstheme="majorHAnsi"/>
          <w:bCs/>
          <w:iCs/>
          <w:sz w:val="24"/>
          <w:szCs w:val="24"/>
          <w:lang w:val="ro-MD" w:eastAsia="ru-RU"/>
        </w:rPr>
        <w:t>, iar operațiunile sunt corecte și conforme prevederilor legale</w:t>
      </w:r>
      <w:r w:rsidR="000C0F45">
        <w:rPr>
          <w:rFonts w:asciiTheme="majorHAnsi" w:eastAsia="Times New Roman" w:hAnsiTheme="majorHAnsi" w:cstheme="majorHAnsi"/>
          <w:bCs/>
          <w:iCs/>
          <w:sz w:val="24"/>
          <w:szCs w:val="24"/>
          <w:lang w:val="ro-MD" w:eastAsia="ru-RU"/>
        </w:rPr>
        <w:t>,</w:t>
      </w:r>
      <w:r w:rsidRPr="00133678">
        <w:rPr>
          <w:rFonts w:asciiTheme="majorHAnsi" w:eastAsia="Times New Roman" w:hAnsiTheme="majorHAnsi" w:cstheme="majorHAnsi"/>
          <w:bCs/>
          <w:iCs/>
          <w:sz w:val="24"/>
          <w:szCs w:val="24"/>
          <w:lang w:val="ro-MD" w:eastAsia="ru-RU"/>
        </w:rPr>
        <w:t xml:space="preserve"> </w:t>
      </w:r>
      <w:r w:rsidRPr="00133678">
        <w:rPr>
          <w:rFonts w:asciiTheme="majorHAnsi" w:eastAsia="Times New Roman" w:hAnsiTheme="majorHAnsi" w:cstheme="majorHAnsi"/>
          <w:sz w:val="24"/>
          <w:szCs w:val="24"/>
          <w:lang w:eastAsia="ru-RU"/>
        </w:rPr>
        <w:t>cu exprimarea opiniei de audit și formularea ulterioară a recomandărilor.</w:t>
      </w:r>
    </w:p>
    <w:p w:rsidR="008420F3" w:rsidRDefault="008420F3" w:rsidP="008420F3">
      <w:pPr>
        <w:tabs>
          <w:tab w:val="left" w:pos="993"/>
        </w:tabs>
        <w:spacing w:after="0" w:line="276" w:lineRule="auto"/>
        <w:jc w:val="both"/>
        <w:rPr>
          <w:rFonts w:asciiTheme="majorHAnsi" w:hAnsiTheme="majorHAnsi" w:cstheme="majorHAnsi"/>
          <w:sz w:val="24"/>
          <w:szCs w:val="24"/>
        </w:rPr>
      </w:pPr>
      <w:r w:rsidRPr="00133678">
        <w:rPr>
          <w:rFonts w:asciiTheme="majorHAnsi" w:hAnsiTheme="majorHAnsi" w:cstheme="majorHAnsi"/>
          <w:sz w:val="24"/>
          <w:szCs w:val="24"/>
        </w:rPr>
        <w:t xml:space="preserve">Asigurarea rezonabilă este un nivel ridicat de asigurare, dar nu este o garanție că un audit efectuat în conformitate cu ISSAI va detecta întotdeauna o denaturare semnificativă atunci când ea există. </w:t>
      </w:r>
      <w:r w:rsidRPr="00133678">
        <w:rPr>
          <w:rFonts w:asciiTheme="majorHAnsi" w:hAnsiTheme="majorHAnsi" w:cstheme="majorHAnsi"/>
          <w:sz w:val="24"/>
          <w:szCs w:val="24"/>
        </w:rPr>
        <w:lastRenderedPageBreak/>
        <w:t>Denaturările pot fi urmare a fraudelor sau erorilor. Totodată, denaturările pot fi considerate semnificative dacă, în mod individual sau în ansamblu, pot influența deciziile economice ale utilizatorilor acestor situații financiare.</w:t>
      </w:r>
    </w:p>
    <w:p w:rsidR="008420F3" w:rsidRDefault="008420F3" w:rsidP="008420F3">
      <w:pPr>
        <w:tabs>
          <w:tab w:val="left" w:pos="993"/>
        </w:tabs>
        <w:spacing w:after="0" w:line="276" w:lineRule="auto"/>
        <w:jc w:val="both"/>
        <w:rPr>
          <w:rFonts w:asciiTheme="majorHAnsi" w:hAnsiTheme="majorHAnsi" w:cstheme="majorHAnsi"/>
          <w:sz w:val="24"/>
          <w:szCs w:val="24"/>
        </w:rPr>
      </w:pPr>
    </w:p>
    <w:p w:rsidR="008420F3" w:rsidRPr="00AD6E77" w:rsidRDefault="008420F3" w:rsidP="00AD6E77">
      <w:pPr>
        <w:tabs>
          <w:tab w:val="left" w:pos="993"/>
        </w:tabs>
        <w:spacing w:after="0" w:line="276" w:lineRule="auto"/>
        <w:jc w:val="both"/>
        <w:rPr>
          <w:rFonts w:asciiTheme="majorHAnsi" w:hAnsiTheme="majorHAnsi" w:cstheme="majorHAnsi"/>
          <w:b/>
          <w:sz w:val="28"/>
          <w:szCs w:val="28"/>
        </w:rPr>
      </w:pPr>
      <w:r w:rsidRPr="00AD6E77">
        <w:rPr>
          <w:rFonts w:asciiTheme="majorHAnsi" w:hAnsiTheme="majorHAnsi" w:cstheme="majorHAnsi"/>
          <w:b/>
          <w:sz w:val="28"/>
          <w:szCs w:val="28"/>
        </w:rPr>
        <w:t>SEMNĂTURI</w:t>
      </w:r>
    </w:p>
    <w:p w:rsidR="008420F3" w:rsidRPr="0006070C" w:rsidRDefault="008420F3" w:rsidP="008420F3">
      <w:pPr>
        <w:tabs>
          <w:tab w:val="left" w:pos="993"/>
        </w:tabs>
        <w:spacing w:after="0" w:line="276" w:lineRule="auto"/>
        <w:jc w:val="both"/>
        <w:rPr>
          <w:rFonts w:asciiTheme="majorHAnsi" w:hAnsiTheme="majorHAnsi" w:cstheme="majorHAnsi"/>
          <w:sz w:val="24"/>
          <w:szCs w:val="24"/>
        </w:rPr>
      </w:pPr>
    </w:p>
    <w:p w:rsidR="008420F3" w:rsidRPr="0006070C" w:rsidRDefault="008420F3" w:rsidP="008420F3">
      <w:pPr>
        <w:tabs>
          <w:tab w:val="left" w:pos="993"/>
        </w:tabs>
        <w:spacing w:after="0" w:line="276" w:lineRule="auto"/>
        <w:jc w:val="both"/>
        <w:rPr>
          <w:rFonts w:asciiTheme="majorHAnsi" w:hAnsiTheme="majorHAnsi" w:cstheme="majorHAnsi"/>
          <w:b/>
          <w:sz w:val="24"/>
          <w:szCs w:val="24"/>
          <w:lang w:val="ro-MD"/>
        </w:rPr>
      </w:pPr>
      <w:r w:rsidRPr="0006070C">
        <w:rPr>
          <w:rFonts w:asciiTheme="majorHAnsi" w:hAnsiTheme="majorHAnsi" w:cstheme="majorHAnsi"/>
          <w:b/>
          <w:sz w:val="24"/>
          <w:szCs w:val="24"/>
          <w:lang w:val="ro-MD"/>
        </w:rPr>
        <w:t>Echipa de audit:</w:t>
      </w:r>
    </w:p>
    <w:p w:rsidR="008420F3" w:rsidRPr="0006070C" w:rsidRDefault="008420F3" w:rsidP="008420F3">
      <w:pPr>
        <w:spacing w:after="0" w:line="276" w:lineRule="auto"/>
        <w:rPr>
          <w:rFonts w:asciiTheme="majorHAnsi" w:eastAsia="Times New Roman" w:hAnsiTheme="majorHAnsi" w:cstheme="majorHAnsi"/>
          <w:bCs/>
          <w:sz w:val="24"/>
          <w:szCs w:val="24"/>
          <w:lang w:eastAsia="ru-RU"/>
        </w:rPr>
      </w:pPr>
      <w:r w:rsidRPr="0006070C">
        <w:rPr>
          <w:rFonts w:asciiTheme="majorHAnsi" w:eastAsia="Times New Roman" w:hAnsiTheme="majorHAnsi" w:cstheme="majorHAnsi"/>
          <w:iCs/>
          <w:sz w:val="24"/>
          <w:szCs w:val="24"/>
          <w:lang w:eastAsia="ru-RU"/>
        </w:rPr>
        <w:t>Șeful echipei de audit,</w:t>
      </w:r>
      <w:r w:rsidRPr="0006070C">
        <w:rPr>
          <w:rFonts w:asciiTheme="majorHAnsi" w:eastAsia="Times New Roman" w:hAnsiTheme="majorHAnsi" w:cstheme="majorHAnsi"/>
          <w:bCs/>
          <w:sz w:val="24"/>
          <w:szCs w:val="24"/>
          <w:lang w:eastAsia="ru-RU"/>
        </w:rPr>
        <w:t xml:space="preserve"> </w:t>
      </w:r>
    </w:p>
    <w:p w:rsidR="008420F3" w:rsidRPr="0006070C" w:rsidRDefault="008420F3" w:rsidP="008420F3">
      <w:pPr>
        <w:spacing w:after="0" w:line="276" w:lineRule="auto"/>
        <w:rPr>
          <w:rFonts w:asciiTheme="majorHAnsi" w:eastAsia="Times New Roman" w:hAnsiTheme="majorHAnsi" w:cstheme="majorHAnsi"/>
          <w:iCs/>
          <w:sz w:val="24"/>
          <w:szCs w:val="24"/>
          <w:lang w:eastAsia="ru-RU"/>
        </w:rPr>
      </w:pPr>
      <w:r w:rsidRPr="0006070C">
        <w:rPr>
          <w:rFonts w:asciiTheme="majorHAnsi" w:hAnsiTheme="majorHAnsi" w:cstheme="majorHAnsi"/>
          <w:sz w:val="24"/>
          <w:szCs w:val="24"/>
        </w:rPr>
        <w:t xml:space="preserve">Șef Direcție 2 din cadrul Direcției generale </w:t>
      </w:r>
      <w:r w:rsidR="000C0F45">
        <w:rPr>
          <w:rFonts w:asciiTheme="majorHAnsi" w:hAnsiTheme="majorHAnsi" w:cstheme="majorHAnsi"/>
          <w:sz w:val="24"/>
          <w:szCs w:val="24"/>
        </w:rPr>
        <w:t xml:space="preserve">de </w:t>
      </w:r>
      <w:r>
        <w:rPr>
          <w:rFonts w:asciiTheme="majorHAnsi" w:hAnsiTheme="majorHAnsi" w:cstheme="majorHAnsi"/>
          <w:sz w:val="24"/>
          <w:szCs w:val="24"/>
        </w:rPr>
        <w:t>audit I</w:t>
      </w:r>
      <w:r w:rsidR="000C0F45">
        <w:rPr>
          <w:rFonts w:asciiTheme="majorHAnsi" w:hAnsiTheme="majorHAnsi" w:cstheme="majorHAnsi"/>
          <w:sz w:val="24"/>
          <w:szCs w:val="24"/>
        </w:rPr>
        <w:t>,</w:t>
      </w:r>
      <w:r w:rsidR="00793C62">
        <w:rPr>
          <w:rFonts w:asciiTheme="majorHAnsi" w:eastAsia="Times New Roman" w:hAnsiTheme="majorHAnsi" w:cstheme="majorHAnsi"/>
          <w:iCs/>
          <w:sz w:val="24"/>
          <w:szCs w:val="24"/>
          <w:lang w:eastAsia="ru-RU"/>
        </w:rPr>
        <w:t xml:space="preserve">                         </w:t>
      </w:r>
      <w:r w:rsidR="00337418">
        <w:rPr>
          <w:rFonts w:asciiTheme="majorHAnsi" w:eastAsia="Times New Roman" w:hAnsiTheme="majorHAnsi" w:cstheme="majorHAnsi"/>
          <w:iCs/>
          <w:sz w:val="24"/>
          <w:szCs w:val="24"/>
          <w:lang w:eastAsia="ru-RU"/>
        </w:rPr>
        <w:t xml:space="preserve">                </w:t>
      </w:r>
      <w:r>
        <w:rPr>
          <w:rFonts w:asciiTheme="majorHAnsi" w:eastAsia="Times New Roman" w:hAnsiTheme="majorHAnsi" w:cstheme="majorHAnsi"/>
          <w:iCs/>
          <w:sz w:val="24"/>
          <w:szCs w:val="24"/>
          <w:lang w:eastAsia="ru-RU"/>
        </w:rPr>
        <w:t xml:space="preserve"> </w:t>
      </w:r>
      <w:r w:rsidRPr="0006070C">
        <w:rPr>
          <w:rFonts w:asciiTheme="majorHAnsi" w:eastAsia="Times New Roman" w:hAnsiTheme="majorHAnsi" w:cstheme="majorHAnsi"/>
          <w:bCs/>
          <w:sz w:val="24"/>
          <w:szCs w:val="24"/>
          <w:lang w:eastAsia="ru-RU"/>
        </w:rPr>
        <w:t>Tatiana Carajeleascov</w:t>
      </w:r>
      <w:r w:rsidRPr="0006070C">
        <w:rPr>
          <w:rFonts w:asciiTheme="majorHAnsi" w:eastAsia="Times New Roman" w:hAnsiTheme="majorHAnsi" w:cstheme="majorHAnsi"/>
          <w:iCs/>
          <w:sz w:val="24"/>
          <w:szCs w:val="24"/>
          <w:lang w:eastAsia="ru-RU"/>
        </w:rPr>
        <w:t xml:space="preserve"> </w:t>
      </w:r>
    </w:p>
    <w:p w:rsidR="008420F3" w:rsidRPr="0006070C" w:rsidRDefault="008420F3" w:rsidP="008420F3">
      <w:pPr>
        <w:tabs>
          <w:tab w:val="left" w:pos="993"/>
        </w:tabs>
        <w:spacing w:after="0" w:line="276" w:lineRule="auto"/>
        <w:jc w:val="both"/>
        <w:rPr>
          <w:rFonts w:asciiTheme="majorHAnsi" w:hAnsiTheme="majorHAnsi" w:cstheme="majorHAnsi"/>
          <w:sz w:val="24"/>
          <w:szCs w:val="24"/>
        </w:rPr>
      </w:pPr>
    </w:p>
    <w:p w:rsidR="008420F3" w:rsidRPr="0006070C" w:rsidRDefault="008420F3" w:rsidP="008420F3">
      <w:pPr>
        <w:tabs>
          <w:tab w:val="left" w:pos="993"/>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Auditor public</w:t>
      </w:r>
      <w:r w:rsidRPr="0006070C">
        <w:rPr>
          <w:rFonts w:asciiTheme="majorHAnsi" w:hAnsiTheme="majorHAnsi" w:cstheme="majorHAnsi"/>
          <w:sz w:val="24"/>
          <w:szCs w:val="24"/>
        </w:rPr>
        <w:t xml:space="preserve"> principal</w:t>
      </w:r>
      <w:r w:rsidR="00793C62">
        <w:rPr>
          <w:rFonts w:asciiTheme="majorHAnsi" w:hAnsiTheme="majorHAnsi" w:cstheme="majorHAnsi"/>
          <w:sz w:val="24"/>
          <w:szCs w:val="24"/>
        </w:rPr>
        <w:t xml:space="preserve">                                                 </w:t>
      </w:r>
      <w:r w:rsidR="00567933">
        <w:rPr>
          <w:rFonts w:asciiTheme="majorHAnsi" w:hAnsiTheme="majorHAnsi" w:cstheme="majorHAnsi"/>
          <w:sz w:val="24"/>
          <w:szCs w:val="24"/>
        </w:rPr>
        <w:t xml:space="preserve">                            </w:t>
      </w:r>
      <w:r w:rsidR="00337418">
        <w:rPr>
          <w:rFonts w:asciiTheme="majorHAnsi" w:hAnsiTheme="majorHAnsi" w:cstheme="majorHAnsi"/>
          <w:sz w:val="24"/>
          <w:szCs w:val="24"/>
        </w:rPr>
        <w:t xml:space="preserve">                </w:t>
      </w:r>
      <w:r>
        <w:rPr>
          <w:rFonts w:asciiTheme="majorHAnsi" w:hAnsiTheme="majorHAnsi" w:cstheme="majorHAnsi"/>
          <w:sz w:val="24"/>
          <w:szCs w:val="24"/>
        </w:rPr>
        <w:t xml:space="preserve"> </w:t>
      </w:r>
      <w:r w:rsidRPr="0006070C">
        <w:rPr>
          <w:rFonts w:asciiTheme="majorHAnsi" w:hAnsiTheme="majorHAnsi" w:cstheme="majorHAnsi"/>
          <w:sz w:val="24"/>
          <w:szCs w:val="24"/>
        </w:rPr>
        <w:t>Maia Savva</w:t>
      </w:r>
    </w:p>
    <w:p w:rsidR="008420F3" w:rsidRPr="0006070C" w:rsidRDefault="008420F3" w:rsidP="008420F3">
      <w:pPr>
        <w:tabs>
          <w:tab w:val="left" w:pos="993"/>
        </w:tabs>
        <w:spacing w:after="0" w:line="276" w:lineRule="auto"/>
        <w:jc w:val="both"/>
        <w:rPr>
          <w:rFonts w:asciiTheme="majorHAnsi" w:hAnsiTheme="majorHAnsi" w:cstheme="majorHAnsi"/>
          <w:sz w:val="24"/>
          <w:szCs w:val="24"/>
        </w:rPr>
      </w:pPr>
    </w:p>
    <w:p w:rsidR="008420F3" w:rsidRDefault="008420F3" w:rsidP="008420F3">
      <w:pPr>
        <w:tabs>
          <w:tab w:val="left" w:pos="993"/>
        </w:tabs>
        <w:spacing w:after="0" w:line="276" w:lineRule="auto"/>
        <w:jc w:val="both"/>
        <w:rPr>
          <w:rFonts w:asciiTheme="majorHAnsi" w:hAnsiTheme="majorHAnsi" w:cstheme="majorHAnsi"/>
          <w:sz w:val="24"/>
          <w:szCs w:val="24"/>
        </w:rPr>
      </w:pPr>
      <w:r>
        <w:rPr>
          <w:rFonts w:asciiTheme="majorHAnsi" w:hAnsiTheme="majorHAnsi" w:cstheme="majorHAnsi"/>
          <w:sz w:val="24"/>
          <w:szCs w:val="24"/>
        </w:rPr>
        <w:t>Auditor public</w:t>
      </w:r>
      <w:r w:rsidRPr="0006070C">
        <w:rPr>
          <w:rFonts w:asciiTheme="majorHAnsi" w:hAnsiTheme="majorHAnsi" w:cstheme="majorHAnsi"/>
          <w:sz w:val="24"/>
          <w:szCs w:val="24"/>
        </w:rPr>
        <w:t xml:space="preserve"> superior</w:t>
      </w:r>
      <w:r w:rsidR="00793C62">
        <w:rPr>
          <w:rFonts w:asciiTheme="majorHAnsi" w:hAnsiTheme="majorHAnsi" w:cstheme="majorHAnsi"/>
          <w:sz w:val="24"/>
          <w:szCs w:val="24"/>
        </w:rPr>
        <w:t xml:space="preserve">                                                 </w:t>
      </w:r>
      <w:r>
        <w:rPr>
          <w:rFonts w:asciiTheme="majorHAnsi" w:hAnsiTheme="majorHAnsi" w:cstheme="majorHAnsi"/>
          <w:sz w:val="24"/>
          <w:szCs w:val="24"/>
        </w:rPr>
        <w:t xml:space="preserve"> </w:t>
      </w:r>
      <w:r w:rsidR="00567933">
        <w:rPr>
          <w:rFonts w:asciiTheme="majorHAnsi" w:hAnsiTheme="majorHAnsi" w:cstheme="majorHAnsi"/>
          <w:sz w:val="24"/>
          <w:szCs w:val="24"/>
        </w:rPr>
        <w:t xml:space="preserve">                             </w:t>
      </w:r>
      <w:r w:rsidR="00337418">
        <w:rPr>
          <w:rFonts w:asciiTheme="majorHAnsi" w:hAnsiTheme="majorHAnsi" w:cstheme="majorHAnsi"/>
          <w:sz w:val="24"/>
          <w:szCs w:val="24"/>
        </w:rPr>
        <w:t xml:space="preserve">                </w:t>
      </w:r>
      <w:r w:rsidRPr="0006070C">
        <w:rPr>
          <w:rFonts w:asciiTheme="majorHAnsi" w:hAnsiTheme="majorHAnsi" w:cstheme="majorHAnsi"/>
          <w:sz w:val="24"/>
          <w:szCs w:val="24"/>
        </w:rPr>
        <w:t>Diana Croitoru</w:t>
      </w:r>
    </w:p>
    <w:p w:rsidR="008420F3" w:rsidRDefault="008420F3" w:rsidP="008420F3">
      <w:pPr>
        <w:tabs>
          <w:tab w:val="left" w:pos="993"/>
        </w:tabs>
        <w:spacing w:after="0" w:line="276" w:lineRule="auto"/>
        <w:jc w:val="both"/>
        <w:rPr>
          <w:rFonts w:asciiTheme="majorHAnsi" w:hAnsiTheme="majorHAnsi" w:cstheme="majorHAnsi"/>
          <w:sz w:val="24"/>
          <w:szCs w:val="24"/>
        </w:rPr>
      </w:pPr>
    </w:p>
    <w:p w:rsidR="008420F3" w:rsidRPr="002966A6" w:rsidRDefault="008420F3" w:rsidP="008420F3">
      <w:pPr>
        <w:spacing w:after="0" w:line="276" w:lineRule="auto"/>
        <w:rPr>
          <w:rFonts w:asciiTheme="majorHAnsi" w:eastAsia="Times New Roman" w:hAnsiTheme="majorHAnsi" w:cstheme="majorHAnsi"/>
          <w:b/>
          <w:bCs/>
          <w:i/>
          <w:iCs/>
          <w:sz w:val="24"/>
          <w:szCs w:val="24"/>
          <w:lang w:val="ro-MD"/>
        </w:rPr>
      </w:pPr>
      <w:r w:rsidRPr="002966A6">
        <w:rPr>
          <w:rFonts w:asciiTheme="majorHAnsi" w:eastAsia="Times New Roman" w:hAnsiTheme="majorHAnsi" w:cstheme="majorHAnsi"/>
          <w:b/>
          <w:bCs/>
          <w:i/>
          <w:iCs/>
          <w:sz w:val="24"/>
          <w:szCs w:val="24"/>
          <w:lang w:val="ro-MD"/>
        </w:rPr>
        <w:t xml:space="preserve">Responsabil de </w:t>
      </w:r>
      <w:r>
        <w:rPr>
          <w:rFonts w:asciiTheme="majorHAnsi" w:eastAsia="Times New Roman" w:hAnsiTheme="majorHAnsi" w:cstheme="majorHAnsi"/>
          <w:b/>
          <w:bCs/>
          <w:i/>
          <w:iCs/>
          <w:sz w:val="24"/>
          <w:szCs w:val="24"/>
          <w:lang w:val="ro-MD"/>
        </w:rPr>
        <w:t>audit</w:t>
      </w:r>
      <w:r w:rsidRPr="002966A6">
        <w:rPr>
          <w:rFonts w:asciiTheme="majorHAnsi" w:eastAsia="Times New Roman" w:hAnsiTheme="majorHAnsi" w:cstheme="majorHAnsi"/>
          <w:b/>
          <w:bCs/>
          <w:i/>
          <w:iCs/>
          <w:sz w:val="24"/>
          <w:szCs w:val="24"/>
          <w:lang w:val="ro-MD"/>
        </w:rPr>
        <w:t xml:space="preserve">: </w:t>
      </w:r>
    </w:p>
    <w:p w:rsidR="008420F3" w:rsidRPr="002966A6" w:rsidRDefault="008420F3" w:rsidP="008420F3">
      <w:pPr>
        <w:tabs>
          <w:tab w:val="left" w:pos="1080"/>
        </w:tabs>
        <w:spacing w:line="276" w:lineRule="auto"/>
        <w:contextualSpacing/>
        <w:jc w:val="both"/>
        <w:rPr>
          <w:rFonts w:asciiTheme="majorHAnsi" w:eastAsia="Times New Roman" w:hAnsiTheme="majorHAnsi" w:cstheme="majorHAnsi"/>
          <w:sz w:val="24"/>
          <w:szCs w:val="24"/>
          <w:lang w:val="ro-MD"/>
        </w:rPr>
      </w:pPr>
      <w:r w:rsidRPr="002966A6">
        <w:rPr>
          <w:rFonts w:asciiTheme="majorHAnsi" w:eastAsia="Times New Roman" w:hAnsiTheme="majorHAnsi" w:cstheme="majorHAnsi"/>
          <w:sz w:val="24"/>
          <w:szCs w:val="24"/>
          <w:lang w:val="ro-MD"/>
        </w:rPr>
        <w:t xml:space="preserve">Șeful Direcției generale </w:t>
      </w:r>
      <w:r w:rsidR="000C0F45">
        <w:rPr>
          <w:rFonts w:asciiTheme="majorHAnsi" w:eastAsia="Times New Roman" w:hAnsiTheme="majorHAnsi" w:cstheme="majorHAnsi"/>
          <w:sz w:val="24"/>
          <w:szCs w:val="24"/>
          <w:lang w:val="ro-MD"/>
        </w:rPr>
        <w:t xml:space="preserve">de </w:t>
      </w:r>
      <w:r>
        <w:rPr>
          <w:rFonts w:asciiTheme="majorHAnsi" w:eastAsia="Times New Roman" w:hAnsiTheme="majorHAnsi" w:cstheme="majorHAnsi"/>
          <w:sz w:val="24"/>
          <w:szCs w:val="24"/>
          <w:lang w:val="ro-MD"/>
        </w:rPr>
        <w:t>audit I</w:t>
      </w:r>
      <w:r w:rsidR="00793C62">
        <w:rPr>
          <w:rFonts w:asciiTheme="majorHAnsi" w:eastAsia="Times New Roman" w:hAnsiTheme="majorHAnsi" w:cstheme="majorHAnsi"/>
          <w:sz w:val="24"/>
          <w:szCs w:val="24"/>
          <w:lang w:val="ro-MD"/>
        </w:rPr>
        <w:t xml:space="preserve">                                           </w:t>
      </w:r>
      <w:r>
        <w:rPr>
          <w:rFonts w:asciiTheme="majorHAnsi" w:eastAsia="Times New Roman" w:hAnsiTheme="majorHAnsi" w:cstheme="majorHAnsi"/>
          <w:sz w:val="24"/>
          <w:szCs w:val="24"/>
          <w:lang w:val="ro-MD"/>
        </w:rPr>
        <w:t xml:space="preserve"> </w:t>
      </w:r>
      <w:r w:rsidR="00567933">
        <w:rPr>
          <w:rFonts w:asciiTheme="majorHAnsi" w:eastAsia="Times New Roman" w:hAnsiTheme="majorHAnsi" w:cstheme="majorHAnsi"/>
          <w:sz w:val="24"/>
          <w:szCs w:val="24"/>
          <w:lang w:val="ro-MD"/>
        </w:rPr>
        <w:t xml:space="preserve">                 </w:t>
      </w:r>
      <w:r w:rsidR="00337418">
        <w:rPr>
          <w:rFonts w:asciiTheme="majorHAnsi" w:eastAsia="Times New Roman" w:hAnsiTheme="majorHAnsi" w:cstheme="majorHAnsi"/>
          <w:sz w:val="24"/>
          <w:szCs w:val="24"/>
          <w:lang w:val="ro-MD"/>
        </w:rPr>
        <w:t xml:space="preserve">                </w:t>
      </w:r>
      <w:r w:rsidRPr="002966A6">
        <w:rPr>
          <w:rFonts w:asciiTheme="majorHAnsi" w:eastAsia="Times New Roman" w:hAnsiTheme="majorHAnsi" w:cstheme="majorHAnsi"/>
          <w:sz w:val="24"/>
          <w:szCs w:val="24"/>
          <w:lang w:val="ro-MD"/>
        </w:rPr>
        <w:t>Natalia Trofim</w:t>
      </w:r>
      <w:r w:rsidR="00793C62">
        <w:rPr>
          <w:rFonts w:asciiTheme="majorHAnsi" w:eastAsia="Times New Roman" w:hAnsiTheme="majorHAnsi" w:cstheme="majorHAnsi"/>
          <w:sz w:val="24"/>
          <w:szCs w:val="24"/>
          <w:lang w:val="ro-MD"/>
        </w:rPr>
        <w:t xml:space="preserve">   </w:t>
      </w:r>
    </w:p>
    <w:p w:rsidR="008420F3" w:rsidRPr="008420F3" w:rsidRDefault="008420F3" w:rsidP="000070C0">
      <w:pPr>
        <w:spacing w:before="240" w:after="0" w:line="276" w:lineRule="auto"/>
        <w:ind w:firstLine="709"/>
        <w:contextualSpacing/>
        <w:jc w:val="both"/>
        <w:rPr>
          <w:rFonts w:asciiTheme="majorHAnsi" w:hAnsiTheme="majorHAnsi" w:cstheme="majorHAnsi"/>
          <w:color w:val="FF0000"/>
          <w:sz w:val="24"/>
          <w:szCs w:val="24"/>
          <w:lang w:val="ro-MD"/>
        </w:rPr>
        <w:sectPr w:rsidR="008420F3" w:rsidRPr="008420F3" w:rsidSect="00CF3C3C">
          <w:footerReference w:type="default" r:id="rId22"/>
          <w:pgSz w:w="12240" w:h="15840"/>
          <w:pgMar w:top="851" w:right="851" w:bottom="851" w:left="1701" w:header="709" w:footer="709" w:gutter="0"/>
          <w:cols w:space="708"/>
          <w:docGrid w:linePitch="360"/>
        </w:sectPr>
      </w:pPr>
    </w:p>
    <w:p w:rsidR="00AA1F4F" w:rsidRPr="00EE1771" w:rsidRDefault="00AA1F4F" w:rsidP="00AD6E77">
      <w:pPr>
        <w:pStyle w:val="ListParagraph"/>
        <w:numPr>
          <w:ilvl w:val="0"/>
          <w:numId w:val="1"/>
        </w:numPr>
        <w:spacing w:after="0" w:line="276" w:lineRule="auto"/>
        <w:jc w:val="center"/>
        <w:outlineLvl w:val="0"/>
        <w:rPr>
          <w:rFonts w:asciiTheme="majorHAnsi" w:hAnsiTheme="majorHAnsi" w:cstheme="majorHAnsi"/>
          <w:b/>
          <w:sz w:val="28"/>
          <w:szCs w:val="28"/>
        </w:rPr>
      </w:pPr>
      <w:bookmarkStart w:id="31" w:name="_Toc10126102"/>
      <w:r w:rsidRPr="00EE1771">
        <w:rPr>
          <w:rFonts w:asciiTheme="majorHAnsi" w:hAnsiTheme="majorHAnsi" w:cstheme="majorHAnsi"/>
          <w:b/>
          <w:sz w:val="28"/>
          <w:szCs w:val="28"/>
        </w:rPr>
        <w:lastRenderedPageBreak/>
        <w:t>ANEXE</w:t>
      </w:r>
      <w:bookmarkEnd w:id="31"/>
    </w:p>
    <w:p w:rsidR="00AA1F4F" w:rsidRDefault="00AA1F4F" w:rsidP="00AA1F4F">
      <w:pPr>
        <w:spacing w:after="0" w:line="276" w:lineRule="auto"/>
        <w:jc w:val="right"/>
        <w:rPr>
          <w:rFonts w:asciiTheme="majorHAnsi" w:hAnsiTheme="majorHAnsi" w:cstheme="majorHAnsi"/>
          <w:b/>
          <w:sz w:val="24"/>
          <w:szCs w:val="24"/>
        </w:rPr>
      </w:pPr>
      <w:r w:rsidRPr="00CD0339">
        <w:rPr>
          <w:rFonts w:asciiTheme="majorHAnsi" w:hAnsiTheme="majorHAnsi" w:cstheme="majorHAnsi"/>
          <w:b/>
          <w:sz w:val="24"/>
          <w:szCs w:val="24"/>
        </w:rPr>
        <w:t>Anexa nr.1</w:t>
      </w:r>
    </w:p>
    <w:p w:rsidR="00AA1F4F" w:rsidRDefault="00AA1F4F" w:rsidP="00AA1F4F">
      <w:pPr>
        <w:spacing w:after="0" w:line="276" w:lineRule="auto"/>
        <w:jc w:val="center"/>
        <w:rPr>
          <w:rFonts w:asciiTheme="majorHAnsi" w:eastAsia="Times New Roman" w:hAnsiTheme="majorHAnsi" w:cstheme="majorHAnsi"/>
          <w:b/>
          <w:bCs/>
          <w:iCs/>
          <w:sz w:val="24"/>
          <w:szCs w:val="28"/>
          <w:lang w:eastAsia="ru-RU"/>
        </w:rPr>
      </w:pPr>
      <w:r w:rsidRPr="008847D6">
        <w:rPr>
          <w:rFonts w:asciiTheme="majorHAnsi" w:eastAsia="Times New Roman" w:hAnsiTheme="majorHAnsi" w:cstheme="majorHAnsi"/>
          <w:b/>
          <w:bCs/>
          <w:iCs/>
          <w:sz w:val="24"/>
          <w:szCs w:val="28"/>
          <w:lang w:eastAsia="ru-RU"/>
        </w:rPr>
        <w:t xml:space="preserve">Componența și formatul formularelor la Raportul anual privind executarea bugetului de stat </w:t>
      </w:r>
    </w:p>
    <w:p w:rsidR="00AA1F4F" w:rsidRPr="008847D6" w:rsidRDefault="00AA1F4F" w:rsidP="00AA1F4F">
      <w:pPr>
        <w:spacing w:after="0" w:line="276" w:lineRule="auto"/>
        <w:jc w:val="center"/>
        <w:rPr>
          <w:rFonts w:asciiTheme="majorHAnsi" w:eastAsia="Times New Roman" w:hAnsiTheme="majorHAnsi" w:cstheme="majorHAnsi"/>
          <w:b/>
          <w:bCs/>
          <w:iCs/>
          <w:sz w:val="28"/>
          <w:szCs w:val="28"/>
          <w:lang w:eastAsia="ru-RU"/>
        </w:rPr>
      </w:pPr>
      <w:r w:rsidRPr="008847D6">
        <w:rPr>
          <w:rFonts w:asciiTheme="majorHAnsi" w:eastAsia="Times New Roman" w:hAnsiTheme="majorHAnsi" w:cstheme="majorHAnsi"/>
          <w:b/>
          <w:bCs/>
          <w:iCs/>
          <w:sz w:val="24"/>
          <w:szCs w:val="28"/>
          <w:lang w:eastAsia="ru-RU"/>
        </w:rPr>
        <w:t xml:space="preserve">conform Anexei </w:t>
      </w:r>
      <w:r>
        <w:rPr>
          <w:rFonts w:asciiTheme="majorHAnsi" w:eastAsia="Times New Roman" w:hAnsiTheme="majorHAnsi" w:cstheme="majorHAnsi"/>
          <w:b/>
          <w:bCs/>
          <w:iCs/>
          <w:sz w:val="24"/>
          <w:szCs w:val="28"/>
          <w:lang w:eastAsia="ru-RU"/>
        </w:rPr>
        <w:t>nr.2 la Ordinul MF nr.32</w:t>
      </w:r>
      <w:r w:rsidRPr="008847D6">
        <w:rPr>
          <w:rFonts w:asciiTheme="majorHAnsi" w:eastAsia="Times New Roman" w:hAnsiTheme="majorHAnsi" w:cstheme="majorHAnsi"/>
          <w:b/>
          <w:bCs/>
          <w:iCs/>
          <w:sz w:val="24"/>
          <w:szCs w:val="28"/>
          <w:lang w:eastAsia="ru-RU"/>
        </w:rPr>
        <w:t xml:space="preserve"> din </w:t>
      </w:r>
      <w:r>
        <w:rPr>
          <w:rFonts w:asciiTheme="majorHAnsi" w:eastAsia="Times New Roman" w:hAnsiTheme="majorHAnsi" w:cstheme="majorHAnsi"/>
          <w:b/>
          <w:bCs/>
          <w:iCs/>
          <w:sz w:val="24"/>
          <w:szCs w:val="28"/>
          <w:lang w:eastAsia="ru-RU"/>
        </w:rPr>
        <w:t>19 februarie 2019</w:t>
      </w:r>
    </w:p>
    <w:tbl>
      <w:tblPr>
        <w:tblStyle w:val="TableGrid"/>
        <w:tblW w:w="13320" w:type="dxa"/>
        <w:tblLook w:val="04A0" w:firstRow="1" w:lastRow="0" w:firstColumn="1" w:lastColumn="0" w:noHBand="0" w:noVBand="1"/>
      </w:tblPr>
      <w:tblGrid>
        <w:gridCol w:w="1980"/>
        <w:gridCol w:w="11340"/>
      </w:tblGrid>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nr.1*</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indicatorilor generali și surselor de finanțare ale bugetului de stat (conform Anexei nr.1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nr.2*</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veniturilor bugetului de stat (conform Anexei nr.2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nr.3*</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bugetelor autorităților publice centrale (conform Anexei nr.3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nr.4*</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investițiilor capitale pe autoritățile publice centrale (conform Anexei nr.4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nr.4.1</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investițiilor capitale pe autoritățile publice centrale din contul resurselor generale și veniturilor colectate (conform Anexei nr.4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nr.4.2</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investițiilor capitale pe autoritățile publice centrale din contul proiectelor finanțate din surse externe (conform Anexei nr.4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nr.5*</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transferurile de la bugetul de stat către bugetele locale (conform Anexei nr.5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nr.5.1</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transferurile cu destinație specială de la bugetul de stat către bugetele locale (conform Anexei nr.5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ind w:right="-110"/>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nr.5.1.1</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transferurile cu destinație specială pentru asistența socială de la bugetul de stat către bugetele locale (conform Anexei nr.5 la Legea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nr.6</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cheltuielilor și activelor nefinanciare ale bugetului de stat sub aspectul clasificației economice</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nr.7*</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creanțele și datoriile la cheltuieli și active nefinanciare formate în autoritățile/instituțiile bugetare finanțate de la bugetul de stat conform clasificației economice</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nr.8*</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repartizarea și utilizarea mijloacelor fondului de rezervă al Guvernului</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nr.9*</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repartizarea și utilizarea mijloacelor fondului de intervenție al Guvernului</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nr.10*</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Bilanțul contabil privind executarea bugetului de stat</w:t>
            </w:r>
          </w:p>
        </w:tc>
      </w:tr>
      <w:tr w:rsidR="00AA1F4F" w:rsidRPr="00ED207D" w:rsidTr="00397B4C">
        <w:tc>
          <w:tcPr>
            <w:tcW w:w="1980" w:type="dxa"/>
            <w:tcBorders>
              <w:right w:val="single" w:sz="12" w:space="0" w:color="auto"/>
            </w:tcBorders>
          </w:tcPr>
          <w:p w:rsidR="00AA1F4F" w:rsidRPr="00D832A8" w:rsidRDefault="00AA1F4F" w:rsidP="00397B4C">
            <w:pPr>
              <w:spacing w:line="276" w:lineRule="auto"/>
              <w:rPr>
                <w:rFonts w:asciiTheme="majorHAnsi" w:eastAsia="Times New Roman" w:hAnsiTheme="majorHAnsi" w:cstheme="majorHAnsi"/>
                <w:b/>
                <w:bCs/>
                <w:i/>
                <w:iCs/>
                <w:sz w:val="24"/>
                <w:szCs w:val="28"/>
                <w:lang w:eastAsia="ru-RU"/>
              </w:rPr>
            </w:pPr>
            <w:r w:rsidRPr="00D832A8">
              <w:rPr>
                <w:rFonts w:asciiTheme="majorHAnsi" w:eastAsia="Times New Roman" w:hAnsiTheme="majorHAnsi" w:cstheme="majorHAnsi"/>
                <w:b/>
                <w:bCs/>
                <w:i/>
                <w:iCs/>
                <w:sz w:val="24"/>
                <w:szCs w:val="28"/>
                <w:lang w:eastAsia="ru-RU"/>
              </w:rPr>
              <w:t>Formularul nr.11</w:t>
            </w:r>
          </w:p>
        </w:tc>
        <w:tc>
          <w:tcPr>
            <w:tcW w:w="11340" w:type="dxa"/>
            <w:tcBorders>
              <w:left w:val="single" w:sz="12" w:space="0" w:color="auto"/>
            </w:tcBorders>
          </w:tcPr>
          <w:p w:rsidR="00AA1F4F" w:rsidRPr="00ED207D" w:rsidRDefault="00AA1F4F" w:rsidP="00397B4C">
            <w:pPr>
              <w:spacing w:line="276" w:lineRule="auto"/>
              <w:jc w:val="both"/>
              <w:rPr>
                <w:rFonts w:asciiTheme="majorHAnsi" w:eastAsia="Times New Roman" w:hAnsiTheme="majorHAnsi" w:cstheme="majorHAnsi"/>
                <w:bCs/>
                <w:iCs/>
                <w:sz w:val="24"/>
                <w:szCs w:val="28"/>
                <w:lang w:eastAsia="ru-RU"/>
              </w:rPr>
            </w:pPr>
            <w:r w:rsidRPr="00ED207D">
              <w:rPr>
                <w:rFonts w:asciiTheme="majorHAnsi" w:eastAsia="Times New Roman" w:hAnsiTheme="majorHAnsi" w:cstheme="majorHAnsi"/>
                <w:bCs/>
                <w:iCs/>
                <w:sz w:val="24"/>
                <w:szCs w:val="28"/>
                <w:lang w:eastAsia="ru-RU"/>
              </w:rPr>
              <w:t>Raport privind executarea bugetului public național</w:t>
            </w:r>
          </w:p>
        </w:tc>
      </w:tr>
    </w:tbl>
    <w:p w:rsidR="00AA1F4F" w:rsidRPr="00ED207D" w:rsidRDefault="00AA1F4F" w:rsidP="00AA1F4F">
      <w:pPr>
        <w:spacing w:after="0" w:line="276" w:lineRule="auto"/>
        <w:jc w:val="both"/>
        <w:rPr>
          <w:rFonts w:asciiTheme="majorHAnsi" w:eastAsia="Times New Roman" w:hAnsiTheme="majorHAnsi" w:cstheme="majorHAnsi"/>
          <w:bCs/>
          <w:iCs/>
          <w:sz w:val="20"/>
          <w:szCs w:val="28"/>
          <w:lang w:eastAsia="ru-RU"/>
        </w:rPr>
      </w:pPr>
      <w:r w:rsidRPr="00ED207D">
        <w:rPr>
          <w:rFonts w:asciiTheme="majorHAnsi" w:eastAsia="Times New Roman" w:hAnsiTheme="majorHAnsi" w:cstheme="majorHAnsi"/>
          <w:b/>
          <w:bCs/>
          <w:i/>
          <w:iCs/>
          <w:sz w:val="20"/>
          <w:szCs w:val="28"/>
          <w:lang w:eastAsia="ru-RU"/>
        </w:rPr>
        <w:lastRenderedPageBreak/>
        <w:t>Notă:</w:t>
      </w:r>
      <w:r w:rsidRPr="00ED207D">
        <w:rPr>
          <w:rFonts w:asciiTheme="majorHAnsi" w:eastAsia="Times New Roman" w:hAnsiTheme="majorHAnsi" w:cstheme="majorHAnsi"/>
          <w:bCs/>
          <w:iCs/>
          <w:sz w:val="20"/>
          <w:szCs w:val="28"/>
          <w:lang w:eastAsia="ru-RU"/>
        </w:rPr>
        <w:t xml:space="preserve"> Cu asterisc (*) sunt marcate formularele Rapoartelor, parte componentă a Raportului privind executarea bugetului de stat pe anul 2018, testate de către audit sub aspect financiar și regulamentar.</w:t>
      </w:r>
    </w:p>
    <w:p w:rsidR="00AA1F4F" w:rsidRDefault="00AA1F4F" w:rsidP="000F2FF1">
      <w:pPr>
        <w:spacing w:after="0" w:line="276" w:lineRule="auto"/>
        <w:jc w:val="center"/>
        <w:rPr>
          <w:rFonts w:asciiTheme="majorHAnsi" w:hAnsiTheme="majorHAnsi" w:cstheme="majorHAnsi"/>
          <w:b/>
          <w:sz w:val="24"/>
          <w:szCs w:val="24"/>
        </w:rPr>
      </w:pPr>
    </w:p>
    <w:p w:rsidR="00AA1F4F" w:rsidRPr="00CD0339" w:rsidRDefault="00AA1F4F" w:rsidP="00AA1F4F">
      <w:pPr>
        <w:spacing w:after="0" w:line="276" w:lineRule="auto"/>
        <w:jc w:val="right"/>
        <w:rPr>
          <w:rFonts w:asciiTheme="majorHAnsi" w:hAnsiTheme="majorHAnsi" w:cstheme="majorHAnsi"/>
          <w:b/>
          <w:sz w:val="24"/>
          <w:szCs w:val="24"/>
        </w:rPr>
      </w:pPr>
      <w:r>
        <w:rPr>
          <w:rFonts w:asciiTheme="majorHAnsi" w:hAnsiTheme="majorHAnsi" w:cstheme="majorHAnsi"/>
          <w:b/>
          <w:sz w:val="24"/>
          <w:szCs w:val="24"/>
        </w:rPr>
        <w:t>Anexa nr.2</w:t>
      </w:r>
    </w:p>
    <w:tbl>
      <w:tblPr>
        <w:tblW w:w="13590" w:type="dxa"/>
        <w:tblLayout w:type="fixed"/>
        <w:tblLook w:val="04A0" w:firstRow="1" w:lastRow="0" w:firstColumn="1" w:lastColumn="0" w:noHBand="0" w:noVBand="1"/>
      </w:tblPr>
      <w:tblGrid>
        <w:gridCol w:w="2125"/>
        <w:gridCol w:w="1272"/>
        <w:gridCol w:w="1141"/>
        <w:gridCol w:w="1134"/>
        <w:gridCol w:w="1141"/>
        <w:gridCol w:w="1024"/>
        <w:gridCol w:w="1097"/>
        <w:gridCol w:w="1131"/>
        <w:gridCol w:w="1261"/>
        <w:gridCol w:w="1058"/>
        <w:gridCol w:w="1142"/>
        <w:gridCol w:w="64"/>
      </w:tblGrid>
      <w:tr w:rsidR="00AA1F4F" w:rsidRPr="00CD0339" w:rsidTr="00397B4C">
        <w:trPr>
          <w:trHeight w:val="348"/>
        </w:trPr>
        <w:tc>
          <w:tcPr>
            <w:tcW w:w="13590" w:type="dxa"/>
            <w:gridSpan w:val="12"/>
            <w:tcBorders>
              <w:top w:val="nil"/>
              <w:left w:val="nil"/>
              <w:bottom w:val="nil"/>
              <w:right w:val="nil"/>
            </w:tcBorders>
            <w:shd w:val="clear" w:color="auto" w:fill="auto"/>
            <w:noWrap/>
            <w:vAlign w:val="bottom"/>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4"/>
                <w:szCs w:val="24"/>
                <w:lang w:val="ro-MD"/>
              </w:rPr>
            </w:pPr>
            <w:r w:rsidRPr="00CD0339">
              <w:rPr>
                <w:rFonts w:asciiTheme="majorHAnsi" w:eastAsia="Times New Roman" w:hAnsiTheme="majorHAnsi" w:cstheme="majorHAnsi"/>
                <w:b/>
                <w:bCs/>
                <w:color w:val="000000"/>
                <w:sz w:val="24"/>
                <w:szCs w:val="24"/>
                <w:lang w:val="ro-MD"/>
              </w:rPr>
              <w:t>Analiza modificărilor operate la Legea bugetului de stat pentru anul 2018</w:t>
            </w:r>
          </w:p>
        </w:tc>
      </w:tr>
      <w:tr w:rsidR="00AD6E77" w:rsidRPr="00CD0339" w:rsidTr="00DA557E">
        <w:trPr>
          <w:gridAfter w:val="1"/>
          <w:wAfter w:w="64" w:type="dxa"/>
          <w:trHeight w:val="288"/>
        </w:trPr>
        <w:tc>
          <w:tcPr>
            <w:tcW w:w="2125"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jc w:val="center"/>
              <w:rPr>
                <w:rFonts w:asciiTheme="majorHAnsi" w:eastAsia="Times New Roman" w:hAnsiTheme="majorHAnsi" w:cstheme="majorHAnsi"/>
                <w:b/>
                <w:bCs/>
                <w:color w:val="000000"/>
                <w:sz w:val="20"/>
                <w:szCs w:val="20"/>
                <w:lang w:val="ro-MD"/>
              </w:rPr>
            </w:pPr>
          </w:p>
        </w:tc>
        <w:tc>
          <w:tcPr>
            <w:tcW w:w="1272"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141"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134"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141"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024"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097"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131"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1261" w:type="dxa"/>
            <w:tcBorders>
              <w:top w:val="nil"/>
              <w:left w:val="nil"/>
              <w:bottom w:val="nil"/>
              <w:right w:val="nil"/>
            </w:tcBorders>
            <w:shd w:val="clear" w:color="auto" w:fill="auto"/>
            <w:noWrap/>
            <w:vAlign w:val="bottom"/>
            <w:hideMark/>
          </w:tcPr>
          <w:p w:rsidR="00AD6E77" w:rsidRPr="00CD0339" w:rsidRDefault="00AD6E77" w:rsidP="00397B4C">
            <w:pPr>
              <w:spacing w:after="0" w:line="240" w:lineRule="auto"/>
              <w:rPr>
                <w:rFonts w:asciiTheme="majorHAnsi" w:eastAsia="Times New Roman" w:hAnsiTheme="majorHAnsi" w:cstheme="majorHAnsi"/>
                <w:sz w:val="20"/>
                <w:szCs w:val="20"/>
                <w:lang w:val="ro-MD"/>
              </w:rPr>
            </w:pPr>
          </w:p>
        </w:tc>
        <w:tc>
          <w:tcPr>
            <w:tcW w:w="2200" w:type="dxa"/>
            <w:gridSpan w:val="2"/>
            <w:tcBorders>
              <w:top w:val="nil"/>
              <w:left w:val="nil"/>
              <w:bottom w:val="nil"/>
              <w:right w:val="nil"/>
            </w:tcBorders>
            <w:shd w:val="clear" w:color="auto" w:fill="auto"/>
            <w:noWrap/>
            <w:vAlign w:val="bottom"/>
            <w:hideMark/>
          </w:tcPr>
          <w:p w:rsidR="00AD6E77" w:rsidRPr="00AD6E77" w:rsidRDefault="00AD6E77" w:rsidP="00AD6E77">
            <w:pPr>
              <w:spacing w:after="0" w:line="240" w:lineRule="auto"/>
              <w:jc w:val="right"/>
              <w:rPr>
                <w:rFonts w:asciiTheme="majorHAnsi" w:eastAsia="Times New Roman" w:hAnsiTheme="majorHAnsi" w:cstheme="majorHAnsi"/>
                <w:b/>
                <w:bCs/>
                <w:color w:val="000000"/>
                <w:sz w:val="24"/>
                <w:szCs w:val="24"/>
                <w:lang w:val="ro-MD"/>
              </w:rPr>
            </w:pPr>
            <w:r w:rsidRPr="00AD6E77">
              <w:rPr>
                <w:rFonts w:asciiTheme="majorHAnsi" w:eastAsia="Times New Roman" w:hAnsiTheme="majorHAnsi" w:cstheme="majorHAnsi"/>
                <w:b/>
                <w:bCs/>
                <w:color w:val="000000"/>
                <w:sz w:val="24"/>
                <w:szCs w:val="24"/>
                <w:lang w:val="ro-MD"/>
              </w:rPr>
              <w:t>(</w:t>
            </w:r>
            <w:r>
              <w:rPr>
                <w:rFonts w:asciiTheme="majorHAnsi" w:eastAsia="Times New Roman" w:hAnsiTheme="majorHAnsi" w:cstheme="majorHAnsi"/>
                <w:b/>
                <w:bCs/>
                <w:color w:val="000000"/>
                <w:sz w:val="24"/>
                <w:szCs w:val="24"/>
                <w:lang w:val="ro-MD"/>
              </w:rPr>
              <w:t xml:space="preserve">mil. </w:t>
            </w:r>
            <w:r w:rsidRPr="00AD6E77">
              <w:rPr>
                <w:rFonts w:asciiTheme="majorHAnsi" w:eastAsia="Times New Roman" w:hAnsiTheme="majorHAnsi" w:cstheme="majorHAnsi"/>
                <w:b/>
                <w:bCs/>
                <w:color w:val="000000"/>
                <w:sz w:val="24"/>
                <w:szCs w:val="24"/>
                <w:lang w:val="ro-MD"/>
              </w:rPr>
              <w:t>MDL)</w:t>
            </w:r>
          </w:p>
        </w:tc>
      </w:tr>
      <w:tr w:rsidR="00AA1F4F" w:rsidRPr="00CD0339" w:rsidTr="00397B4C">
        <w:trPr>
          <w:gridAfter w:val="1"/>
          <w:wAfter w:w="64" w:type="dxa"/>
          <w:trHeight w:val="548"/>
        </w:trPr>
        <w:tc>
          <w:tcPr>
            <w:tcW w:w="21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Indicatori</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Aprobat</w:t>
            </w:r>
          </w:p>
        </w:tc>
        <w:tc>
          <w:tcPr>
            <w:tcW w:w="5537" w:type="dxa"/>
            <w:gridSpan w:val="5"/>
            <w:tcBorders>
              <w:top w:val="single" w:sz="4" w:space="0" w:color="auto"/>
              <w:left w:val="nil"/>
              <w:bottom w:val="nil"/>
              <w:right w:val="single" w:sz="4" w:space="0" w:color="000000"/>
            </w:tcBorders>
            <w:shd w:val="clear" w:color="auto" w:fill="auto"/>
            <w:noWrap/>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Modificări operate de Parlament</w:t>
            </w:r>
          </w:p>
        </w:tc>
        <w:tc>
          <w:tcPr>
            <w:tcW w:w="1131" w:type="dxa"/>
            <w:tcBorders>
              <w:top w:val="single" w:sz="4" w:space="0" w:color="auto"/>
              <w:left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Definitivat în temeiul art.18</w:t>
            </w:r>
          </w:p>
        </w:tc>
        <w:tc>
          <w:tcPr>
            <w:tcW w:w="3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Devieri</w:t>
            </w:r>
          </w:p>
        </w:tc>
      </w:tr>
      <w:tr w:rsidR="00AA1F4F" w:rsidRPr="00CD0339" w:rsidTr="00397B4C">
        <w:trPr>
          <w:gridAfter w:val="1"/>
          <w:wAfter w:w="64" w:type="dxa"/>
          <w:trHeight w:val="936"/>
        </w:trPr>
        <w:tc>
          <w:tcPr>
            <w:tcW w:w="2125" w:type="dxa"/>
            <w:vMerge/>
            <w:tcBorders>
              <w:top w:val="single" w:sz="4" w:space="0" w:color="auto"/>
              <w:left w:val="single" w:sz="4" w:space="0" w:color="auto"/>
              <w:bottom w:val="single" w:sz="4" w:space="0" w:color="000000"/>
              <w:right w:val="single" w:sz="4" w:space="0" w:color="auto"/>
            </w:tcBorders>
            <w:vAlign w:val="center"/>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p>
        </w:tc>
        <w:tc>
          <w:tcPr>
            <w:tcW w:w="1272"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Legea nr.289 din 15.12.2017</w:t>
            </w:r>
          </w:p>
        </w:tc>
        <w:tc>
          <w:tcPr>
            <w:tcW w:w="1141" w:type="dxa"/>
            <w:tcBorders>
              <w:top w:val="single" w:sz="4" w:space="0" w:color="auto"/>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LP 101 din 07.06.18</w:t>
            </w:r>
          </w:p>
        </w:tc>
        <w:tc>
          <w:tcPr>
            <w:tcW w:w="1134" w:type="dxa"/>
            <w:tcBorders>
              <w:top w:val="single" w:sz="4" w:space="0" w:color="auto"/>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LP 118 din 05.07.18</w:t>
            </w:r>
          </w:p>
        </w:tc>
        <w:tc>
          <w:tcPr>
            <w:tcW w:w="1141" w:type="dxa"/>
            <w:tcBorders>
              <w:top w:val="single" w:sz="4" w:space="0" w:color="auto"/>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 xml:space="preserve"> LP 172 din 27.07.18</w:t>
            </w:r>
          </w:p>
        </w:tc>
        <w:tc>
          <w:tcPr>
            <w:tcW w:w="1024" w:type="dxa"/>
            <w:tcBorders>
              <w:top w:val="single" w:sz="4" w:space="0" w:color="auto"/>
              <w:left w:val="nil"/>
              <w:bottom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LP 271 din 23.11.18</w:t>
            </w:r>
          </w:p>
        </w:tc>
        <w:tc>
          <w:tcPr>
            <w:tcW w:w="1097" w:type="dxa"/>
            <w:tcBorders>
              <w:top w:val="single" w:sz="4" w:space="0" w:color="auto"/>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LP 313 din 30.11.18</w:t>
            </w:r>
          </w:p>
        </w:tc>
        <w:tc>
          <w:tcPr>
            <w:tcW w:w="1131" w:type="dxa"/>
            <w:tcBorders>
              <w:left w:val="single" w:sz="4" w:space="0" w:color="auto"/>
              <w:bottom w:val="single" w:sz="4" w:space="0" w:color="000000"/>
              <w:right w:val="single" w:sz="4" w:space="0" w:color="auto"/>
            </w:tcBorders>
            <w:vAlign w:val="center"/>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p>
        </w:tc>
        <w:tc>
          <w:tcPr>
            <w:tcW w:w="1261"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683AF5">
              <w:rPr>
                <w:rFonts w:asciiTheme="majorHAnsi" w:eastAsia="Times New Roman" w:hAnsiTheme="majorHAnsi" w:cstheme="majorHAnsi"/>
                <w:b/>
                <w:bCs/>
                <w:color w:val="000000"/>
                <w:sz w:val="20"/>
                <w:szCs w:val="20"/>
                <w:lang w:val="ro-MD"/>
              </w:rPr>
              <w:t>Ultima modificare</w:t>
            </w:r>
            <w:r w:rsidRPr="00CD0339">
              <w:rPr>
                <w:rFonts w:asciiTheme="majorHAnsi" w:eastAsia="Times New Roman" w:hAnsiTheme="majorHAnsi" w:cstheme="majorHAnsi"/>
                <w:b/>
                <w:bCs/>
                <w:color w:val="000000"/>
                <w:sz w:val="20"/>
                <w:szCs w:val="20"/>
                <w:lang w:val="ro-MD"/>
              </w:rPr>
              <w:t>/aprobat</w:t>
            </w:r>
          </w:p>
        </w:tc>
        <w:tc>
          <w:tcPr>
            <w:tcW w:w="1058"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Definitivat/</w:t>
            </w:r>
          </w:p>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683AF5">
              <w:rPr>
                <w:rFonts w:asciiTheme="majorHAnsi" w:eastAsia="Times New Roman" w:hAnsiTheme="majorHAnsi" w:cstheme="majorHAnsi"/>
                <w:b/>
                <w:bCs/>
                <w:color w:val="000000"/>
                <w:sz w:val="20"/>
                <w:szCs w:val="20"/>
                <w:lang w:val="ro-MD"/>
              </w:rPr>
              <w:t>Ultima modificare</w:t>
            </w:r>
          </w:p>
        </w:tc>
        <w:tc>
          <w:tcPr>
            <w:tcW w:w="1142"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Definitivat</w:t>
            </w:r>
          </w:p>
          <w:p w:rsidR="00AA1F4F" w:rsidRPr="00CD0339" w:rsidRDefault="00AA1F4F" w:rsidP="00397B4C">
            <w:pPr>
              <w:spacing w:after="0" w:line="240" w:lineRule="auto"/>
              <w:jc w:val="center"/>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/Aprobat</w:t>
            </w:r>
          </w:p>
        </w:tc>
      </w:tr>
      <w:tr w:rsidR="00AA1F4F" w:rsidRPr="00CD0339" w:rsidTr="00397B4C">
        <w:trPr>
          <w:gridAfter w:val="1"/>
          <w:wAfter w:w="64" w:type="dxa"/>
          <w:trHeight w:val="24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1</w:t>
            </w:r>
          </w:p>
        </w:tc>
        <w:tc>
          <w:tcPr>
            <w:tcW w:w="1272"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2</w:t>
            </w:r>
          </w:p>
        </w:tc>
        <w:tc>
          <w:tcPr>
            <w:tcW w:w="1141" w:type="dxa"/>
            <w:tcBorders>
              <w:top w:val="nil"/>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3</w:t>
            </w:r>
          </w:p>
        </w:tc>
        <w:tc>
          <w:tcPr>
            <w:tcW w:w="1134" w:type="dxa"/>
            <w:tcBorders>
              <w:top w:val="nil"/>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4</w:t>
            </w:r>
          </w:p>
        </w:tc>
        <w:tc>
          <w:tcPr>
            <w:tcW w:w="1141" w:type="dxa"/>
            <w:tcBorders>
              <w:top w:val="nil"/>
              <w:left w:val="nil"/>
              <w:bottom w:val="single" w:sz="4" w:space="0" w:color="auto"/>
              <w:right w:val="nil"/>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5</w:t>
            </w:r>
          </w:p>
        </w:tc>
        <w:tc>
          <w:tcPr>
            <w:tcW w:w="1024"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6</w:t>
            </w:r>
          </w:p>
        </w:tc>
        <w:tc>
          <w:tcPr>
            <w:tcW w:w="1097"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7</w:t>
            </w:r>
          </w:p>
        </w:tc>
        <w:tc>
          <w:tcPr>
            <w:tcW w:w="1131" w:type="dxa"/>
            <w:tcBorders>
              <w:top w:val="nil"/>
              <w:left w:val="nil"/>
              <w:bottom w:val="single" w:sz="4" w:space="0" w:color="auto"/>
              <w:right w:val="single" w:sz="4" w:space="0" w:color="auto"/>
            </w:tcBorders>
            <w:shd w:val="clear" w:color="auto" w:fill="auto"/>
            <w:vAlign w:val="center"/>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8</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9=7-2</w:t>
            </w:r>
          </w:p>
        </w:tc>
        <w:tc>
          <w:tcPr>
            <w:tcW w:w="1058"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10=8-7</w:t>
            </w:r>
          </w:p>
        </w:tc>
        <w:tc>
          <w:tcPr>
            <w:tcW w:w="114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center"/>
              <w:rPr>
                <w:rFonts w:asciiTheme="majorHAnsi" w:eastAsia="Times New Roman" w:hAnsiTheme="majorHAnsi" w:cstheme="majorHAnsi"/>
                <w:i/>
                <w:iCs/>
                <w:color w:val="000000"/>
                <w:sz w:val="18"/>
                <w:szCs w:val="18"/>
                <w:lang w:val="ro-MD"/>
              </w:rPr>
            </w:pPr>
            <w:r w:rsidRPr="00CD0339">
              <w:rPr>
                <w:rFonts w:asciiTheme="majorHAnsi" w:eastAsia="Times New Roman" w:hAnsiTheme="majorHAnsi" w:cstheme="majorHAnsi"/>
                <w:i/>
                <w:iCs/>
                <w:color w:val="000000"/>
                <w:sz w:val="18"/>
                <w:szCs w:val="18"/>
                <w:lang w:val="ro-MD"/>
              </w:rPr>
              <w:t>11=8-2</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 Venituri</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36.618,50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36.922,00</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36.922,00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36.922,00</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36.922,00</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36.922,00</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36969,4</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303,5</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+47,4</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+350,9</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+303,50</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+303,50</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+303,50</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+303,50</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+303,50</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+47,4</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48"/>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II. Cheltuieli și active nefinanciare, total</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41.332,40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41.984,51</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41.984,51</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41.984,51</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41.984,51</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41.984,51</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42031,9</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652,1</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+47,4</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+699,5</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+652,11</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+652,11</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+652,11</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+652,11</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+652,11</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+47,4</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inclusiv cheltuieli de personal</w:t>
            </w:r>
          </w:p>
        </w:tc>
        <w:tc>
          <w:tcPr>
            <w:tcW w:w="1272"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6.717,23</w:t>
            </w:r>
          </w:p>
        </w:tc>
        <w:tc>
          <w:tcPr>
            <w:tcW w:w="1141"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6.827,72</w:t>
            </w:r>
          </w:p>
        </w:tc>
        <w:tc>
          <w:tcPr>
            <w:tcW w:w="1134"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6.827,72</w:t>
            </w:r>
          </w:p>
        </w:tc>
        <w:tc>
          <w:tcPr>
            <w:tcW w:w="1141"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6.850,06</w:t>
            </w:r>
          </w:p>
        </w:tc>
        <w:tc>
          <w:tcPr>
            <w:tcW w:w="1024"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6.850,06</w:t>
            </w:r>
          </w:p>
        </w:tc>
        <w:tc>
          <w:tcPr>
            <w:tcW w:w="1097"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6.850,06</w:t>
            </w:r>
          </w:p>
        </w:tc>
        <w:tc>
          <w:tcPr>
            <w:tcW w:w="1131" w:type="dxa"/>
            <w:tcBorders>
              <w:top w:val="nil"/>
              <w:left w:val="nil"/>
              <w:bottom w:val="single" w:sz="4" w:space="0" w:color="auto"/>
              <w:right w:val="single" w:sz="4" w:space="0" w:color="auto"/>
            </w:tcBorders>
            <w:shd w:val="clear" w:color="000000" w:fill="FFFFFF"/>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6750,0</w:t>
            </w:r>
          </w:p>
        </w:tc>
        <w:tc>
          <w:tcPr>
            <w:tcW w:w="1261" w:type="dxa"/>
            <w:tcBorders>
              <w:top w:val="nil"/>
              <w:left w:val="nil"/>
              <w:bottom w:val="single" w:sz="4" w:space="0" w:color="auto"/>
              <w:right w:val="single" w:sz="4" w:space="0" w:color="auto"/>
            </w:tcBorders>
            <w:shd w:val="clear" w:color="000000" w:fill="FFFFFF"/>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w:t>
            </w:r>
            <w:r w:rsidRPr="00683AF5">
              <w:rPr>
                <w:rFonts w:asciiTheme="majorHAnsi" w:eastAsia="Times New Roman" w:hAnsiTheme="majorHAnsi" w:cstheme="majorHAnsi"/>
                <w:i/>
                <w:iCs/>
                <w:color w:val="000000"/>
                <w:sz w:val="20"/>
                <w:szCs w:val="20"/>
                <w:lang w:val="ro-MD"/>
              </w:rPr>
              <w:t>132,8</w:t>
            </w:r>
          </w:p>
        </w:tc>
        <w:tc>
          <w:tcPr>
            <w:tcW w:w="1058" w:type="dxa"/>
            <w:tcBorders>
              <w:top w:val="nil"/>
              <w:left w:val="nil"/>
              <w:bottom w:val="single" w:sz="4" w:space="0" w:color="auto"/>
              <w:right w:val="single" w:sz="4" w:space="0" w:color="auto"/>
            </w:tcBorders>
            <w:shd w:val="clear" w:color="000000" w:fill="FFFFFF"/>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-100,1</w:t>
            </w:r>
          </w:p>
        </w:tc>
        <w:tc>
          <w:tcPr>
            <w:tcW w:w="1142" w:type="dxa"/>
            <w:tcBorders>
              <w:top w:val="nil"/>
              <w:left w:val="nil"/>
              <w:bottom w:val="single" w:sz="4" w:space="0" w:color="auto"/>
              <w:right w:val="single" w:sz="4" w:space="0" w:color="auto"/>
            </w:tcBorders>
            <w:shd w:val="clear" w:color="000000" w:fill="FFFFFF"/>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+32,8</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+110,49</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+110,49</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+132,83</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+132,83</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+132,83</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-100,1</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III. Sold bugetar</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-4.713,90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-5062,5</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348,6</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0,0</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+348,6</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348,60</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348,60</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348,60</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348,60</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348,60</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36"/>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IV. Sursele de finanțare, inclusiv:</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4.713,90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5.062,50</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5062,5</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348,6</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0,0</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+348,6</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creanțe interne</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960,98</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1.204,22</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1.204,22</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1.204,22</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1.204,22</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1.204,22</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1204,2</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243,2</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0,0</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+243,2</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243,24</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243,24</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243,24</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243,24</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243,24</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creanțe externe</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0,86</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0,86</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0,00</w:t>
            </w:r>
          </w:p>
        </w:tc>
        <w:tc>
          <w:tcPr>
            <w:tcW w:w="1058"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0,00</w:t>
            </w:r>
          </w:p>
        </w:tc>
        <w:tc>
          <w:tcPr>
            <w:tcW w:w="114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0,00</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0,00</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0,00</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0,00</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0,00</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0,00</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t>datorii</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5.143,62</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5.466,57</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5.466,57</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5.466,57</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5.466,57</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5.466,57</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4966,6</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+322,95</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-500,0</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-177,0</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322,95</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322,95</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322,95</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322,95</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322,95</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-500,0</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AA1F4F" w:rsidRPr="00CD0339" w:rsidRDefault="00AA1F4F" w:rsidP="00397B4C">
            <w:pPr>
              <w:spacing w:after="0" w:line="240" w:lineRule="auto"/>
              <w:rPr>
                <w:rFonts w:asciiTheme="majorHAnsi" w:eastAsia="Times New Roman" w:hAnsiTheme="majorHAnsi" w:cstheme="majorHAnsi"/>
                <w:b/>
                <w:bCs/>
                <w:color w:val="000000"/>
                <w:sz w:val="20"/>
                <w:szCs w:val="20"/>
                <w:lang w:val="ro-MD"/>
              </w:rPr>
            </w:pPr>
            <w:r w:rsidRPr="00CD0339">
              <w:rPr>
                <w:rFonts w:asciiTheme="majorHAnsi" w:eastAsia="Times New Roman" w:hAnsiTheme="majorHAnsi" w:cstheme="majorHAnsi"/>
                <w:b/>
                <w:bCs/>
                <w:color w:val="000000"/>
                <w:sz w:val="20"/>
                <w:szCs w:val="20"/>
                <w:lang w:val="ro-MD"/>
              </w:rPr>
              <w:lastRenderedPageBreak/>
              <w:t>modificarea soldului de mijloace bănești</w:t>
            </w:r>
          </w:p>
        </w:tc>
        <w:tc>
          <w:tcPr>
            <w:tcW w:w="1272"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-417,98</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-584,32</w:t>
            </w:r>
          </w:p>
        </w:tc>
        <w:tc>
          <w:tcPr>
            <w:tcW w:w="113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-584,32</w:t>
            </w:r>
          </w:p>
        </w:tc>
        <w:tc>
          <w:tcPr>
            <w:tcW w:w="114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-584,32</w:t>
            </w:r>
          </w:p>
        </w:tc>
        <w:tc>
          <w:tcPr>
            <w:tcW w:w="1024"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-584,32</w:t>
            </w:r>
          </w:p>
        </w:tc>
        <w:tc>
          <w:tcPr>
            <w:tcW w:w="1097"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-584,32</w:t>
            </w:r>
          </w:p>
        </w:tc>
        <w:tc>
          <w:tcPr>
            <w:tcW w:w="1131"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-84,3</w:t>
            </w:r>
          </w:p>
        </w:tc>
        <w:tc>
          <w:tcPr>
            <w:tcW w:w="1261" w:type="dxa"/>
            <w:tcBorders>
              <w:top w:val="nil"/>
              <w:left w:val="nil"/>
              <w:bottom w:val="single" w:sz="4" w:space="0" w:color="auto"/>
              <w:right w:val="single" w:sz="4" w:space="0" w:color="auto"/>
            </w:tcBorders>
            <w:shd w:val="clear" w:color="auto" w:fill="auto"/>
            <w:noWrap/>
            <w:vAlign w:val="bottom"/>
            <w:hideMark/>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CD0339">
              <w:rPr>
                <w:rFonts w:asciiTheme="majorHAnsi" w:eastAsia="Times New Roman" w:hAnsiTheme="majorHAnsi" w:cstheme="majorHAnsi"/>
                <w:color w:val="000000"/>
                <w:sz w:val="20"/>
                <w:szCs w:val="20"/>
                <w:lang w:val="ro-MD"/>
              </w:rPr>
              <w:t>+</w:t>
            </w:r>
            <w:r w:rsidRPr="00683AF5">
              <w:rPr>
                <w:rFonts w:asciiTheme="majorHAnsi" w:eastAsia="Times New Roman" w:hAnsiTheme="majorHAnsi" w:cstheme="majorHAnsi"/>
                <w:color w:val="000000"/>
                <w:sz w:val="20"/>
                <w:szCs w:val="20"/>
                <w:lang w:val="ro-MD"/>
              </w:rPr>
              <w:t>166,3</w:t>
            </w:r>
          </w:p>
        </w:tc>
        <w:tc>
          <w:tcPr>
            <w:tcW w:w="1058"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-500,0</w:t>
            </w:r>
          </w:p>
        </w:tc>
        <w:tc>
          <w:tcPr>
            <w:tcW w:w="1142" w:type="dxa"/>
            <w:tcBorders>
              <w:top w:val="nil"/>
              <w:left w:val="nil"/>
              <w:bottom w:val="single" w:sz="4" w:space="0" w:color="auto"/>
              <w:right w:val="single" w:sz="4" w:space="0" w:color="auto"/>
            </w:tcBorders>
            <w:shd w:val="clear" w:color="auto" w:fill="auto"/>
            <w:noWrap/>
            <w:vAlign w:val="bottom"/>
          </w:tcPr>
          <w:p w:rsidR="00AA1F4F" w:rsidRPr="00CD0339" w:rsidRDefault="00AA1F4F" w:rsidP="00397B4C">
            <w:pPr>
              <w:spacing w:after="0" w:line="240" w:lineRule="auto"/>
              <w:jc w:val="right"/>
              <w:rPr>
                <w:rFonts w:asciiTheme="majorHAnsi" w:eastAsia="Times New Roman" w:hAnsiTheme="majorHAnsi" w:cstheme="majorHAnsi"/>
                <w:color w:val="000000"/>
                <w:sz w:val="20"/>
                <w:szCs w:val="20"/>
                <w:lang w:val="ro-MD"/>
              </w:rPr>
            </w:pPr>
            <w:r w:rsidRPr="00683AF5">
              <w:rPr>
                <w:rFonts w:asciiTheme="majorHAnsi" w:eastAsia="Times New Roman" w:hAnsiTheme="majorHAnsi" w:cstheme="majorHAnsi"/>
                <w:color w:val="000000"/>
                <w:sz w:val="20"/>
                <w:szCs w:val="20"/>
                <w:lang w:val="ro-MD"/>
              </w:rPr>
              <w:t>-333,7</w:t>
            </w:r>
          </w:p>
        </w:tc>
      </w:tr>
      <w:tr w:rsidR="00AA1F4F" w:rsidRPr="00CD0339" w:rsidTr="00397B4C">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modificat</w:t>
            </w:r>
          </w:p>
        </w:tc>
        <w:tc>
          <w:tcPr>
            <w:tcW w:w="127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166,34</w:t>
            </w:r>
          </w:p>
        </w:tc>
        <w:tc>
          <w:tcPr>
            <w:tcW w:w="113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166,34</w:t>
            </w:r>
          </w:p>
        </w:tc>
        <w:tc>
          <w:tcPr>
            <w:tcW w:w="114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166,34</w:t>
            </w:r>
          </w:p>
        </w:tc>
        <w:tc>
          <w:tcPr>
            <w:tcW w:w="1024"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166,34</w:t>
            </w:r>
          </w:p>
        </w:tc>
        <w:tc>
          <w:tcPr>
            <w:tcW w:w="1097"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166,34</w:t>
            </w:r>
          </w:p>
        </w:tc>
        <w:tc>
          <w:tcPr>
            <w:tcW w:w="1131" w:type="dxa"/>
            <w:tcBorders>
              <w:top w:val="nil"/>
              <w:left w:val="nil"/>
              <w:bottom w:val="single" w:sz="4" w:space="0" w:color="auto"/>
              <w:right w:val="single" w:sz="4" w:space="0" w:color="auto"/>
            </w:tcBorders>
            <w:shd w:val="clear" w:color="000000" w:fill="F2F2F2"/>
            <w:noWrap/>
            <w:vAlign w:val="bottom"/>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683AF5">
              <w:rPr>
                <w:rFonts w:asciiTheme="majorHAnsi" w:eastAsia="Times New Roman" w:hAnsiTheme="majorHAnsi" w:cstheme="majorHAnsi"/>
                <w:i/>
                <w:iCs/>
                <w:color w:val="000000"/>
                <w:sz w:val="20"/>
                <w:szCs w:val="20"/>
                <w:lang w:val="ro-MD"/>
              </w:rPr>
              <w:t>-500,0</w:t>
            </w:r>
          </w:p>
        </w:tc>
        <w:tc>
          <w:tcPr>
            <w:tcW w:w="1261"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A1F4F" w:rsidRPr="00CD0339" w:rsidRDefault="00AA1F4F" w:rsidP="00397B4C">
            <w:pPr>
              <w:spacing w:after="0" w:line="240" w:lineRule="auto"/>
              <w:jc w:val="right"/>
              <w:rPr>
                <w:rFonts w:asciiTheme="majorHAnsi" w:eastAsia="Times New Roman" w:hAnsiTheme="majorHAnsi" w:cstheme="majorHAnsi"/>
                <w:i/>
                <w:iCs/>
                <w:color w:val="000000"/>
                <w:sz w:val="20"/>
                <w:szCs w:val="20"/>
                <w:lang w:val="ro-MD"/>
              </w:rPr>
            </w:pPr>
            <w:r w:rsidRPr="00CD0339">
              <w:rPr>
                <w:rFonts w:asciiTheme="majorHAnsi" w:eastAsia="Times New Roman" w:hAnsiTheme="majorHAnsi" w:cstheme="majorHAnsi"/>
                <w:i/>
                <w:iCs/>
                <w:color w:val="000000"/>
                <w:sz w:val="20"/>
                <w:szCs w:val="20"/>
                <w:lang w:val="ro-MD"/>
              </w:rPr>
              <w:t>x</w:t>
            </w:r>
          </w:p>
        </w:tc>
      </w:tr>
      <w:tr w:rsidR="00AA1F4F" w:rsidRPr="00CD0339" w:rsidTr="00397B4C">
        <w:trPr>
          <w:trHeight w:val="288"/>
        </w:trPr>
        <w:tc>
          <w:tcPr>
            <w:tcW w:w="13590" w:type="dxa"/>
            <w:gridSpan w:val="12"/>
            <w:tcBorders>
              <w:top w:val="single" w:sz="4" w:space="0" w:color="auto"/>
              <w:left w:val="nil"/>
              <w:bottom w:val="nil"/>
              <w:right w:val="nil"/>
            </w:tcBorders>
            <w:shd w:val="clear" w:color="auto" w:fill="auto"/>
            <w:noWrap/>
            <w:vAlign w:val="bottom"/>
            <w:hideMark/>
          </w:tcPr>
          <w:p w:rsidR="00AA1F4F" w:rsidRPr="00CD0339" w:rsidRDefault="00AA1F4F" w:rsidP="00397B4C">
            <w:pPr>
              <w:spacing w:after="0" w:line="240" w:lineRule="auto"/>
              <w:rPr>
                <w:rFonts w:asciiTheme="majorHAnsi" w:eastAsia="Times New Roman" w:hAnsiTheme="majorHAnsi" w:cstheme="majorHAnsi"/>
                <w:b/>
                <w:bCs/>
                <w:i/>
                <w:iCs/>
                <w:color w:val="000000"/>
                <w:sz w:val="20"/>
                <w:szCs w:val="20"/>
                <w:lang w:val="ro-MD"/>
              </w:rPr>
            </w:pPr>
            <w:r w:rsidRPr="00CD0339">
              <w:rPr>
                <w:rFonts w:asciiTheme="majorHAnsi" w:eastAsia="Times New Roman" w:hAnsiTheme="majorHAnsi" w:cstheme="majorHAnsi"/>
                <w:b/>
                <w:bCs/>
                <w:i/>
                <w:iCs/>
                <w:color w:val="000000"/>
                <w:sz w:val="20"/>
                <w:szCs w:val="20"/>
                <w:lang w:val="ro-MD"/>
              </w:rPr>
              <w:t>Sursă:</w:t>
            </w:r>
            <w:r w:rsidRPr="00CD0339">
              <w:rPr>
                <w:rFonts w:asciiTheme="majorHAnsi" w:eastAsia="Times New Roman" w:hAnsiTheme="majorHAnsi" w:cstheme="majorHAnsi"/>
                <w:i/>
                <w:iCs/>
                <w:color w:val="000000"/>
                <w:sz w:val="20"/>
                <w:szCs w:val="20"/>
                <w:lang w:val="ro-MD"/>
              </w:rPr>
              <w:t xml:space="preserve"> Legea bugetului de stat pentru anul 2018, Raport privind executarea bugetului de stat conform clasificației economice la situația din 31.12.2018.</w:t>
            </w:r>
          </w:p>
        </w:tc>
      </w:tr>
    </w:tbl>
    <w:p w:rsidR="00AA1F4F" w:rsidRPr="00E01F0B" w:rsidRDefault="00AA1F4F" w:rsidP="00AA1F4F">
      <w:pPr>
        <w:pStyle w:val="ListParagraph"/>
        <w:tabs>
          <w:tab w:val="left" w:pos="0"/>
        </w:tabs>
        <w:spacing w:after="0" w:line="276" w:lineRule="auto"/>
        <w:ind w:left="0"/>
        <w:rPr>
          <w:rFonts w:asciiTheme="majorHAnsi" w:eastAsia="Times New Roman" w:hAnsiTheme="majorHAnsi" w:cs="Times New Roman"/>
          <w:b/>
          <w:bCs/>
          <w:sz w:val="32"/>
          <w:szCs w:val="32"/>
        </w:rPr>
      </w:pPr>
    </w:p>
    <w:p w:rsidR="00AA1F4F" w:rsidRPr="00DC1123" w:rsidRDefault="00AA1F4F" w:rsidP="00AA1F4F">
      <w:pPr>
        <w:spacing w:after="0" w:line="276" w:lineRule="auto"/>
        <w:ind w:firstLine="709"/>
        <w:jc w:val="right"/>
        <w:rPr>
          <w:rFonts w:asciiTheme="majorHAnsi" w:eastAsia="Times New Roman" w:hAnsiTheme="majorHAnsi" w:cstheme="majorHAnsi"/>
          <w:b/>
          <w:sz w:val="24"/>
          <w:szCs w:val="24"/>
          <w:lang w:eastAsia="ru-RU"/>
        </w:rPr>
      </w:pPr>
      <w:r>
        <w:rPr>
          <w:rFonts w:asciiTheme="majorHAnsi" w:eastAsia="Times New Roman" w:hAnsiTheme="majorHAnsi" w:cstheme="majorHAnsi"/>
          <w:b/>
          <w:sz w:val="24"/>
          <w:szCs w:val="24"/>
          <w:lang w:eastAsia="ru-RU"/>
        </w:rPr>
        <w:t>Anexa nr.3</w:t>
      </w:r>
    </w:p>
    <w:p w:rsidR="00AA1F4F" w:rsidRPr="00DC1123" w:rsidRDefault="00AA1F4F" w:rsidP="00AA1F4F">
      <w:pPr>
        <w:spacing w:after="0" w:line="276" w:lineRule="auto"/>
        <w:ind w:right="49"/>
        <w:jc w:val="center"/>
        <w:rPr>
          <w:rFonts w:asciiTheme="majorHAnsi" w:eastAsia="Times New Roman" w:hAnsiTheme="majorHAnsi" w:cstheme="majorHAnsi"/>
          <w:b/>
          <w:sz w:val="24"/>
          <w:szCs w:val="24"/>
          <w:lang w:eastAsia="ru-RU"/>
        </w:rPr>
      </w:pPr>
      <w:r w:rsidRPr="00DC1123">
        <w:rPr>
          <w:rFonts w:asciiTheme="majorHAnsi" w:eastAsia="Times New Roman" w:hAnsiTheme="majorHAnsi" w:cstheme="majorHAnsi"/>
          <w:b/>
          <w:sz w:val="24"/>
          <w:szCs w:val="24"/>
          <w:lang w:eastAsia="ru-RU"/>
        </w:rPr>
        <w:t>Realizarea veniturilor bugetului de stat pe anul 2018, comparativ cu anul 2017, precum și ponderea acestora în PIB</w:t>
      </w:r>
    </w:p>
    <w:p w:rsidR="00AA1F4F" w:rsidRPr="00DC1123" w:rsidRDefault="00AA1F4F" w:rsidP="00AA1F4F">
      <w:pPr>
        <w:spacing w:after="0" w:line="276" w:lineRule="auto"/>
        <w:ind w:right="49"/>
        <w:jc w:val="right"/>
        <w:rPr>
          <w:rFonts w:asciiTheme="majorHAnsi" w:eastAsia="Times New Roman" w:hAnsiTheme="majorHAnsi" w:cstheme="majorHAnsi"/>
          <w:b/>
          <w:sz w:val="24"/>
          <w:szCs w:val="24"/>
          <w:lang w:eastAsia="ru-RU"/>
        </w:rPr>
      </w:pPr>
      <w:r w:rsidRPr="00DC1123">
        <w:rPr>
          <w:rFonts w:asciiTheme="majorHAnsi" w:eastAsia="Times New Roman" w:hAnsiTheme="majorHAnsi" w:cstheme="majorHAnsi"/>
          <w:b/>
          <w:sz w:val="24"/>
          <w:szCs w:val="24"/>
          <w:lang w:eastAsia="ru-RU"/>
        </w:rPr>
        <w:t>(mil.</w:t>
      </w:r>
      <w:r w:rsidRPr="00683AF5">
        <w:rPr>
          <w:rFonts w:asciiTheme="majorHAnsi" w:eastAsia="Times New Roman" w:hAnsiTheme="majorHAnsi" w:cstheme="majorHAnsi"/>
          <w:b/>
          <w:sz w:val="24"/>
          <w:szCs w:val="24"/>
          <w:lang w:eastAsia="ru-RU"/>
        </w:rPr>
        <w:t xml:space="preserve"> </w:t>
      </w:r>
      <w:r w:rsidR="007160B9">
        <w:rPr>
          <w:rFonts w:asciiTheme="majorHAnsi" w:eastAsia="Times New Roman" w:hAnsiTheme="majorHAnsi" w:cstheme="majorHAnsi"/>
          <w:b/>
          <w:sz w:val="24"/>
          <w:szCs w:val="24"/>
          <w:lang w:eastAsia="ru-RU"/>
        </w:rPr>
        <w:t>MDL</w:t>
      </w:r>
      <w:r w:rsidRPr="00DC1123">
        <w:rPr>
          <w:rFonts w:asciiTheme="majorHAnsi" w:eastAsia="Times New Roman" w:hAnsiTheme="majorHAnsi" w:cstheme="majorHAnsi"/>
          <w:b/>
          <w:sz w:val="24"/>
          <w:szCs w:val="24"/>
          <w:lang w:eastAsia="ru-RU"/>
        </w:rPr>
        <w:t>)</w:t>
      </w:r>
    </w:p>
    <w:tbl>
      <w:tblPr>
        <w:tblStyle w:val="GridTable1Light2"/>
        <w:tblW w:w="13462" w:type="dxa"/>
        <w:tblLayout w:type="fixed"/>
        <w:tblLook w:val="04A0" w:firstRow="1" w:lastRow="0" w:firstColumn="1" w:lastColumn="0" w:noHBand="0" w:noVBand="1"/>
      </w:tblPr>
      <w:tblGrid>
        <w:gridCol w:w="4390"/>
        <w:gridCol w:w="989"/>
        <w:gridCol w:w="1279"/>
        <w:gridCol w:w="1276"/>
        <w:gridCol w:w="1276"/>
        <w:gridCol w:w="991"/>
        <w:gridCol w:w="1276"/>
        <w:gridCol w:w="850"/>
        <w:gridCol w:w="1135"/>
      </w:tblGrid>
      <w:tr w:rsidR="00AA1F4F" w:rsidRPr="00250CF8" w:rsidTr="00397B4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AA1F4F" w:rsidRPr="00250CF8" w:rsidRDefault="00AA1F4F" w:rsidP="00397B4C">
            <w:pPr>
              <w:jc w:val="center"/>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br w:type="page"/>
              <w:t>Indicatori</w:t>
            </w:r>
          </w:p>
        </w:tc>
        <w:tc>
          <w:tcPr>
            <w:tcW w:w="989" w:type="dxa"/>
            <w:vMerge w:val="restart"/>
            <w:vAlign w:val="center"/>
          </w:tcPr>
          <w:p w:rsidR="00AA1F4F" w:rsidRPr="00250CF8" w:rsidRDefault="00AA1F4F" w:rsidP="00397B4C">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 xml:space="preserve">Cod </w:t>
            </w:r>
          </w:p>
          <w:p w:rsidR="00AA1F4F" w:rsidRPr="00250CF8" w:rsidRDefault="00AA1F4F" w:rsidP="00397B4C">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eastAsia="ru-RU"/>
              </w:rPr>
            </w:pPr>
            <w:r w:rsidRPr="00250CF8">
              <w:rPr>
                <w:rFonts w:asciiTheme="majorHAnsi" w:eastAsia="Times New Roman" w:hAnsiTheme="majorHAnsi" w:cstheme="majorHAnsi"/>
                <w:sz w:val="24"/>
                <w:szCs w:val="24"/>
                <w:lang w:eastAsia="ru-RU"/>
              </w:rPr>
              <w:t>ECO</w:t>
            </w:r>
          </w:p>
        </w:tc>
        <w:tc>
          <w:tcPr>
            <w:tcW w:w="1279" w:type="dxa"/>
            <w:vAlign w:val="center"/>
          </w:tcPr>
          <w:p w:rsidR="00AA1F4F" w:rsidRPr="00250CF8" w:rsidRDefault="00AA1F4F" w:rsidP="00397B4C">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 xml:space="preserve">Precizat </w:t>
            </w:r>
          </w:p>
        </w:tc>
        <w:tc>
          <w:tcPr>
            <w:tcW w:w="2552" w:type="dxa"/>
            <w:gridSpan w:val="2"/>
            <w:vAlign w:val="center"/>
          </w:tcPr>
          <w:p w:rsidR="00AA1F4F" w:rsidRPr="00250CF8" w:rsidRDefault="00AA1F4F" w:rsidP="00397B4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Încasări realizate</w:t>
            </w:r>
          </w:p>
        </w:tc>
        <w:tc>
          <w:tcPr>
            <w:tcW w:w="2267" w:type="dxa"/>
            <w:gridSpan w:val="2"/>
            <w:vAlign w:val="center"/>
          </w:tcPr>
          <w:p w:rsidR="00AA1F4F" w:rsidRPr="00250CF8" w:rsidRDefault="00AA1F4F" w:rsidP="00397B4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eastAsia="ru-RU"/>
              </w:rPr>
            </w:pPr>
            <w:r w:rsidRPr="00250CF8">
              <w:rPr>
                <w:rFonts w:asciiTheme="majorHAnsi" w:eastAsia="Times New Roman" w:hAnsiTheme="majorHAnsi" w:cstheme="majorHAnsi"/>
                <w:sz w:val="24"/>
                <w:szCs w:val="24"/>
                <w:lang w:eastAsia="ru-RU"/>
              </w:rPr>
              <w:t>Încasări realizate în an.2018 față de an.2017</w:t>
            </w:r>
          </w:p>
        </w:tc>
        <w:tc>
          <w:tcPr>
            <w:tcW w:w="1985" w:type="dxa"/>
            <w:gridSpan w:val="2"/>
            <w:vAlign w:val="center"/>
          </w:tcPr>
          <w:p w:rsidR="00AA1F4F" w:rsidRPr="00250CF8" w:rsidRDefault="00AA1F4F" w:rsidP="00397B4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Ponderea în PIB</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AA1F4F" w:rsidRPr="00250CF8" w:rsidRDefault="00AA1F4F" w:rsidP="00397B4C">
            <w:pPr>
              <w:jc w:val="center"/>
              <w:rPr>
                <w:rFonts w:asciiTheme="majorHAnsi" w:eastAsia="Times New Roman" w:hAnsiTheme="majorHAnsi" w:cstheme="majorHAnsi"/>
                <w:sz w:val="24"/>
                <w:szCs w:val="24"/>
                <w:lang w:eastAsia="ru-RU"/>
              </w:rPr>
            </w:pPr>
          </w:p>
        </w:tc>
        <w:tc>
          <w:tcPr>
            <w:tcW w:w="989" w:type="dxa"/>
            <w:vMerge/>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p>
        </w:tc>
        <w:tc>
          <w:tcPr>
            <w:tcW w:w="1279"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2018</w:t>
            </w:r>
          </w:p>
        </w:tc>
        <w:tc>
          <w:tcPr>
            <w:tcW w:w="1276"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2018</w:t>
            </w:r>
          </w:p>
        </w:tc>
        <w:tc>
          <w:tcPr>
            <w:tcW w:w="1276"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2017</w:t>
            </w:r>
          </w:p>
        </w:tc>
        <w:tc>
          <w:tcPr>
            <w:tcW w:w="991"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Devieri (+/-)</w:t>
            </w:r>
          </w:p>
        </w:tc>
        <w:tc>
          <w:tcPr>
            <w:tcW w:w="1276"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Ponderea</w:t>
            </w:r>
          </w:p>
        </w:tc>
        <w:tc>
          <w:tcPr>
            <w:tcW w:w="850"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2018*</w:t>
            </w:r>
          </w:p>
        </w:tc>
        <w:tc>
          <w:tcPr>
            <w:tcW w:w="1135" w:type="dxa"/>
            <w:vAlign w:val="center"/>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2017**</w:t>
            </w:r>
          </w:p>
        </w:tc>
      </w:tr>
      <w:tr w:rsidR="00AA1F4F" w:rsidRPr="00250CF8" w:rsidTr="00397B4C">
        <w:trPr>
          <w:trHeight w:val="269"/>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A1F4F" w:rsidRPr="00F45B13" w:rsidRDefault="00AA1F4F" w:rsidP="00397B4C">
            <w:pPr>
              <w:jc w:val="center"/>
              <w:rPr>
                <w:rFonts w:asciiTheme="majorHAnsi" w:eastAsia="Times New Roman" w:hAnsiTheme="majorHAnsi" w:cstheme="majorHAnsi"/>
                <w:b w:val="0"/>
                <w:i/>
                <w:sz w:val="18"/>
                <w:szCs w:val="18"/>
                <w:lang w:eastAsia="ru-RU"/>
              </w:rPr>
            </w:pPr>
            <w:r w:rsidRPr="00F45B13">
              <w:rPr>
                <w:rFonts w:asciiTheme="majorHAnsi" w:eastAsia="Times New Roman" w:hAnsiTheme="majorHAnsi" w:cstheme="majorHAnsi"/>
                <w:b w:val="0"/>
                <w:i/>
                <w:sz w:val="18"/>
                <w:szCs w:val="18"/>
                <w:lang w:eastAsia="ru-RU"/>
              </w:rPr>
              <w:t>1</w:t>
            </w:r>
          </w:p>
        </w:tc>
        <w:tc>
          <w:tcPr>
            <w:tcW w:w="989"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2</w:t>
            </w:r>
          </w:p>
        </w:tc>
        <w:tc>
          <w:tcPr>
            <w:tcW w:w="1279"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3</w:t>
            </w:r>
          </w:p>
        </w:tc>
        <w:tc>
          <w:tcPr>
            <w:tcW w:w="1276"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4</w:t>
            </w:r>
          </w:p>
        </w:tc>
        <w:tc>
          <w:tcPr>
            <w:tcW w:w="1276"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5</w:t>
            </w:r>
          </w:p>
        </w:tc>
        <w:tc>
          <w:tcPr>
            <w:tcW w:w="991"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6=4-5</w:t>
            </w:r>
          </w:p>
        </w:tc>
        <w:tc>
          <w:tcPr>
            <w:tcW w:w="1276"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7=4/5*100</w:t>
            </w:r>
          </w:p>
        </w:tc>
        <w:tc>
          <w:tcPr>
            <w:tcW w:w="850"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8=4/PIB*100</w:t>
            </w:r>
          </w:p>
        </w:tc>
        <w:tc>
          <w:tcPr>
            <w:tcW w:w="1135" w:type="dxa"/>
            <w:vAlign w:val="center"/>
          </w:tcPr>
          <w:p w:rsidR="00AA1F4F" w:rsidRPr="00F45B13"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eastAsia="ru-RU"/>
              </w:rPr>
            </w:pPr>
            <w:r w:rsidRPr="00F45B13">
              <w:rPr>
                <w:rFonts w:asciiTheme="majorHAnsi" w:eastAsia="Times New Roman" w:hAnsiTheme="majorHAnsi" w:cstheme="majorHAnsi"/>
                <w:i/>
                <w:sz w:val="18"/>
                <w:szCs w:val="18"/>
                <w:lang w:eastAsia="ru-RU"/>
              </w:rPr>
              <w:t>9=5/PIB*100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ind w:right="-105"/>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VENITURI TOTAL, din care: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en-US"/>
              </w:rPr>
            </w:pPr>
            <w:r w:rsidRPr="00250CF8">
              <w:rPr>
                <w:rFonts w:asciiTheme="majorHAnsi" w:eastAsia="Times New Roman" w:hAnsiTheme="majorHAnsi" w:cstheme="majorHAnsi"/>
                <w:b/>
                <w:color w:val="000000"/>
                <w:sz w:val="24"/>
                <w:szCs w:val="24"/>
                <w:lang w:val="en-US"/>
              </w:rPr>
              <w:t>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en-US"/>
              </w:rPr>
            </w:pPr>
            <w:r w:rsidRPr="00250CF8">
              <w:rPr>
                <w:rFonts w:asciiTheme="majorHAnsi" w:eastAsia="Times New Roman" w:hAnsiTheme="majorHAnsi" w:cstheme="majorHAnsi"/>
                <w:b/>
                <w:color w:val="000000"/>
                <w:sz w:val="24"/>
                <w:szCs w:val="24"/>
                <w:lang w:val="en-US"/>
              </w:rPr>
              <w:t>36 969,4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36 432,7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33 947,4</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en-US"/>
              </w:rPr>
            </w:pPr>
            <w:r w:rsidRPr="00250CF8">
              <w:rPr>
                <w:rFonts w:asciiTheme="majorHAnsi" w:hAnsiTheme="majorHAnsi" w:cstheme="majorHAnsi"/>
                <w:color w:val="000000"/>
                <w:sz w:val="24"/>
                <w:szCs w:val="24"/>
              </w:rPr>
              <w:t>2 485,3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en-US"/>
              </w:rPr>
            </w:pPr>
            <w:r w:rsidRPr="00250CF8">
              <w:rPr>
                <w:rFonts w:asciiTheme="majorHAnsi" w:hAnsiTheme="majorHAnsi" w:cstheme="majorHAnsi"/>
                <w:color w:val="000000"/>
                <w:sz w:val="24"/>
                <w:szCs w:val="24"/>
              </w:rPr>
              <w:t>107,3</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en-US"/>
              </w:rPr>
            </w:pPr>
            <w:r w:rsidRPr="00250CF8">
              <w:rPr>
                <w:rFonts w:asciiTheme="majorHAnsi" w:hAnsiTheme="majorHAnsi" w:cstheme="majorHAnsi"/>
                <w:b/>
                <w:bCs/>
                <w:color w:val="000000"/>
                <w:sz w:val="24"/>
                <w:szCs w:val="24"/>
              </w:rPr>
              <w:t>19,2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en-US"/>
              </w:rPr>
            </w:pPr>
            <w:r w:rsidRPr="00250CF8">
              <w:rPr>
                <w:rFonts w:asciiTheme="majorHAnsi" w:hAnsiTheme="majorHAnsi" w:cstheme="majorHAnsi"/>
                <w:b/>
                <w:bCs/>
                <w:color w:val="000000"/>
                <w:sz w:val="24"/>
                <w:szCs w:val="24"/>
              </w:rPr>
              <w:t>19,0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Impozite și taxe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33 153,1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34 057,9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31 201,6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2 856,3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109,2</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17,9</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17,4</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Impozite pe venit</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111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6 103,9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6 865,9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5 541,4</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1 324,5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123,9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3,6</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3,1</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 pe venitul persoanelor fizice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1111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1 662,0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1 651,5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1 572,6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78,9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105,0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0,9</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0,9</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 pe venitul persoanelor juridice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1112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4 441,9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5 214,4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3 968,8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1245,6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131,4</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2,7</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2,2</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Impozite pe proprietate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113</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54,6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49,6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45,3</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4,3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109,5</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Impozite pe proprietate cu caracter ocazional</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1133</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2,6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8,1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6,3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450,0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Alte impozite pe proprietate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1136</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52,0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41,4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43,6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95,0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Impozite și taxe pe mărfuri și servicii</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114</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25 298,9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25 476,7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24 023,7</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1453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106,0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13,4</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13,4</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Taxa pe valoare</w:t>
            </w:r>
            <w:r w:rsidR="00AC5C97">
              <w:rPr>
                <w:rFonts w:asciiTheme="majorHAnsi" w:eastAsia="Times New Roman" w:hAnsiTheme="majorHAnsi" w:cstheme="majorHAnsi"/>
                <w:sz w:val="24"/>
                <w:szCs w:val="24"/>
                <w:lang w:eastAsia="ru-RU"/>
              </w:rPr>
              <w:t>a</w:t>
            </w:r>
            <w:r w:rsidRPr="00250CF8">
              <w:rPr>
                <w:rFonts w:asciiTheme="majorHAnsi" w:eastAsia="Times New Roman" w:hAnsiTheme="majorHAnsi" w:cstheme="majorHAnsi"/>
                <w:sz w:val="24"/>
                <w:szCs w:val="24"/>
                <w:lang w:eastAsia="ru-RU"/>
              </w:rPr>
              <w:t xml:space="preserve"> adăugată</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1141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17 865,9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18 527,3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16 788,8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1738,5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110,4</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9,8</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9,4</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Accize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1142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6 162,1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5 682,8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5 947,0</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-264,2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95,6</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3,0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3,3</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 xml:space="preserve">Taxe pentru servicii specifice </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1144</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10,9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9,7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9,6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0,1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101,0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Taxe și plăți pentru utilizarea mărfurilor și pentru practicarea unor genuri de activitate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1145</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354,8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327,9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399,8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-71,9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82,0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Alte taxe pentru mărfuri și servicii</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1146</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905,2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928,9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878,6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50,3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105,7</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0,5</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0,5</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lastRenderedPageBreak/>
              <w:t>Taxa asupra comerțului exterior și operațiunilor externe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115</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1 695,7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1 665,8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1 591,1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74,7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104,7</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0,9</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0,9</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Taxe vamale și alte taxe de import</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1151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1 166,6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1 109,9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1 068,1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41,8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103,9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0,6</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0,6</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Alte taxe asupra comerțului exterior și operațiunilor externe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1156</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529,1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555,8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523,0</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32,8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106,3</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0,3</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0,3</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Granturi primite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13</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1 942,6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335,4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992,9</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-657,5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33,8</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0,6</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Granturi primite de la guvernele altor state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131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51,3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80,1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61,2</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18,9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130,9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Pentru proiecte finanțate din surse externe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r w:rsidRPr="00250CF8">
              <w:rPr>
                <w:rFonts w:asciiTheme="majorHAnsi" w:eastAsia="Times New Roman" w:hAnsiTheme="majorHAnsi" w:cstheme="majorHAnsi"/>
                <w:i/>
                <w:color w:val="000000"/>
                <w:sz w:val="24"/>
                <w:szCs w:val="24"/>
                <w:lang w:eastAsia="ru-RU"/>
              </w:rPr>
              <w:t>51,3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80,1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61,2</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18,9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130,9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Granturi primite de la organizațiile internaționale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132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1 891,3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255,3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931,7</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-676,4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27,4</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0,5</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C5C97" w:rsidP="00397B4C">
            <w:pPr>
              <w:jc w:val="both"/>
              <w:rPr>
                <w:rFonts w:asciiTheme="majorHAnsi" w:eastAsia="Times New Roman" w:hAnsiTheme="majorHAnsi" w:cstheme="majorHAnsi"/>
                <w:i/>
                <w:sz w:val="24"/>
                <w:szCs w:val="24"/>
                <w:lang w:eastAsia="ru-RU"/>
              </w:rPr>
            </w:pPr>
            <w:r>
              <w:rPr>
                <w:rFonts w:asciiTheme="majorHAnsi" w:eastAsia="Times New Roman" w:hAnsiTheme="majorHAnsi" w:cstheme="majorHAnsi"/>
                <w:i/>
                <w:sz w:val="24"/>
                <w:szCs w:val="24"/>
                <w:lang w:eastAsia="ru-RU"/>
              </w:rPr>
              <w:t>p</w:t>
            </w:r>
            <w:r w:rsidR="00AA1F4F" w:rsidRPr="00250CF8">
              <w:rPr>
                <w:rFonts w:asciiTheme="majorHAnsi" w:eastAsia="Times New Roman" w:hAnsiTheme="majorHAnsi" w:cstheme="majorHAnsi"/>
                <w:i/>
                <w:sz w:val="24"/>
                <w:szCs w:val="24"/>
                <w:lang w:eastAsia="ru-RU"/>
              </w:rPr>
              <w:t>entru susținerea bugetului</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r w:rsidRPr="00250CF8">
              <w:rPr>
                <w:rFonts w:asciiTheme="majorHAnsi" w:eastAsia="Times New Roman" w:hAnsiTheme="majorHAnsi" w:cstheme="majorHAnsi"/>
                <w:i/>
                <w:color w:val="000000"/>
                <w:sz w:val="24"/>
                <w:szCs w:val="24"/>
                <w:lang w:eastAsia="ru-RU"/>
              </w:rPr>
              <w:t>1 285,5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739,6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-739,6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0,0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0,4</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C5C97" w:rsidP="00397B4C">
            <w:pPr>
              <w:jc w:val="both"/>
              <w:rPr>
                <w:rFonts w:asciiTheme="majorHAnsi" w:eastAsia="Times New Roman" w:hAnsiTheme="majorHAnsi" w:cstheme="majorHAnsi"/>
                <w:i/>
                <w:sz w:val="24"/>
                <w:szCs w:val="24"/>
                <w:lang w:eastAsia="ru-RU"/>
              </w:rPr>
            </w:pPr>
            <w:r>
              <w:rPr>
                <w:rFonts w:asciiTheme="majorHAnsi" w:eastAsia="Times New Roman" w:hAnsiTheme="majorHAnsi" w:cstheme="majorHAnsi"/>
                <w:i/>
                <w:sz w:val="24"/>
                <w:szCs w:val="24"/>
                <w:lang w:eastAsia="ru-RU"/>
              </w:rPr>
              <w:t>p</w:t>
            </w:r>
            <w:r w:rsidR="00AA1F4F" w:rsidRPr="00250CF8">
              <w:rPr>
                <w:rFonts w:asciiTheme="majorHAnsi" w:eastAsia="Times New Roman" w:hAnsiTheme="majorHAnsi" w:cstheme="majorHAnsi"/>
                <w:i/>
                <w:sz w:val="24"/>
                <w:szCs w:val="24"/>
                <w:lang w:eastAsia="ru-RU"/>
              </w:rPr>
              <w:t>entru proiecte finanțate din surse externe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eastAsia="ru-RU"/>
              </w:rPr>
            </w:pPr>
            <w:r w:rsidRPr="00250CF8">
              <w:rPr>
                <w:rFonts w:asciiTheme="majorHAnsi" w:eastAsia="Times New Roman" w:hAnsiTheme="majorHAnsi" w:cstheme="majorHAnsi"/>
                <w:i/>
                <w:color w:val="000000"/>
                <w:sz w:val="24"/>
                <w:szCs w:val="24"/>
                <w:lang w:eastAsia="ru-RU"/>
              </w:rPr>
              <w:t>605,8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255,3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eastAsia="ru-RU"/>
              </w:rPr>
            </w:pPr>
            <w:r w:rsidRPr="00250CF8">
              <w:rPr>
                <w:rFonts w:asciiTheme="majorHAnsi" w:eastAsia="Times New Roman" w:hAnsiTheme="majorHAnsi" w:cstheme="majorHAnsi"/>
                <w:i/>
                <w:sz w:val="24"/>
                <w:szCs w:val="24"/>
                <w:lang w:eastAsia="ru-RU"/>
              </w:rPr>
              <w:t>192,1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63,2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132,9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Alte venituri</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1 847,7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2013,4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1 740,2</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273,2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115,7</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1,0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Venituri din proprietate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367,3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406,5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321,2</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85,3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126,6</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Dobânzi încasate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1411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295,8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203,4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154,0</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49,4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132,1</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Dividende primite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1412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71,5</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202,7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167,1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35,6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121,3</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Renta</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1415</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0,4</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0,1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0,3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400,0</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Venituri din vânzarea mărfurilor și serviciilor</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999,6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935,0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1 014,1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-79,1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92,2</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0,5</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0,6</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Taxe și plăți administrative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1422</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272,9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300,2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294,6</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5,6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101,9</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Comercializarea mărfurilor și serviciilor de către instituțiile bugetare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1423</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eastAsia="ru-RU"/>
              </w:rPr>
            </w:pPr>
            <w:r w:rsidRPr="00250CF8">
              <w:rPr>
                <w:rFonts w:asciiTheme="majorHAnsi" w:eastAsia="Times New Roman" w:hAnsiTheme="majorHAnsi" w:cstheme="majorHAnsi"/>
                <w:color w:val="000000"/>
                <w:sz w:val="24"/>
                <w:szCs w:val="24"/>
                <w:lang w:eastAsia="ru-RU"/>
              </w:rPr>
              <w:t>726,7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634,8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719,5</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-84,7</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88,2</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0,3</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0,4</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Amenzi și sancțiuni</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143</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288,8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374,1</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344,9</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29,2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108,5</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0,2</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Donații voluntare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144</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33,3</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32,8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36,0</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-3,2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91,1</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Alte venituri și venituri neidentificate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145</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158,6</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264,9</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24,1</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240,8</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1099,2</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0,1</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Transferuri primite în cadrul bugetului public național</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19</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26,0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26,0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12,8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203,1</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4390" w:type="dxa"/>
          </w:tcPr>
          <w:p w:rsidR="00AA1F4F" w:rsidRPr="00250CF8" w:rsidRDefault="00AA1F4F" w:rsidP="00397B4C">
            <w:pPr>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Transferuri primite între bugetul de stat și bugetele locale</w:t>
            </w:r>
          </w:p>
        </w:tc>
        <w:tc>
          <w:tcPr>
            <w:tcW w:w="989" w:type="dxa"/>
          </w:tcPr>
          <w:p w:rsidR="00AA1F4F" w:rsidRPr="00250CF8" w:rsidRDefault="00AA1F4F" w:rsidP="00397B4C">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191</w:t>
            </w:r>
          </w:p>
        </w:tc>
        <w:tc>
          <w:tcPr>
            <w:tcW w:w="1279"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eastAsia="ru-RU"/>
              </w:rPr>
            </w:pPr>
            <w:r w:rsidRPr="00250CF8">
              <w:rPr>
                <w:rFonts w:asciiTheme="majorHAnsi" w:eastAsia="Times New Roman" w:hAnsiTheme="majorHAnsi" w:cstheme="majorHAnsi"/>
                <w:b/>
                <w:color w:val="000000"/>
                <w:sz w:val="24"/>
                <w:szCs w:val="24"/>
                <w:lang w:eastAsia="ru-RU"/>
              </w:rPr>
              <w:t>26,0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26,0</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eastAsia="ru-RU"/>
              </w:rPr>
            </w:pPr>
            <w:r w:rsidRPr="00250CF8">
              <w:rPr>
                <w:rFonts w:asciiTheme="majorHAnsi" w:eastAsia="Times New Roman" w:hAnsiTheme="majorHAnsi" w:cstheme="majorHAnsi"/>
                <w:b/>
                <w:sz w:val="24"/>
                <w:szCs w:val="24"/>
                <w:lang w:eastAsia="ru-RU"/>
              </w:rPr>
              <w:t>12,8</w:t>
            </w:r>
          </w:p>
        </w:tc>
        <w:tc>
          <w:tcPr>
            <w:tcW w:w="991"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13,2</w:t>
            </w:r>
          </w:p>
        </w:tc>
        <w:tc>
          <w:tcPr>
            <w:tcW w:w="1276"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rPr>
            </w:pPr>
            <w:r w:rsidRPr="00250CF8">
              <w:rPr>
                <w:rFonts w:asciiTheme="majorHAnsi" w:hAnsiTheme="majorHAnsi" w:cstheme="majorHAnsi"/>
                <w:color w:val="000000"/>
                <w:sz w:val="24"/>
                <w:szCs w:val="24"/>
              </w:rPr>
              <w:t>203,1</w:t>
            </w:r>
          </w:p>
        </w:tc>
        <w:tc>
          <w:tcPr>
            <w:tcW w:w="850"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c>
          <w:tcPr>
            <w:tcW w:w="1135" w:type="dxa"/>
          </w:tcPr>
          <w:p w:rsidR="00AA1F4F" w:rsidRPr="00250CF8" w:rsidRDefault="00AA1F4F" w:rsidP="00397B4C">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rPr>
            </w:pPr>
            <w:r w:rsidRPr="00250CF8">
              <w:rPr>
                <w:rFonts w:asciiTheme="majorHAnsi" w:hAnsiTheme="majorHAnsi" w:cstheme="majorHAnsi"/>
                <w:b/>
                <w:bCs/>
                <w:color w:val="000000"/>
                <w:sz w:val="24"/>
                <w:szCs w:val="24"/>
              </w:rPr>
              <w:t>0,0</w:t>
            </w:r>
          </w:p>
        </w:tc>
      </w:tr>
      <w:tr w:rsidR="00AA1F4F" w:rsidRPr="00250CF8" w:rsidTr="00397B4C">
        <w:tc>
          <w:tcPr>
            <w:cnfStyle w:val="001000000000" w:firstRow="0" w:lastRow="0" w:firstColumn="1" w:lastColumn="0" w:oddVBand="0" w:evenVBand="0" w:oddHBand="0" w:evenHBand="0" w:firstRowFirstColumn="0" w:firstRowLastColumn="0" w:lastRowFirstColumn="0" w:lastRowLastColumn="0"/>
            <w:tcW w:w="13462" w:type="dxa"/>
            <w:gridSpan w:val="9"/>
          </w:tcPr>
          <w:p w:rsidR="00AA1F4F" w:rsidRPr="00250CF8" w:rsidRDefault="00AA1F4F" w:rsidP="00397B4C">
            <w:pPr>
              <w:spacing w:line="259" w:lineRule="auto"/>
              <w:ind w:left="22"/>
              <w:jc w:val="both"/>
              <w:rPr>
                <w:rFonts w:asciiTheme="majorHAnsi" w:eastAsia="Times New Roman" w:hAnsiTheme="majorHAnsi" w:cstheme="majorHAnsi"/>
                <w:sz w:val="24"/>
                <w:szCs w:val="24"/>
                <w:lang w:eastAsia="ru-RU"/>
              </w:rPr>
            </w:pPr>
            <w:r w:rsidRPr="00250CF8">
              <w:rPr>
                <w:rFonts w:asciiTheme="majorHAnsi" w:eastAsia="Times New Roman" w:hAnsiTheme="majorHAnsi" w:cstheme="majorHAnsi"/>
                <w:sz w:val="24"/>
                <w:szCs w:val="24"/>
                <w:lang w:eastAsia="ru-RU"/>
              </w:rPr>
              <w:t>* Produsul intern brut luat în calcul pentru anul 2018, conform datelor preliminare ale BNS este de 190 016</w:t>
            </w:r>
            <w:r w:rsidR="00793C62">
              <w:rPr>
                <w:rFonts w:asciiTheme="majorHAnsi" w:eastAsia="Times New Roman" w:hAnsiTheme="majorHAnsi" w:cstheme="majorHAnsi"/>
                <w:sz w:val="24"/>
                <w:szCs w:val="24"/>
                <w:lang w:eastAsia="ru-RU"/>
              </w:rPr>
              <w:t xml:space="preserve"> </w:t>
            </w:r>
            <w:r w:rsidRPr="00250CF8">
              <w:rPr>
                <w:rFonts w:asciiTheme="majorHAnsi" w:eastAsia="Times New Roman" w:hAnsiTheme="majorHAnsi" w:cstheme="majorHAnsi"/>
                <w:sz w:val="24"/>
                <w:szCs w:val="24"/>
                <w:lang w:eastAsia="ru-RU"/>
              </w:rPr>
              <w:t xml:space="preserve">mil. </w:t>
            </w:r>
            <w:r w:rsidR="007160B9">
              <w:rPr>
                <w:rFonts w:asciiTheme="majorHAnsi" w:eastAsia="Times New Roman" w:hAnsiTheme="majorHAnsi" w:cstheme="majorHAnsi"/>
                <w:sz w:val="24"/>
                <w:szCs w:val="24"/>
                <w:lang w:eastAsia="ru-RU"/>
              </w:rPr>
              <w:t xml:space="preserve">MDL </w:t>
            </w:r>
          </w:p>
          <w:p w:rsidR="00AA1F4F" w:rsidRPr="00250CF8" w:rsidRDefault="00AA1F4F" w:rsidP="00397B4C">
            <w:pPr>
              <w:rPr>
                <w:rFonts w:asciiTheme="majorHAnsi" w:eastAsia="Times New Roman" w:hAnsiTheme="majorHAnsi" w:cstheme="majorHAnsi"/>
                <w:b w:val="0"/>
                <w:sz w:val="24"/>
                <w:szCs w:val="24"/>
                <w:lang w:eastAsia="ru-RU"/>
              </w:rPr>
            </w:pPr>
            <w:r w:rsidRPr="00250CF8">
              <w:rPr>
                <w:rFonts w:asciiTheme="majorHAnsi" w:eastAsia="Times New Roman" w:hAnsiTheme="majorHAnsi" w:cstheme="majorHAnsi"/>
                <w:sz w:val="24"/>
                <w:szCs w:val="24"/>
                <w:lang w:eastAsia="ru-RU"/>
              </w:rPr>
              <w:t xml:space="preserve">** Produsul intern brut luat în calcul pentru anul 2017, conform datelor BNS este de 178 881 mil. </w:t>
            </w:r>
            <w:r w:rsidR="007160B9">
              <w:rPr>
                <w:rFonts w:asciiTheme="majorHAnsi" w:eastAsia="Times New Roman" w:hAnsiTheme="majorHAnsi" w:cstheme="majorHAnsi"/>
                <w:sz w:val="24"/>
                <w:szCs w:val="24"/>
                <w:lang w:eastAsia="ru-RU"/>
              </w:rPr>
              <w:t xml:space="preserve">MDL </w:t>
            </w:r>
          </w:p>
        </w:tc>
      </w:tr>
    </w:tbl>
    <w:p w:rsidR="00AA1F4F" w:rsidRPr="00DC1123" w:rsidRDefault="00AA1F4F" w:rsidP="00AA1F4F">
      <w:pPr>
        <w:spacing w:after="120" w:line="276" w:lineRule="auto"/>
        <w:jc w:val="both"/>
        <w:rPr>
          <w:rFonts w:asciiTheme="majorHAnsi" w:eastAsia="Times New Roman" w:hAnsiTheme="majorHAnsi" w:cstheme="majorHAnsi"/>
          <w:sz w:val="28"/>
          <w:szCs w:val="24"/>
          <w:lang w:eastAsia="ru-RU"/>
        </w:rPr>
      </w:pPr>
      <w:r w:rsidRPr="00DC1123">
        <w:rPr>
          <w:rFonts w:asciiTheme="majorHAnsi" w:eastAsia="Times New Roman" w:hAnsiTheme="majorHAnsi" w:cstheme="majorHAnsi"/>
          <w:sz w:val="28"/>
          <w:szCs w:val="24"/>
          <w:lang w:eastAsia="ru-RU"/>
        </w:rPr>
        <w:t xml:space="preserve"> </w:t>
      </w:r>
      <w:r w:rsidRPr="00DC1123">
        <w:rPr>
          <w:rFonts w:asciiTheme="majorHAnsi" w:eastAsia="Times New Roman" w:hAnsiTheme="majorHAnsi" w:cstheme="majorHAnsi"/>
          <w:b/>
          <w:i/>
          <w:sz w:val="20"/>
          <w:szCs w:val="24"/>
          <w:lang w:eastAsia="ru-RU"/>
        </w:rPr>
        <w:t>Sursă:</w:t>
      </w:r>
      <w:r w:rsidRPr="00DC1123">
        <w:rPr>
          <w:rFonts w:asciiTheme="majorHAnsi" w:eastAsia="Times New Roman" w:hAnsiTheme="majorHAnsi" w:cstheme="majorHAnsi"/>
          <w:i/>
          <w:sz w:val="20"/>
          <w:szCs w:val="24"/>
          <w:lang w:eastAsia="ru-RU"/>
        </w:rPr>
        <w:t xml:space="preserve"> Date generalizate de echipa de audit conform Rapoartelor privind executarea bugetului de stat pe anii 2017 și 2018, Formularul nr.2</w:t>
      </w:r>
      <w:r w:rsidR="00AC5C97">
        <w:rPr>
          <w:rFonts w:asciiTheme="majorHAnsi" w:eastAsia="Times New Roman" w:hAnsiTheme="majorHAnsi" w:cstheme="majorHAnsi"/>
          <w:i/>
          <w:sz w:val="20"/>
          <w:szCs w:val="24"/>
          <w:lang w:eastAsia="ru-RU"/>
        </w:rPr>
        <w:t>.</w:t>
      </w:r>
    </w:p>
    <w:p w:rsidR="00680195" w:rsidRDefault="00680195" w:rsidP="00AA1F4F">
      <w:pPr>
        <w:tabs>
          <w:tab w:val="left" w:pos="720"/>
        </w:tabs>
        <w:spacing w:after="0" w:line="276" w:lineRule="auto"/>
        <w:ind w:firstLine="720"/>
        <w:jc w:val="right"/>
        <w:rPr>
          <w:rFonts w:asciiTheme="majorHAnsi" w:eastAsia="Times New Roman" w:hAnsiTheme="majorHAnsi" w:cstheme="majorHAnsi"/>
          <w:b/>
          <w:bCs/>
          <w:sz w:val="24"/>
          <w:szCs w:val="24"/>
          <w:lang w:val="ro-MD"/>
        </w:rPr>
      </w:pPr>
      <w:r>
        <w:rPr>
          <w:rFonts w:asciiTheme="majorHAnsi" w:eastAsia="Times New Roman" w:hAnsiTheme="majorHAnsi" w:cstheme="majorHAnsi"/>
          <w:b/>
          <w:bCs/>
          <w:sz w:val="24"/>
          <w:szCs w:val="24"/>
          <w:lang w:val="ro-MD"/>
        </w:rPr>
        <w:lastRenderedPageBreak/>
        <w:t>Anexa nr.4</w:t>
      </w:r>
    </w:p>
    <w:p w:rsidR="00680195" w:rsidRPr="00680195" w:rsidRDefault="00680195" w:rsidP="00680195">
      <w:pPr>
        <w:spacing w:after="0" w:line="276" w:lineRule="auto"/>
        <w:ind w:firstLine="720"/>
        <w:jc w:val="center"/>
        <w:rPr>
          <w:rFonts w:asciiTheme="majorHAnsi" w:hAnsiTheme="majorHAnsi" w:cstheme="majorHAnsi"/>
          <w:b/>
          <w:sz w:val="24"/>
          <w:szCs w:val="24"/>
        </w:rPr>
      </w:pPr>
      <w:r w:rsidRPr="00680195">
        <w:rPr>
          <w:rFonts w:asciiTheme="majorHAnsi" w:hAnsiTheme="majorHAnsi" w:cstheme="majorHAnsi"/>
          <w:b/>
          <w:sz w:val="24"/>
          <w:szCs w:val="24"/>
        </w:rPr>
        <w:t xml:space="preserve">Sinteza veniturilor </w:t>
      </w:r>
      <w:r w:rsidR="00AC5C97">
        <w:rPr>
          <w:rFonts w:asciiTheme="majorHAnsi" w:hAnsiTheme="majorHAnsi" w:cstheme="majorHAnsi"/>
          <w:b/>
          <w:sz w:val="24"/>
          <w:szCs w:val="24"/>
        </w:rPr>
        <w:t>bugetului de stat</w:t>
      </w:r>
      <w:r w:rsidRPr="00680195">
        <w:rPr>
          <w:rFonts w:asciiTheme="majorHAnsi" w:hAnsiTheme="majorHAnsi" w:cstheme="majorHAnsi"/>
          <w:b/>
          <w:sz w:val="24"/>
          <w:szCs w:val="24"/>
        </w:rPr>
        <w:t xml:space="preserve"> executate și raportate de către M</w:t>
      </w:r>
      <w:r w:rsidR="00AC5C97">
        <w:rPr>
          <w:rFonts w:asciiTheme="majorHAnsi" w:hAnsiTheme="majorHAnsi" w:cstheme="majorHAnsi"/>
          <w:b/>
          <w:sz w:val="24"/>
          <w:szCs w:val="24"/>
        </w:rPr>
        <w:t xml:space="preserve">inisterul </w:t>
      </w:r>
      <w:r w:rsidRPr="00680195">
        <w:rPr>
          <w:rFonts w:asciiTheme="majorHAnsi" w:hAnsiTheme="majorHAnsi" w:cstheme="majorHAnsi"/>
          <w:b/>
          <w:sz w:val="24"/>
          <w:szCs w:val="24"/>
        </w:rPr>
        <w:t>F</w:t>
      </w:r>
      <w:r w:rsidR="00AC5C97">
        <w:rPr>
          <w:rFonts w:asciiTheme="majorHAnsi" w:hAnsiTheme="majorHAnsi" w:cstheme="majorHAnsi"/>
          <w:b/>
          <w:sz w:val="24"/>
          <w:szCs w:val="24"/>
        </w:rPr>
        <w:t>inanțelor</w:t>
      </w:r>
      <w:r w:rsidRPr="00680195">
        <w:rPr>
          <w:rFonts w:asciiTheme="majorHAnsi" w:hAnsiTheme="majorHAnsi" w:cstheme="majorHAnsi"/>
          <w:b/>
          <w:sz w:val="24"/>
          <w:szCs w:val="24"/>
        </w:rPr>
        <w:t xml:space="preserve"> pentru anul 2018</w:t>
      </w:r>
      <w:r w:rsidR="00D74BE4" w:rsidRPr="00D74BE4">
        <w:rPr>
          <w:rFonts w:asciiTheme="majorHAnsi" w:hAnsiTheme="majorHAnsi" w:cstheme="majorHAnsi"/>
          <w:b/>
          <w:sz w:val="24"/>
          <w:szCs w:val="24"/>
        </w:rPr>
        <w:t xml:space="preserve"> </w:t>
      </w:r>
      <w:r w:rsidR="00D74BE4" w:rsidRPr="007B6B73">
        <w:rPr>
          <w:rFonts w:asciiTheme="majorHAnsi" w:hAnsiTheme="majorHAnsi" w:cstheme="majorHAnsi"/>
          <w:b/>
          <w:sz w:val="24"/>
          <w:szCs w:val="24"/>
        </w:rPr>
        <w:t>neconfirmate de către administratorii de venituri stabiliți conform cadrului legal</w:t>
      </w:r>
    </w:p>
    <w:p w:rsidR="00680195" w:rsidRPr="00680195" w:rsidRDefault="00680195" w:rsidP="00AA1F4F">
      <w:pPr>
        <w:tabs>
          <w:tab w:val="left" w:pos="720"/>
        </w:tabs>
        <w:spacing w:after="0" w:line="276" w:lineRule="auto"/>
        <w:ind w:firstLine="720"/>
        <w:jc w:val="right"/>
        <w:rPr>
          <w:rFonts w:asciiTheme="majorHAnsi" w:eastAsia="Times New Roman" w:hAnsiTheme="majorHAnsi" w:cstheme="majorHAnsi"/>
          <w:b/>
          <w:bCs/>
          <w:sz w:val="24"/>
          <w:szCs w:val="24"/>
        </w:rPr>
      </w:pPr>
    </w:p>
    <w:tbl>
      <w:tblPr>
        <w:tblStyle w:val="GridTable1Light"/>
        <w:tblW w:w="13746" w:type="dxa"/>
        <w:tblLook w:val="04A0" w:firstRow="1" w:lastRow="0" w:firstColumn="1" w:lastColumn="0" w:noHBand="0" w:noVBand="1"/>
      </w:tblPr>
      <w:tblGrid>
        <w:gridCol w:w="584"/>
        <w:gridCol w:w="971"/>
        <w:gridCol w:w="6237"/>
        <w:gridCol w:w="1176"/>
        <w:gridCol w:w="1450"/>
        <w:gridCol w:w="3328"/>
      </w:tblGrid>
      <w:tr w:rsidR="00D74BE4" w:rsidRPr="007B6B73" w:rsidTr="00524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dxa"/>
            <w:vAlign w:val="center"/>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Nr. d/o</w:t>
            </w:r>
          </w:p>
        </w:tc>
        <w:tc>
          <w:tcPr>
            <w:tcW w:w="971" w:type="dxa"/>
            <w:vAlign w:val="center"/>
          </w:tcPr>
          <w:p w:rsidR="00D74BE4" w:rsidRPr="007B6B73" w:rsidRDefault="00D74BE4" w:rsidP="00524F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Cod ECO</w:t>
            </w:r>
          </w:p>
        </w:tc>
        <w:tc>
          <w:tcPr>
            <w:tcW w:w="6237" w:type="dxa"/>
            <w:vAlign w:val="center"/>
          </w:tcPr>
          <w:p w:rsidR="00D74BE4" w:rsidRPr="007B6B73" w:rsidRDefault="00D74BE4" w:rsidP="00524F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Denumirea clasificației economice</w:t>
            </w:r>
          </w:p>
        </w:tc>
        <w:tc>
          <w:tcPr>
            <w:tcW w:w="1176" w:type="dxa"/>
            <w:vAlign w:val="center"/>
          </w:tcPr>
          <w:p w:rsidR="00D74BE4" w:rsidRPr="007B6B73" w:rsidRDefault="00D74BE4" w:rsidP="00524F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Suma, mii lei</w:t>
            </w:r>
          </w:p>
        </w:tc>
        <w:tc>
          <w:tcPr>
            <w:tcW w:w="1450" w:type="dxa"/>
            <w:vAlign w:val="center"/>
          </w:tcPr>
          <w:p w:rsidR="00D74BE4" w:rsidRPr="007B6B73" w:rsidRDefault="00D74BE4" w:rsidP="00524F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Administrator de venituri conform Ordinului MF nr.158 din 22.12.2017</w:t>
            </w:r>
          </w:p>
        </w:tc>
        <w:tc>
          <w:tcPr>
            <w:tcW w:w="3328" w:type="dxa"/>
            <w:vAlign w:val="center"/>
          </w:tcPr>
          <w:p w:rsidR="00D74BE4" w:rsidRPr="007B6B73" w:rsidRDefault="00D74BE4" w:rsidP="00524FD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Administrator de venituri conform cadrului legal</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1</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114425</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Taxa de la investitori sau proprietarii construcțiilor pentru elaborarea documentelor normative în construcție</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9 441,18</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Inspecția de Stat în Construcții </w:t>
            </w:r>
          </w:p>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2</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114525</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Taxa de eliberare a autorizațiilor pentru transporturi rutiere internaționale</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12 624,93</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Agenția Națională Transport Auto</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3</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114632</w:t>
            </w:r>
          </w:p>
        </w:tc>
        <w:tc>
          <w:tcPr>
            <w:tcW w:w="6237" w:type="dxa"/>
          </w:tcPr>
          <w:p w:rsidR="00D74BE4" w:rsidRPr="007B6B73" w:rsidRDefault="00D74BE4" w:rsidP="00714B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Taxa pentru folosirea drumurilor de către autovehiculele neînmatriculate în RM a căror masă totală, sarcin</w:t>
            </w:r>
            <w:r w:rsidR="00714B51">
              <w:rPr>
                <w:rFonts w:asciiTheme="majorHAnsi" w:hAnsiTheme="majorHAnsi" w:cstheme="majorHAnsi"/>
                <w:sz w:val="20"/>
                <w:szCs w:val="20"/>
              </w:rPr>
              <w:t>ă</w:t>
            </w:r>
            <w:r w:rsidRPr="007B6B73">
              <w:rPr>
                <w:rFonts w:asciiTheme="majorHAnsi" w:hAnsiTheme="majorHAnsi" w:cstheme="majorHAnsi"/>
                <w:sz w:val="20"/>
                <w:szCs w:val="20"/>
              </w:rPr>
              <w:t xml:space="preserve"> </w:t>
            </w:r>
            <w:proofErr w:type="spellStart"/>
            <w:r w:rsidRPr="007B6B73">
              <w:rPr>
                <w:rFonts w:asciiTheme="majorHAnsi" w:hAnsiTheme="majorHAnsi" w:cstheme="majorHAnsi"/>
                <w:sz w:val="20"/>
                <w:szCs w:val="20"/>
              </w:rPr>
              <w:t>masic</w:t>
            </w:r>
            <w:r w:rsidR="00714B51">
              <w:rPr>
                <w:rFonts w:asciiTheme="majorHAnsi" w:hAnsiTheme="majorHAnsi" w:cstheme="majorHAnsi"/>
                <w:sz w:val="20"/>
                <w:szCs w:val="20"/>
              </w:rPr>
              <w:t>ă</w:t>
            </w:r>
            <w:proofErr w:type="spellEnd"/>
            <w:r w:rsidRPr="007B6B73">
              <w:rPr>
                <w:rFonts w:asciiTheme="majorHAnsi" w:hAnsiTheme="majorHAnsi" w:cstheme="majorHAnsi"/>
                <w:sz w:val="20"/>
                <w:szCs w:val="20"/>
              </w:rPr>
              <w:t xml:space="preserve"> pe axa sau ale căror dimensiuni depășesc limitele admise</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9 656,15</w:t>
            </w:r>
          </w:p>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Agenția Națională Transport Auto</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4</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115620</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Taxa consulară</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3 376,63</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714B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Ministerul </w:t>
            </w:r>
            <w:r w:rsidR="00714B51">
              <w:rPr>
                <w:rFonts w:asciiTheme="majorHAnsi" w:hAnsiTheme="majorHAnsi" w:cstheme="majorHAnsi"/>
                <w:sz w:val="20"/>
                <w:szCs w:val="20"/>
              </w:rPr>
              <w:t>A</w:t>
            </w:r>
            <w:r w:rsidRPr="007B6B73">
              <w:rPr>
                <w:rFonts w:asciiTheme="majorHAnsi" w:hAnsiTheme="majorHAnsi" w:cstheme="majorHAnsi"/>
                <w:sz w:val="20"/>
                <w:szCs w:val="20"/>
              </w:rPr>
              <w:t xml:space="preserve">facerilor </w:t>
            </w:r>
            <w:r w:rsidR="00714B51">
              <w:rPr>
                <w:rFonts w:asciiTheme="majorHAnsi" w:hAnsiTheme="majorHAnsi" w:cstheme="majorHAnsi"/>
                <w:sz w:val="20"/>
                <w:szCs w:val="20"/>
              </w:rPr>
              <w:t>E</w:t>
            </w:r>
            <w:r w:rsidRPr="007B6B73">
              <w:rPr>
                <w:rFonts w:asciiTheme="majorHAnsi" w:hAnsiTheme="majorHAnsi" w:cstheme="majorHAnsi"/>
                <w:sz w:val="20"/>
                <w:szCs w:val="20"/>
              </w:rPr>
              <w:t xml:space="preserve">xterne și </w:t>
            </w:r>
            <w:r w:rsidR="00714B51">
              <w:rPr>
                <w:rFonts w:asciiTheme="majorHAnsi" w:hAnsiTheme="majorHAnsi" w:cstheme="majorHAnsi"/>
                <w:sz w:val="20"/>
                <w:szCs w:val="20"/>
              </w:rPr>
              <w:t>I</w:t>
            </w:r>
            <w:r w:rsidRPr="007B6B73">
              <w:rPr>
                <w:rFonts w:asciiTheme="majorHAnsi" w:hAnsiTheme="majorHAnsi" w:cstheme="majorHAnsi"/>
                <w:sz w:val="20"/>
                <w:szCs w:val="20"/>
              </w:rPr>
              <w:t xml:space="preserve">ntegrării </w:t>
            </w:r>
            <w:r w:rsidR="00714B51">
              <w:rPr>
                <w:rFonts w:asciiTheme="majorHAnsi" w:hAnsiTheme="majorHAnsi" w:cstheme="majorHAnsi"/>
                <w:sz w:val="20"/>
                <w:szCs w:val="20"/>
              </w:rPr>
              <w:t>E</w:t>
            </w:r>
            <w:r w:rsidRPr="007B6B73">
              <w:rPr>
                <w:rFonts w:asciiTheme="majorHAnsi" w:hAnsiTheme="majorHAnsi" w:cstheme="majorHAnsi"/>
                <w:sz w:val="20"/>
                <w:szCs w:val="20"/>
              </w:rPr>
              <w:t xml:space="preserve">uropene </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5</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142243</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Mijloace încasate în bugetul de stat în legătură cu excluderea terenurilor din circuitul agricol</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833,78</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714B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Ministerul </w:t>
            </w:r>
            <w:r w:rsidR="00714B51">
              <w:rPr>
                <w:rFonts w:asciiTheme="majorHAnsi" w:hAnsiTheme="majorHAnsi" w:cstheme="majorHAnsi"/>
                <w:sz w:val="20"/>
                <w:szCs w:val="20"/>
              </w:rPr>
              <w:t>A</w:t>
            </w:r>
            <w:r w:rsidRPr="007B6B73">
              <w:rPr>
                <w:rFonts w:asciiTheme="majorHAnsi" w:hAnsiTheme="majorHAnsi" w:cstheme="majorHAnsi"/>
                <w:sz w:val="20"/>
                <w:szCs w:val="20"/>
              </w:rPr>
              <w:t xml:space="preserve">griculturii, </w:t>
            </w:r>
            <w:r w:rsidR="00714B51">
              <w:rPr>
                <w:rFonts w:asciiTheme="majorHAnsi" w:hAnsiTheme="majorHAnsi" w:cstheme="majorHAnsi"/>
                <w:sz w:val="20"/>
                <w:szCs w:val="20"/>
              </w:rPr>
              <w:t>D</w:t>
            </w:r>
            <w:r w:rsidRPr="007B6B73">
              <w:rPr>
                <w:rFonts w:asciiTheme="majorHAnsi" w:hAnsiTheme="majorHAnsi" w:cstheme="majorHAnsi"/>
                <w:sz w:val="20"/>
                <w:szCs w:val="20"/>
              </w:rPr>
              <w:t xml:space="preserve">ezvoltării </w:t>
            </w:r>
            <w:r w:rsidR="00714B51">
              <w:rPr>
                <w:rFonts w:asciiTheme="majorHAnsi" w:hAnsiTheme="majorHAnsi" w:cstheme="majorHAnsi"/>
                <w:sz w:val="20"/>
                <w:szCs w:val="20"/>
              </w:rPr>
              <w:t>R</w:t>
            </w:r>
            <w:r w:rsidRPr="007B6B73">
              <w:rPr>
                <w:rFonts w:asciiTheme="majorHAnsi" w:hAnsiTheme="majorHAnsi" w:cstheme="majorHAnsi"/>
                <w:sz w:val="20"/>
                <w:szCs w:val="20"/>
              </w:rPr>
              <w:t xml:space="preserve">egionale și </w:t>
            </w:r>
            <w:r w:rsidR="00714B51">
              <w:rPr>
                <w:rFonts w:asciiTheme="majorHAnsi" w:hAnsiTheme="majorHAnsi" w:cstheme="majorHAnsi"/>
                <w:sz w:val="20"/>
                <w:szCs w:val="20"/>
              </w:rPr>
              <w:t>M</w:t>
            </w:r>
            <w:r w:rsidRPr="007B6B73">
              <w:rPr>
                <w:rFonts w:asciiTheme="majorHAnsi" w:hAnsiTheme="majorHAnsi" w:cstheme="majorHAnsi"/>
                <w:sz w:val="20"/>
                <w:szCs w:val="20"/>
              </w:rPr>
              <w:t>ediului</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6</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143112</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Amenzi și sancțiuni contravenționale, aplicate pentru neachitarea vinietei, încasate în bugetul de stat</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1 581,27</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36445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Inspectoratul General al Poliției și Poliți</w:t>
            </w:r>
            <w:r w:rsidR="00364452">
              <w:rPr>
                <w:rFonts w:asciiTheme="majorHAnsi" w:hAnsiTheme="majorHAnsi" w:cstheme="majorHAnsi"/>
                <w:sz w:val="20"/>
                <w:szCs w:val="20"/>
              </w:rPr>
              <w:t>a</w:t>
            </w:r>
            <w:r w:rsidRPr="007B6B73">
              <w:rPr>
                <w:rFonts w:asciiTheme="majorHAnsi" w:hAnsiTheme="majorHAnsi" w:cstheme="majorHAnsi"/>
                <w:sz w:val="20"/>
                <w:szCs w:val="20"/>
              </w:rPr>
              <w:t xml:space="preserve"> de Frontieră</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7</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143114</w:t>
            </w:r>
          </w:p>
        </w:tc>
        <w:tc>
          <w:tcPr>
            <w:tcW w:w="6237" w:type="dxa"/>
          </w:tcPr>
          <w:p w:rsidR="00D74BE4" w:rsidRPr="007B6B73" w:rsidRDefault="00D74BE4" w:rsidP="00714B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Amenzi aplicate de către agenți constatatori din cadrul Autorității Administrative </w:t>
            </w:r>
            <w:r w:rsidR="00714B51">
              <w:rPr>
                <w:rFonts w:asciiTheme="majorHAnsi" w:hAnsiTheme="majorHAnsi" w:cstheme="majorHAnsi"/>
                <w:sz w:val="20"/>
                <w:szCs w:val="20"/>
              </w:rPr>
              <w:t>„</w:t>
            </w:r>
            <w:r w:rsidRPr="007B6B73">
              <w:rPr>
                <w:rFonts w:asciiTheme="majorHAnsi" w:hAnsiTheme="majorHAnsi" w:cstheme="majorHAnsi"/>
                <w:sz w:val="20"/>
                <w:szCs w:val="20"/>
              </w:rPr>
              <w:t>Agenția Națională Transport Auto ”</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9 563,03</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Agenția Națională Transporturi Auto</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8</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143115</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Amenzi aplicate de către Agenția Achiziții Publice</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23,10</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Agenția Achiziții Publice</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9</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143460</w:t>
            </w:r>
          </w:p>
        </w:tc>
        <w:tc>
          <w:tcPr>
            <w:tcW w:w="6237" w:type="dxa"/>
          </w:tcPr>
          <w:p w:rsidR="00D74BE4" w:rsidRPr="007B6B73" w:rsidRDefault="00D74BE4" w:rsidP="00714B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Amenzi aplicate de Agenția pentru Protecția Consumatorilor </w:t>
            </w:r>
            <w:r w:rsidR="00714B51">
              <w:rPr>
                <w:rFonts w:asciiTheme="majorHAnsi" w:hAnsiTheme="majorHAnsi" w:cstheme="majorHAnsi"/>
                <w:sz w:val="20"/>
                <w:szCs w:val="20"/>
              </w:rPr>
              <w:t>ș</w:t>
            </w:r>
            <w:r w:rsidRPr="007B6B73">
              <w:rPr>
                <w:rFonts w:asciiTheme="majorHAnsi" w:hAnsiTheme="majorHAnsi" w:cstheme="majorHAnsi"/>
                <w:sz w:val="20"/>
                <w:szCs w:val="20"/>
              </w:rPr>
              <w:t>i Supravegherea Pieței</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319,39</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MF</w:t>
            </w:r>
          </w:p>
        </w:tc>
        <w:tc>
          <w:tcPr>
            <w:tcW w:w="3328" w:type="dxa"/>
          </w:tcPr>
          <w:p w:rsidR="00D74BE4" w:rsidRPr="007B6B73" w:rsidRDefault="00D74BE4" w:rsidP="00714B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 xml:space="preserve">Agenția pentru Protecția Consumatorilor </w:t>
            </w:r>
            <w:r w:rsidR="00714B51">
              <w:rPr>
                <w:rFonts w:asciiTheme="majorHAnsi" w:hAnsiTheme="majorHAnsi" w:cstheme="majorHAnsi"/>
                <w:sz w:val="20"/>
                <w:szCs w:val="20"/>
              </w:rPr>
              <w:t>ș</w:t>
            </w:r>
            <w:r w:rsidRPr="007B6B73">
              <w:rPr>
                <w:rFonts w:asciiTheme="majorHAnsi" w:hAnsiTheme="majorHAnsi" w:cstheme="majorHAnsi"/>
                <w:sz w:val="20"/>
                <w:szCs w:val="20"/>
              </w:rPr>
              <w:t>i Supravegherea Pieței</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F2F2F2" w:themeFill="background1" w:themeFillShade="F2"/>
          </w:tcPr>
          <w:p w:rsidR="00D74BE4" w:rsidRPr="007B6B73" w:rsidRDefault="00D74BE4" w:rsidP="00524FD8">
            <w:pPr>
              <w:spacing w:line="276" w:lineRule="auto"/>
              <w:jc w:val="both"/>
              <w:rPr>
                <w:rFonts w:asciiTheme="majorHAnsi" w:hAnsiTheme="majorHAnsi" w:cstheme="majorHAnsi"/>
                <w:sz w:val="20"/>
                <w:szCs w:val="20"/>
              </w:rPr>
            </w:pPr>
            <w:r w:rsidRPr="007B6B73">
              <w:rPr>
                <w:rFonts w:asciiTheme="majorHAnsi" w:hAnsiTheme="majorHAnsi" w:cstheme="majorHAnsi"/>
                <w:sz w:val="20"/>
                <w:szCs w:val="20"/>
              </w:rPr>
              <w:t>Total</w:t>
            </w:r>
          </w:p>
        </w:tc>
        <w:tc>
          <w:tcPr>
            <w:tcW w:w="1176" w:type="dxa"/>
            <w:shd w:val="clear" w:color="auto" w:fill="F2F2F2" w:themeFill="background1" w:themeFillShade="F2"/>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47 419,5</w:t>
            </w:r>
          </w:p>
        </w:tc>
        <w:tc>
          <w:tcPr>
            <w:tcW w:w="1450" w:type="dxa"/>
            <w:shd w:val="clear" w:color="auto" w:fill="F2F2F2" w:themeFill="background1" w:themeFillShade="F2"/>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c>
          <w:tcPr>
            <w:tcW w:w="3328" w:type="dxa"/>
            <w:shd w:val="clear" w:color="auto" w:fill="F2F2F2" w:themeFill="background1" w:themeFillShade="F2"/>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sidRPr="007B6B73">
              <w:rPr>
                <w:rFonts w:asciiTheme="majorHAnsi" w:hAnsiTheme="majorHAnsi" w:cstheme="majorHAnsi"/>
                <w:sz w:val="20"/>
                <w:szCs w:val="20"/>
              </w:rPr>
              <w:t>1</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142241</w:t>
            </w:r>
          </w:p>
        </w:tc>
        <w:tc>
          <w:tcPr>
            <w:tcW w:w="6237" w:type="dxa"/>
          </w:tcPr>
          <w:p w:rsidR="00D74BE4" w:rsidRPr="007B6B73" w:rsidRDefault="00D74BE4" w:rsidP="00714B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Plata lunar</w:t>
            </w:r>
            <w:r w:rsidR="00714B51">
              <w:rPr>
                <w:rFonts w:asciiTheme="majorHAnsi" w:hAnsiTheme="majorHAnsi" w:cstheme="majorHAnsi"/>
                <w:sz w:val="20"/>
                <w:szCs w:val="20"/>
              </w:rPr>
              <w:t>ă</w:t>
            </w:r>
            <w:r w:rsidRPr="007B6B73">
              <w:rPr>
                <w:rFonts w:asciiTheme="majorHAnsi" w:hAnsiTheme="majorHAnsi" w:cstheme="majorHAnsi"/>
                <w:sz w:val="20"/>
                <w:szCs w:val="20"/>
              </w:rPr>
              <w:t xml:space="preserve"> pentru prestarea serviciilor de telefonie mobil</w:t>
            </w:r>
            <w:r w:rsidR="00714B51">
              <w:rPr>
                <w:rFonts w:asciiTheme="majorHAnsi" w:hAnsiTheme="majorHAnsi" w:cstheme="majorHAnsi"/>
                <w:sz w:val="20"/>
                <w:szCs w:val="20"/>
              </w:rPr>
              <w:t>ă</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85 732,34</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IB</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Fondul de susținere a populației</w:t>
            </w:r>
            <w:r>
              <w:rPr>
                <w:rFonts w:asciiTheme="majorHAnsi" w:hAnsiTheme="majorHAnsi" w:cstheme="majorHAnsi"/>
                <w:sz w:val="20"/>
                <w:szCs w:val="20"/>
              </w:rPr>
              <w:t>, Agenția Națională Asistență Socială</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2</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114640</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Plata obligatorie a producătorilor de produse vitivinicole</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21 427,4</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Fondul Viei și Vinului</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lastRenderedPageBreak/>
              <w:t>3</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145111</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Alte venituri încasate în BS</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35,4</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SFS</w:t>
            </w:r>
          </w:p>
        </w:tc>
        <w:tc>
          <w:tcPr>
            <w:tcW w:w="3328" w:type="dxa"/>
          </w:tcPr>
          <w:p w:rsidR="00D74BE4" w:rsidRPr="007B6B73" w:rsidRDefault="00D74BE4" w:rsidP="00714B51">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M</w:t>
            </w:r>
            <w:r w:rsidR="00714B51">
              <w:rPr>
                <w:rFonts w:asciiTheme="majorHAnsi" w:hAnsiTheme="majorHAnsi" w:cstheme="majorHAnsi"/>
                <w:sz w:val="20"/>
                <w:szCs w:val="20"/>
              </w:rPr>
              <w:t xml:space="preserve">inisterul </w:t>
            </w:r>
            <w:r w:rsidRPr="007B6B73">
              <w:rPr>
                <w:rFonts w:asciiTheme="majorHAnsi" w:hAnsiTheme="majorHAnsi" w:cstheme="majorHAnsi"/>
                <w:sz w:val="20"/>
                <w:szCs w:val="20"/>
              </w:rPr>
              <w:t>F</w:t>
            </w:r>
            <w:r w:rsidR="00714B51">
              <w:rPr>
                <w:rFonts w:asciiTheme="majorHAnsi" w:hAnsiTheme="majorHAnsi" w:cstheme="majorHAnsi"/>
                <w:sz w:val="20"/>
                <w:szCs w:val="20"/>
              </w:rPr>
              <w:t xml:space="preserve">inanțelor </w:t>
            </w:r>
            <w:r w:rsidRPr="007B6B73">
              <w:rPr>
                <w:rFonts w:asciiTheme="majorHAnsi" w:hAnsiTheme="majorHAnsi" w:cstheme="majorHAnsi"/>
                <w:sz w:val="20"/>
                <w:szCs w:val="20"/>
              </w:rPr>
              <w:t>/S</w:t>
            </w:r>
            <w:r w:rsidR="00714B51">
              <w:rPr>
                <w:rFonts w:asciiTheme="majorHAnsi" w:hAnsiTheme="majorHAnsi" w:cstheme="majorHAnsi"/>
                <w:sz w:val="20"/>
                <w:szCs w:val="20"/>
              </w:rPr>
              <w:t xml:space="preserve">erviciul </w:t>
            </w:r>
            <w:r w:rsidRPr="007B6B73">
              <w:rPr>
                <w:rFonts w:asciiTheme="majorHAnsi" w:hAnsiTheme="majorHAnsi" w:cstheme="majorHAnsi"/>
                <w:sz w:val="20"/>
                <w:szCs w:val="20"/>
              </w:rPr>
              <w:t>F</w:t>
            </w:r>
            <w:r w:rsidR="00714B51">
              <w:rPr>
                <w:rFonts w:asciiTheme="majorHAnsi" w:hAnsiTheme="majorHAnsi" w:cstheme="majorHAnsi"/>
                <w:sz w:val="20"/>
                <w:szCs w:val="20"/>
              </w:rPr>
              <w:t xml:space="preserve">iscal de </w:t>
            </w:r>
            <w:r w:rsidRPr="007B6B73">
              <w:rPr>
                <w:rFonts w:asciiTheme="majorHAnsi" w:hAnsiTheme="majorHAnsi" w:cstheme="majorHAnsi"/>
                <w:sz w:val="20"/>
                <w:szCs w:val="20"/>
              </w:rPr>
              <w:t>S</w:t>
            </w:r>
            <w:r w:rsidR="00714B51">
              <w:rPr>
                <w:rFonts w:asciiTheme="majorHAnsi" w:hAnsiTheme="majorHAnsi" w:cstheme="majorHAnsi"/>
                <w:sz w:val="20"/>
                <w:szCs w:val="20"/>
              </w:rPr>
              <w:t>tat</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4</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142242</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Plata suplimentară obligatorie obținută de la perfectarea și eliberarea certificatului de înmatriculare a automobilului</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6 131,7</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IB</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Fondul de susținere a populației</w:t>
            </w:r>
            <w:r w:rsidR="00714B51">
              <w:rPr>
                <w:rFonts w:asciiTheme="majorHAnsi" w:hAnsiTheme="majorHAnsi" w:cstheme="majorHAnsi"/>
                <w:sz w:val="20"/>
                <w:szCs w:val="20"/>
              </w:rPr>
              <w:t>,</w:t>
            </w:r>
            <w:r>
              <w:rPr>
                <w:rFonts w:asciiTheme="majorHAnsi" w:hAnsiTheme="majorHAnsi" w:cstheme="majorHAnsi"/>
                <w:sz w:val="20"/>
                <w:szCs w:val="20"/>
              </w:rPr>
              <w:t xml:space="preserve"> Agenția Națională Asistență Socială</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584" w:type="dxa"/>
          </w:tcPr>
          <w:p w:rsidR="00D74BE4" w:rsidRPr="007B6B73" w:rsidRDefault="00D74BE4" w:rsidP="00524FD8">
            <w:pPr>
              <w:spacing w:line="276" w:lineRule="auto"/>
              <w:jc w:val="center"/>
              <w:rPr>
                <w:rFonts w:asciiTheme="majorHAnsi" w:hAnsiTheme="majorHAnsi" w:cstheme="majorHAnsi"/>
                <w:sz w:val="20"/>
                <w:szCs w:val="20"/>
              </w:rPr>
            </w:pPr>
            <w:r>
              <w:rPr>
                <w:rFonts w:asciiTheme="majorHAnsi" w:hAnsiTheme="majorHAnsi" w:cstheme="majorHAnsi"/>
                <w:sz w:val="20"/>
                <w:szCs w:val="20"/>
              </w:rPr>
              <w:t>5</w:t>
            </w:r>
          </w:p>
        </w:tc>
        <w:tc>
          <w:tcPr>
            <w:tcW w:w="971"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142220</w:t>
            </w:r>
          </w:p>
        </w:tc>
        <w:tc>
          <w:tcPr>
            <w:tcW w:w="6237" w:type="dxa"/>
          </w:tcPr>
          <w:p w:rsidR="00D74BE4" w:rsidRPr="007B6B73" w:rsidRDefault="00D74BE4" w:rsidP="00524F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Taxa de stat</w:t>
            </w:r>
          </w:p>
        </w:tc>
        <w:tc>
          <w:tcPr>
            <w:tcW w:w="1176" w:type="dxa"/>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195 349,1</w:t>
            </w:r>
          </w:p>
        </w:tc>
        <w:tc>
          <w:tcPr>
            <w:tcW w:w="1450" w:type="dxa"/>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B6B73">
              <w:rPr>
                <w:rFonts w:asciiTheme="majorHAnsi" w:hAnsiTheme="majorHAnsi" w:cstheme="majorHAnsi"/>
                <w:sz w:val="20"/>
                <w:szCs w:val="20"/>
              </w:rPr>
              <w:t>SFS</w:t>
            </w:r>
          </w:p>
        </w:tc>
        <w:tc>
          <w:tcPr>
            <w:tcW w:w="3328" w:type="dxa"/>
          </w:tcPr>
          <w:p w:rsidR="00D74BE4" w:rsidRPr="007B6B73" w:rsidRDefault="00D74BE4" w:rsidP="00524FD8">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MD"/>
              </w:rPr>
            </w:pPr>
            <w:r w:rsidRPr="007B6B73">
              <w:rPr>
                <w:rFonts w:asciiTheme="majorHAnsi" w:hAnsiTheme="majorHAnsi" w:cstheme="majorHAnsi"/>
                <w:sz w:val="20"/>
                <w:szCs w:val="20"/>
              </w:rPr>
              <w:t xml:space="preserve">Mai mulți administratori </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F2F2F2" w:themeFill="background1" w:themeFillShade="F2"/>
          </w:tcPr>
          <w:p w:rsidR="00D74BE4" w:rsidRPr="007B6B73" w:rsidRDefault="00D74BE4" w:rsidP="00524FD8">
            <w:pPr>
              <w:spacing w:line="276" w:lineRule="auto"/>
              <w:jc w:val="both"/>
              <w:rPr>
                <w:rFonts w:asciiTheme="majorHAnsi" w:hAnsiTheme="majorHAnsi" w:cstheme="majorHAnsi"/>
                <w:sz w:val="20"/>
                <w:szCs w:val="20"/>
              </w:rPr>
            </w:pPr>
            <w:r w:rsidRPr="007B6B73">
              <w:rPr>
                <w:rFonts w:asciiTheme="majorHAnsi" w:hAnsiTheme="majorHAnsi" w:cstheme="majorHAnsi"/>
                <w:sz w:val="20"/>
                <w:szCs w:val="20"/>
              </w:rPr>
              <w:t>Total</w:t>
            </w:r>
          </w:p>
        </w:tc>
        <w:tc>
          <w:tcPr>
            <w:tcW w:w="1176" w:type="dxa"/>
            <w:shd w:val="clear" w:color="auto" w:fill="F2F2F2" w:themeFill="background1" w:themeFillShade="F2"/>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308 675,9</w:t>
            </w:r>
          </w:p>
        </w:tc>
        <w:tc>
          <w:tcPr>
            <w:tcW w:w="1450" w:type="dxa"/>
            <w:shd w:val="clear" w:color="auto" w:fill="F2F2F2" w:themeFill="background1" w:themeFillShade="F2"/>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c>
          <w:tcPr>
            <w:tcW w:w="3328" w:type="dxa"/>
            <w:shd w:val="clear" w:color="auto" w:fill="F2F2F2" w:themeFill="background1" w:themeFillShade="F2"/>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r>
      <w:tr w:rsidR="00D74BE4" w:rsidRPr="007B6B73" w:rsidTr="00524FD8">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D5DCE4" w:themeFill="text2" w:themeFillTint="33"/>
          </w:tcPr>
          <w:p w:rsidR="00D74BE4" w:rsidRPr="007B6B73" w:rsidRDefault="00D74BE4" w:rsidP="00524FD8">
            <w:pPr>
              <w:spacing w:line="276" w:lineRule="auto"/>
              <w:jc w:val="both"/>
              <w:rPr>
                <w:rFonts w:asciiTheme="majorHAnsi" w:hAnsiTheme="majorHAnsi" w:cstheme="majorHAnsi"/>
                <w:sz w:val="20"/>
                <w:szCs w:val="20"/>
              </w:rPr>
            </w:pPr>
            <w:r w:rsidRPr="007B6B73">
              <w:rPr>
                <w:rFonts w:asciiTheme="majorHAnsi" w:hAnsiTheme="majorHAnsi" w:cstheme="majorHAnsi"/>
                <w:sz w:val="20"/>
                <w:szCs w:val="20"/>
              </w:rPr>
              <w:t>Total General</w:t>
            </w:r>
          </w:p>
        </w:tc>
        <w:tc>
          <w:tcPr>
            <w:tcW w:w="1176" w:type="dxa"/>
            <w:shd w:val="clear" w:color="auto" w:fill="D5DCE4" w:themeFill="text2" w:themeFillTint="33"/>
          </w:tcPr>
          <w:p w:rsidR="00D74BE4" w:rsidRPr="007B6B73" w:rsidRDefault="00D74BE4" w:rsidP="00524FD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356 095,4</w:t>
            </w:r>
          </w:p>
        </w:tc>
        <w:tc>
          <w:tcPr>
            <w:tcW w:w="1450" w:type="dxa"/>
            <w:shd w:val="clear" w:color="auto" w:fill="D5DCE4" w:themeFill="text2" w:themeFillTint="33"/>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c>
          <w:tcPr>
            <w:tcW w:w="3328" w:type="dxa"/>
            <w:shd w:val="clear" w:color="auto" w:fill="D5DCE4" w:themeFill="text2" w:themeFillTint="33"/>
          </w:tcPr>
          <w:p w:rsidR="00D74BE4" w:rsidRPr="007B6B73" w:rsidRDefault="00D74BE4" w:rsidP="00524FD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7B6B73">
              <w:rPr>
                <w:rFonts w:asciiTheme="majorHAnsi" w:hAnsiTheme="majorHAnsi" w:cstheme="majorHAnsi"/>
                <w:b/>
                <w:sz w:val="20"/>
                <w:szCs w:val="20"/>
              </w:rPr>
              <w:t>x</w:t>
            </w:r>
          </w:p>
        </w:tc>
      </w:tr>
    </w:tbl>
    <w:p w:rsidR="00394327" w:rsidRPr="00AC5C97" w:rsidRDefault="00394327" w:rsidP="00394327">
      <w:pPr>
        <w:spacing w:after="0" w:line="276" w:lineRule="auto"/>
        <w:jc w:val="both"/>
        <w:rPr>
          <w:rFonts w:asciiTheme="majorHAnsi" w:hAnsiTheme="majorHAnsi" w:cstheme="majorHAnsi"/>
          <w:i/>
          <w:sz w:val="20"/>
          <w:szCs w:val="20"/>
        </w:rPr>
      </w:pPr>
      <w:r w:rsidRPr="00AC5C97">
        <w:rPr>
          <w:rFonts w:asciiTheme="majorHAnsi" w:hAnsiTheme="majorHAnsi" w:cstheme="majorHAnsi"/>
          <w:b/>
          <w:i/>
          <w:sz w:val="20"/>
          <w:szCs w:val="20"/>
        </w:rPr>
        <w:t>Sursă:</w:t>
      </w:r>
      <w:r w:rsidRPr="00AC5C97">
        <w:rPr>
          <w:rFonts w:asciiTheme="majorHAnsi" w:hAnsiTheme="majorHAnsi" w:cstheme="majorHAnsi"/>
          <w:i/>
          <w:sz w:val="20"/>
          <w:szCs w:val="20"/>
        </w:rPr>
        <w:t xml:space="preserve"> Date sistematizate de către echipa de audit.</w:t>
      </w:r>
    </w:p>
    <w:p w:rsidR="000C2B35" w:rsidRDefault="000C2B35" w:rsidP="00D74BE4">
      <w:pPr>
        <w:tabs>
          <w:tab w:val="left" w:pos="720"/>
        </w:tabs>
        <w:spacing w:after="0" w:line="276" w:lineRule="auto"/>
        <w:rPr>
          <w:rFonts w:asciiTheme="majorHAnsi" w:eastAsia="Times New Roman" w:hAnsiTheme="majorHAnsi" w:cstheme="majorHAnsi"/>
          <w:b/>
          <w:bCs/>
          <w:sz w:val="24"/>
          <w:szCs w:val="24"/>
          <w:lang w:val="ro-MD"/>
        </w:rPr>
      </w:pPr>
    </w:p>
    <w:p w:rsidR="00394327" w:rsidRDefault="000C2B35" w:rsidP="000C2B35">
      <w:pPr>
        <w:tabs>
          <w:tab w:val="left" w:pos="720"/>
        </w:tabs>
        <w:spacing w:after="0" w:line="276" w:lineRule="auto"/>
        <w:jc w:val="right"/>
        <w:rPr>
          <w:rFonts w:asciiTheme="majorHAnsi" w:eastAsia="Times New Roman" w:hAnsiTheme="majorHAnsi" w:cstheme="majorHAnsi"/>
          <w:b/>
          <w:bCs/>
          <w:sz w:val="24"/>
          <w:szCs w:val="24"/>
          <w:lang w:val="ro-MD"/>
        </w:rPr>
      </w:pPr>
      <w:r>
        <w:rPr>
          <w:rFonts w:asciiTheme="majorHAnsi" w:eastAsia="Times New Roman" w:hAnsiTheme="majorHAnsi" w:cstheme="majorHAnsi"/>
          <w:b/>
          <w:bCs/>
          <w:sz w:val="24"/>
          <w:szCs w:val="24"/>
          <w:lang w:val="ro-MD"/>
        </w:rPr>
        <w:t>Anexa nr.5</w:t>
      </w:r>
    </w:p>
    <w:p w:rsidR="000C2B35" w:rsidRPr="00BA0E20" w:rsidRDefault="000C2B35" w:rsidP="000C2B35">
      <w:pPr>
        <w:spacing w:after="0" w:line="240" w:lineRule="auto"/>
        <w:ind w:left="284"/>
        <w:jc w:val="center"/>
        <w:rPr>
          <w:rFonts w:asciiTheme="majorHAnsi" w:hAnsiTheme="majorHAnsi" w:cstheme="majorHAnsi"/>
          <w:b/>
          <w:sz w:val="24"/>
          <w:szCs w:val="24"/>
        </w:rPr>
      </w:pPr>
      <w:r w:rsidRPr="00BA0E20">
        <w:rPr>
          <w:rFonts w:asciiTheme="majorHAnsi" w:hAnsiTheme="majorHAnsi" w:cstheme="majorHAnsi"/>
          <w:b/>
          <w:sz w:val="24"/>
          <w:szCs w:val="24"/>
        </w:rPr>
        <w:t>Informația privind vânzarea și privatizarea bunurilor proprietate publică în anul 2018</w:t>
      </w:r>
    </w:p>
    <w:p w:rsidR="000C2B35" w:rsidRPr="00BA0E20" w:rsidRDefault="000C2B35" w:rsidP="000C2B35">
      <w:pPr>
        <w:spacing w:after="0" w:line="240" w:lineRule="auto"/>
        <w:ind w:left="284"/>
        <w:jc w:val="right"/>
        <w:rPr>
          <w:rFonts w:asciiTheme="majorHAnsi" w:hAnsiTheme="majorHAnsi" w:cstheme="majorHAnsi"/>
          <w:b/>
          <w:sz w:val="24"/>
          <w:szCs w:val="24"/>
        </w:rPr>
      </w:pPr>
      <w:r w:rsidRPr="00BA0E20">
        <w:rPr>
          <w:rFonts w:asciiTheme="majorHAnsi" w:hAnsiTheme="majorHAnsi" w:cstheme="majorHAnsi"/>
          <w:b/>
          <w:sz w:val="24"/>
          <w:szCs w:val="24"/>
        </w:rPr>
        <w:t xml:space="preserve">(mii </w:t>
      </w:r>
      <w:r w:rsidR="007160B9">
        <w:rPr>
          <w:rFonts w:asciiTheme="majorHAnsi" w:hAnsiTheme="majorHAnsi" w:cstheme="majorHAnsi"/>
          <w:b/>
          <w:sz w:val="24"/>
          <w:szCs w:val="24"/>
        </w:rPr>
        <w:t>MDL</w:t>
      </w:r>
      <w:r w:rsidRPr="00BA0E20">
        <w:rPr>
          <w:rFonts w:asciiTheme="majorHAnsi" w:hAnsiTheme="majorHAnsi" w:cstheme="majorHAnsi"/>
          <w:b/>
          <w:sz w:val="24"/>
          <w:szCs w:val="24"/>
        </w:rPr>
        <w:t>)</w:t>
      </w:r>
    </w:p>
    <w:tbl>
      <w:tblPr>
        <w:tblStyle w:val="GridTable1Light"/>
        <w:tblW w:w="13344" w:type="dxa"/>
        <w:tblLook w:val="04A0" w:firstRow="1" w:lastRow="0" w:firstColumn="1" w:lastColumn="0" w:noHBand="0" w:noVBand="1"/>
      </w:tblPr>
      <w:tblGrid>
        <w:gridCol w:w="887"/>
        <w:gridCol w:w="4075"/>
        <w:gridCol w:w="1488"/>
        <w:gridCol w:w="1262"/>
        <w:gridCol w:w="1464"/>
        <w:gridCol w:w="1133"/>
        <w:gridCol w:w="1626"/>
        <w:gridCol w:w="1409"/>
      </w:tblGrid>
      <w:tr w:rsidR="000C2B35" w:rsidRPr="00BA0E20" w:rsidTr="00716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vMerge w:val="restart"/>
            <w:shd w:val="clear" w:color="auto" w:fill="D5DCE4" w:themeFill="text2" w:themeFillTint="33"/>
            <w:vAlign w:val="center"/>
          </w:tcPr>
          <w:p w:rsidR="000C2B35" w:rsidRPr="00BA0E20" w:rsidRDefault="000C2B35" w:rsidP="007160B9">
            <w:pPr>
              <w:jc w:val="center"/>
              <w:rPr>
                <w:rFonts w:asciiTheme="majorHAnsi" w:hAnsiTheme="majorHAnsi" w:cstheme="majorHAnsi"/>
              </w:rPr>
            </w:pPr>
            <w:r w:rsidRPr="00BA0E20">
              <w:rPr>
                <w:rFonts w:asciiTheme="majorHAnsi" w:hAnsiTheme="majorHAnsi" w:cstheme="majorHAnsi"/>
              </w:rPr>
              <w:t>Cod</w:t>
            </w:r>
          </w:p>
        </w:tc>
        <w:tc>
          <w:tcPr>
            <w:tcW w:w="4081" w:type="dxa"/>
            <w:vMerge w:val="restart"/>
            <w:shd w:val="clear" w:color="auto" w:fill="D5DCE4" w:themeFill="text2" w:themeFillTint="33"/>
            <w:vAlign w:val="center"/>
          </w:tcPr>
          <w:p w:rsidR="000C2B35" w:rsidRPr="00BA0E20" w:rsidRDefault="000C2B35"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Indicatori</w:t>
            </w:r>
          </w:p>
        </w:tc>
        <w:tc>
          <w:tcPr>
            <w:tcW w:w="2752" w:type="dxa"/>
            <w:gridSpan w:val="2"/>
            <w:shd w:val="clear" w:color="auto" w:fill="D5DCE4" w:themeFill="text2" w:themeFillTint="33"/>
          </w:tcPr>
          <w:p w:rsidR="000C2B35" w:rsidRPr="00BA0E20" w:rsidRDefault="000C2B35"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MF</w:t>
            </w:r>
          </w:p>
        </w:tc>
        <w:tc>
          <w:tcPr>
            <w:tcW w:w="2598" w:type="dxa"/>
            <w:gridSpan w:val="2"/>
            <w:shd w:val="clear" w:color="auto" w:fill="D5DCE4" w:themeFill="text2" w:themeFillTint="33"/>
          </w:tcPr>
          <w:p w:rsidR="000C2B35" w:rsidRPr="00BA0E20" w:rsidRDefault="000C2B35"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APP</w:t>
            </w:r>
          </w:p>
        </w:tc>
        <w:tc>
          <w:tcPr>
            <w:tcW w:w="1627" w:type="dxa"/>
            <w:vMerge w:val="restart"/>
            <w:shd w:val="clear" w:color="auto" w:fill="D5DCE4" w:themeFill="text2" w:themeFillTint="33"/>
            <w:vAlign w:val="center"/>
          </w:tcPr>
          <w:p w:rsidR="000C2B35" w:rsidRPr="00BA0E20" w:rsidRDefault="000C2B35"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Devieri (+/-) venituri din privatizare</w:t>
            </w:r>
          </w:p>
        </w:tc>
        <w:tc>
          <w:tcPr>
            <w:tcW w:w="1410" w:type="dxa"/>
            <w:vMerge w:val="restart"/>
            <w:shd w:val="clear" w:color="auto" w:fill="D5DCE4" w:themeFill="text2" w:themeFillTint="33"/>
            <w:vAlign w:val="center"/>
          </w:tcPr>
          <w:p w:rsidR="000C2B35" w:rsidRPr="00BA0E20" w:rsidRDefault="000C2B35"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Devieri (+/-) Impozitul privat</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vMerge/>
            <w:shd w:val="clear" w:color="auto" w:fill="D5DCE4" w:themeFill="text2" w:themeFillTint="33"/>
          </w:tcPr>
          <w:p w:rsidR="000C2B35" w:rsidRPr="00BA0E20" w:rsidRDefault="000C2B35" w:rsidP="007160B9">
            <w:pPr>
              <w:jc w:val="center"/>
              <w:rPr>
                <w:rFonts w:asciiTheme="majorHAnsi" w:hAnsiTheme="majorHAnsi" w:cstheme="majorHAnsi"/>
              </w:rPr>
            </w:pPr>
          </w:p>
        </w:tc>
        <w:tc>
          <w:tcPr>
            <w:tcW w:w="4081" w:type="dxa"/>
            <w:vMerge/>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489"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Venituri din privatizare</w:t>
            </w:r>
          </w:p>
        </w:tc>
        <w:tc>
          <w:tcPr>
            <w:tcW w:w="1263"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Impozitul privat</w:t>
            </w:r>
          </w:p>
        </w:tc>
        <w:tc>
          <w:tcPr>
            <w:tcW w:w="1465"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Venituri din privatizare</w:t>
            </w:r>
          </w:p>
        </w:tc>
        <w:tc>
          <w:tcPr>
            <w:tcW w:w="1133"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Impozitul privat</w:t>
            </w:r>
          </w:p>
        </w:tc>
        <w:tc>
          <w:tcPr>
            <w:tcW w:w="1627" w:type="dxa"/>
            <w:vMerge/>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1410" w:type="dxa"/>
            <w:vMerge/>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vMerge/>
            <w:shd w:val="clear" w:color="auto" w:fill="D5DCE4" w:themeFill="text2" w:themeFillTint="33"/>
          </w:tcPr>
          <w:p w:rsidR="000C2B35" w:rsidRPr="00BA0E20" w:rsidRDefault="000C2B35" w:rsidP="007160B9">
            <w:pPr>
              <w:jc w:val="center"/>
              <w:rPr>
                <w:rFonts w:asciiTheme="majorHAnsi" w:hAnsiTheme="majorHAnsi" w:cstheme="majorHAnsi"/>
                <w:b w:val="0"/>
                <w:i/>
                <w:sz w:val="18"/>
                <w:szCs w:val="18"/>
              </w:rPr>
            </w:pPr>
          </w:p>
        </w:tc>
        <w:tc>
          <w:tcPr>
            <w:tcW w:w="4081"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1</w:t>
            </w:r>
          </w:p>
        </w:tc>
        <w:tc>
          <w:tcPr>
            <w:tcW w:w="1489"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2</w:t>
            </w:r>
          </w:p>
        </w:tc>
        <w:tc>
          <w:tcPr>
            <w:tcW w:w="1263"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3</w:t>
            </w:r>
          </w:p>
        </w:tc>
        <w:tc>
          <w:tcPr>
            <w:tcW w:w="1465"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4</w:t>
            </w:r>
          </w:p>
        </w:tc>
        <w:tc>
          <w:tcPr>
            <w:tcW w:w="1133"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5</w:t>
            </w:r>
          </w:p>
        </w:tc>
        <w:tc>
          <w:tcPr>
            <w:tcW w:w="1627"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6=4-2</w:t>
            </w:r>
          </w:p>
        </w:tc>
        <w:tc>
          <w:tcPr>
            <w:tcW w:w="1410" w:type="dxa"/>
            <w:shd w:val="clear" w:color="auto" w:fill="D5DCE4" w:themeFill="text2" w:themeFillTint="33"/>
          </w:tcPr>
          <w:p w:rsidR="000C2B35" w:rsidRPr="00BA0E20" w:rsidRDefault="000C2B35"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rPr>
            </w:pPr>
            <w:r w:rsidRPr="00BA0E20">
              <w:rPr>
                <w:rFonts w:asciiTheme="majorHAnsi" w:hAnsiTheme="majorHAnsi" w:cstheme="majorHAnsi"/>
                <w:i/>
                <w:sz w:val="18"/>
                <w:szCs w:val="18"/>
              </w:rPr>
              <w:t>7=5-3</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shd w:val="clear" w:color="auto" w:fill="D5DCE4" w:themeFill="text2" w:themeFillTint="33"/>
          </w:tcPr>
          <w:p w:rsidR="000C2B35" w:rsidRPr="00BA0E20" w:rsidRDefault="000C2B35" w:rsidP="007160B9">
            <w:pPr>
              <w:rPr>
                <w:rFonts w:asciiTheme="majorHAnsi" w:hAnsiTheme="majorHAnsi" w:cstheme="majorHAnsi"/>
              </w:rPr>
            </w:pPr>
            <w:r w:rsidRPr="00BA0E20">
              <w:rPr>
                <w:rFonts w:asciiTheme="majorHAnsi" w:hAnsiTheme="majorHAnsi" w:cstheme="majorHAnsi"/>
              </w:rPr>
              <w:t>-</w:t>
            </w:r>
          </w:p>
        </w:tc>
        <w:tc>
          <w:tcPr>
            <w:tcW w:w="4081" w:type="dxa"/>
            <w:shd w:val="clear" w:color="auto" w:fill="D5DCE4" w:themeFill="text2" w:themeFillTint="33"/>
          </w:tcPr>
          <w:p w:rsidR="000C2B35" w:rsidRPr="00BA0E20" w:rsidRDefault="000C2B35" w:rsidP="007160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Total executat</w:t>
            </w:r>
          </w:p>
        </w:tc>
        <w:tc>
          <w:tcPr>
            <w:tcW w:w="1489"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801 929,4</w:t>
            </w:r>
          </w:p>
        </w:tc>
        <w:tc>
          <w:tcPr>
            <w:tcW w:w="1263"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8 126,65</w:t>
            </w:r>
          </w:p>
        </w:tc>
        <w:tc>
          <w:tcPr>
            <w:tcW w:w="1465"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813 727,1</w:t>
            </w:r>
          </w:p>
        </w:tc>
        <w:tc>
          <w:tcPr>
            <w:tcW w:w="1133"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8 159,8</w:t>
            </w:r>
          </w:p>
        </w:tc>
        <w:tc>
          <w:tcPr>
            <w:tcW w:w="1627"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11 797,6</w:t>
            </w:r>
          </w:p>
        </w:tc>
        <w:tc>
          <w:tcPr>
            <w:tcW w:w="1410" w:type="dxa"/>
            <w:shd w:val="clear" w:color="auto" w:fill="D5DCE4" w:themeFill="text2"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33,2</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shd w:val="clear" w:color="auto" w:fill="EDEDED" w:themeFill="accent3" w:themeFillTint="33"/>
          </w:tcPr>
          <w:p w:rsidR="000C2B35" w:rsidRPr="00BA0E20" w:rsidRDefault="000C2B35" w:rsidP="007160B9">
            <w:pPr>
              <w:rPr>
                <w:rFonts w:asciiTheme="majorHAnsi" w:hAnsiTheme="majorHAnsi" w:cstheme="majorHAnsi"/>
              </w:rPr>
            </w:pPr>
            <w:r w:rsidRPr="00BA0E20">
              <w:rPr>
                <w:rFonts w:asciiTheme="majorHAnsi" w:hAnsiTheme="majorHAnsi" w:cstheme="majorHAnsi"/>
              </w:rPr>
              <w:t>-</w:t>
            </w:r>
          </w:p>
        </w:tc>
        <w:tc>
          <w:tcPr>
            <w:tcW w:w="4081" w:type="dxa"/>
            <w:shd w:val="clear" w:color="auto" w:fill="EDEDED" w:themeFill="accent3" w:themeFillTint="33"/>
          </w:tcPr>
          <w:p w:rsidR="000C2B35" w:rsidRPr="00BA0E20" w:rsidRDefault="000C2B35" w:rsidP="007160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Total încasat/calculat</w:t>
            </w:r>
          </w:p>
        </w:tc>
        <w:tc>
          <w:tcPr>
            <w:tcW w:w="1489"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813 727,1</w:t>
            </w:r>
          </w:p>
        </w:tc>
        <w:tc>
          <w:tcPr>
            <w:tcW w:w="126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8 173,6</w:t>
            </w:r>
          </w:p>
        </w:tc>
        <w:tc>
          <w:tcPr>
            <w:tcW w:w="1465"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813 727,1</w:t>
            </w:r>
          </w:p>
        </w:tc>
        <w:tc>
          <w:tcPr>
            <w:tcW w:w="113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8 159,8</w:t>
            </w:r>
          </w:p>
        </w:tc>
        <w:tc>
          <w:tcPr>
            <w:tcW w:w="1627"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0,0</w:t>
            </w:r>
          </w:p>
        </w:tc>
        <w:tc>
          <w:tcPr>
            <w:tcW w:w="1410"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-13,8</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shd w:val="clear" w:color="auto" w:fill="EDEDED" w:themeFill="accent3" w:themeFillTint="33"/>
          </w:tcPr>
          <w:p w:rsidR="000C2B35" w:rsidRPr="00BA0E20" w:rsidRDefault="000C2B35" w:rsidP="007160B9">
            <w:pPr>
              <w:rPr>
                <w:rFonts w:asciiTheme="majorHAnsi" w:hAnsiTheme="majorHAnsi" w:cstheme="majorHAnsi"/>
                <w:b w:val="0"/>
                <w:i/>
              </w:rPr>
            </w:pPr>
            <w:r w:rsidRPr="00BA0E20">
              <w:rPr>
                <w:rFonts w:asciiTheme="majorHAnsi" w:hAnsiTheme="majorHAnsi" w:cstheme="majorHAnsi"/>
                <w:b w:val="0"/>
                <w:i/>
              </w:rPr>
              <w:t>-</w:t>
            </w:r>
          </w:p>
        </w:tc>
        <w:tc>
          <w:tcPr>
            <w:tcW w:w="4081" w:type="dxa"/>
            <w:shd w:val="clear" w:color="auto" w:fill="EDEDED" w:themeFill="accent3" w:themeFillTint="33"/>
          </w:tcPr>
          <w:p w:rsidR="000C2B35" w:rsidRPr="00BA0E20" w:rsidRDefault="000C2B35" w:rsidP="007160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Restituiri (-)</w:t>
            </w:r>
          </w:p>
        </w:tc>
        <w:tc>
          <w:tcPr>
            <w:tcW w:w="1489"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11797,6</w:t>
            </w:r>
          </w:p>
        </w:tc>
        <w:tc>
          <w:tcPr>
            <w:tcW w:w="126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46,06</w:t>
            </w:r>
          </w:p>
        </w:tc>
        <w:tc>
          <w:tcPr>
            <w:tcW w:w="1465"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13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627"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410"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shd w:val="clear" w:color="auto" w:fill="EDEDED" w:themeFill="accent3" w:themeFillTint="33"/>
          </w:tcPr>
          <w:p w:rsidR="000C2B35" w:rsidRPr="00BA0E20" w:rsidRDefault="000C2B35" w:rsidP="007160B9">
            <w:pPr>
              <w:rPr>
                <w:rFonts w:asciiTheme="majorHAnsi" w:hAnsiTheme="majorHAnsi" w:cstheme="majorHAnsi"/>
                <w:b w:val="0"/>
                <w:i/>
              </w:rPr>
            </w:pPr>
            <w:r w:rsidRPr="00BA0E20">
              <w:rPr>
                <w:rFonts w:asciiTheme="majorHAnsi" w:hAnsiTheme="majorHAnsi" w:cstheme="majorHAnsi"/>
                <w:b w:val="0"/>
                <w:i/>
              </w:rPr>
              <w:t>-</w:t>
            </w:r>
          </w:p>
        </w:tc>
        <w:tc>
          <w:tcPr>
            <w:tcW w:w="4081" w:type="dxa"/>
            <w:shd w:val="clear" w:color="auto" w:fill="EDEDED" w:themeFill="accent3" w:themeFillTint="33"/>
          </w:tcPr>
          <w:p w:rsidR="000C2B35" w:rsidRPr="00BA0E20" w:rsidRDefault="000C2B35" w:rsidP="007160B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Transferuri (-)</w:t>
            </w:r>
          </w:p>
        </w:tc>
        <w:tc>
          <w:tcPr>
            <w:tcW w:w="1489"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0,0</w:t>
            </w:r>
          </w:p>
        </w:tc>
        <w:tc>
          <w:tcPr>
            <w:tcW w:w="126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0,9</w:t>
            </w:r>
          </w:p>
        </w:tc>
        <w:tc>
          <w:tcPr>
            <w:tcW w:w="1465"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133"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627"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c>
          <w:tcPr>
            <w:tcW w:w="1410" w:type="dxa"/>
            <w:shd w:val="clear" w:color="auto" w:fill="EDEDED" w:themeFill="accent3" w:themeFillTint="33"/>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BA0E20">
              <w:rPr>
                <w:rFonts w:asciiTheme="majorHAnsi" w:hAnsiTheme="majorHAnsi" w:cstheme="majorHAnsi"/>
                <w: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tcPr>
          <w:p w:rsidR="000C2B35" w:rsidRPr="00BA0E20" w:rsidRDefault="000C2B35" w:rsidP="007160B9">
            <w:pPr>
              <w:rPr>
                <w:rFonts w:asciiTheme="majorHAnsi" w:hAnsiTheme="majorHAnsi" w:cstheme="majorHAnsi"/>
                <w:b w:val="0"/>
              </w:rPr>
            </w:pPr>
            <w:r w:rsidRPr="00BA0E20">
              <w:rPr>
                <w:rFonts w:asciiTheme="majorHAnsi" w:hAnsiTheme="majorHAnsi" w:cstheme="majorHAnsi"/>
                <w:b w:val="0"/>
              </w:rPr>
              <w:t>415232</w:t>
            </w:r>
          </w:p>
        </w:tc>
        <w:tc>
          <w:tcPr>
            <w:tcW w:w="4081" w:type="dxa"/>
          </w:tcPr>
          <w:p w:rsidR="000C2B35" w:rsidRPr="00BA0E20" w:rsidRDefault="000C2B35"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Privatizarea pachetelor de acțiuni/cotelor sociale proprietate publică</w:t>
            </w:r>
          </w:p>
        </w:tc>
        <w:tc>
          <w:tcPr>
            <w:tcW w:w="1489"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47474,3</w:t>
            </w:r>
          </w:p>
        </w:tc>
        <w:tc>
          <w:tcPr>
            <w:tcW w:w="126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c>
          <w:tcPr>
            <w:tcW w:w="1465"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47498,9</w:t>
            </w:r>
          </w:p>
        </w:tc>
        <w:tc>
          <w:tcPr>
            <w:tcW w:w="113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474,8</w:t>
            </w:r>
          </w:p>
        </w:tc>
        <w:tc>
          <w:tcPr>
            <w:tcW w:w="1627"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24,6</w:t>
            </w:r>
          </w:p>
        </w:tc>
        <w:tc>
          <w:tcPr>
            <w:tcW w:w="1410"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tcPr>
          <w:p w:rsidR="000C2B35" w:rsidRPr="00BA0E20" w:rsidRDefault="000C2B35" w:rsidP="007160B9">
            <w:pPr>
              <w:rPr>
                <w:rFonts w:asciiTheme="majorHAnsi" w:hAnsiTheme="majorHAnsi" w:cstheme="majorHAnsi"/>
                <w:b w:val="0"/>
              </w:rPr>
            </w:pPr>
            <w:r w:rsidRPr="00BA0E20">
              <w:rPr>
                <w:rFonts w:asciiTheme="majorHAnsi" w:hAnsiTheme="majorHAnsi" w:cstheme="majorHAnsi"/>
                <w:b w:val="0"/>
              </w:rPr>
              <w:t>415233</w:t>
            </w:r>
          </w:p>
        </w:tc>
        <w:tc>
          <w:tcPr>
            <w:tcW w:w="4081" w:type="dxa"/>
          </w:tcPr>
          <w:p w:rsidR="000C2B35" w:rsidRPr="00BA0E20" w:rsidRDefault="000C2B35" w:rsidP="0096284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 xml:space="preserve">Privatizarea întreprinderilor de stat/municipale, </w:t>
            </w:r>
            <w:r w:rsidR="0096284C">
              <w:rPr>
                <w:rFonts w:asciiTheme="majorHAnsi" w:hAnsiTheme="majorHAnsi" w:cstheme="majorHAnsi"/>
                <w:b/>
              </w:rPr>
              <w:t>drept</w:t>
            </w:r>
            <w:r w:rsidRPr="00BA0E20">
              <w:rPr>
                <w:rFonts w:asciiTheme="majorHAnsi" w:hAnsiTheme="majorHAnsi" w:cstheme="majorHAnsi"/>
                <w:b/>
              </w:rPr>
              <w:t xml:space="preserve"> complexe patrimoniale unice</w:t>
            </w:r>
          </w:p>
        </w:tc>
        <w:tc>
          <w:tcPr>
            <w:tcW w:w="1489"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289380,0</w:t>
            </w:r>
          </w:p>
        </w:tc>
        <w:tc>
          <w:tcPr>
            <w:tcW w:w="126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c>
          <w:tcPr>
            <w:tcW w:w="1465"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289380,0</w:t>
            </w:r>
          </w:p>
        </w:tc>
        <w:tc>
          <w:tcPr>
            <w:tcW w:w="113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2891,8</w:t>
            </w:r>
          </w:p>
        </w:tc>
        <w:tc>
          <w:tcPr>
            <w:tcW w:w="1627"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0,0</w:t>
            </w:r>
          </w:p>
        </w:tc>
        <w:tc>
          <w:tcPr>
            <w:tcW w:w="1410"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tcPr>
          <w:p w:rsidR="000C2B35" w:rsidRPr="00BA0E20" w:rsidRDefault="000C2B35" w:rsidP="007160B9">
            <w:pPr>
              <w:rPr>
                <w:rFonts w:asciiTheme="majorHAnsi" w:hAnsiTheme="majorHAnsi" w:cstheme="majorHAnsi"/>
                <w:b w:val="0"/>
              </w:rPr>
            </w:pPr>
            <w:r w:rsidRPr="00BA0E20">
              <w:rPr>
                <w:rFonts w:asciiTheme="majorHAnsi" w:hAnsiTheme="majorHAnsi" w:cstheme="majorHAnsi"/>
                <w:b w:val="0"/>
              </w:rPr>
              <w:t>415234</w:t>
            </w:r>
          </w:p>
        </w:tc>
        <w:tc>
          <w:tcPr>
            <w:tcW w:w="4081" w:type="dxa"/>
          </w:tcPr>
          <w:p w:rsidR="000C2B35" w:rsidRPr="00BA0E20" w:rsidRDefault="000C2B35"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Privatizarea obiectelor nefinalizate, complexelor de bunuri, bunurilor imobile și mobile, încăperilor nelocuibile</w:t>
            </w:r>
          </w:p>
        </w:tc>
        <w:tc>
          <w:tcPr>
            <w:tcW w:w="1489"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9795,96</w:t>
            </w:r>
          </w:p>
        </w:tc>
        <w:tc>
          <w:tcPr>
            <w:tcW w:w="126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c>
          <w:tcPr>
            <w:tcW w:w="1465"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21569,0</w:t>
            </w:r>
          </w:p>
        </w:tc>
        <w:tc>
          <w:tcPr>
            <w:tcW w:w="113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215,5</w:t>
            </w:r>
          </w:p>
        </w:tc>
        <w:tc>
          <w:tcPr>
            <w:tcW w:w="1627"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11 773,0</w:t>
            </w:r>
          </w:p>
        </w:tc>
        <w:tc>
          <w:tcPr>
            <w:tcW w:w="1410"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tcPr>
          <w:p w:rsidR="000C2B35" w:rsidRPr="00BA0E20" w:rsidRDefault="000C2B35" w:rsidP="007160B9">
            <w:pPr>
              <w:rPr>
                <w:rFonts w:asciiTheme="majorHAnsi" w:hAnsiTheme="majorHAnsi" w:cstheme="majorHAnsi"/>
                <w:b w:val="0"/>
              </w:rPr>
            </w:pPr>
            <w:r w:rsidRPr="00BA0E20">
              <w:rPr>
                <w:rFonts w:asciiTheme="majorHAnsi" w:hAnsiTheme="majorHAnsi" w:cstheme="majorHAnsi"/>
                <w:b w:val="0"/>
              </w:rPr>
              <w:t>415235</w:t>
            </w:r>
          </w:p>
        </w:tc>
        <w:tc>
          <w:tcPr>
            <w:tcW w:w="4081" w:type="dxa"/>
          </w:tcPr>
          <w:p w:rsidR="000C2B35" w:rsidRPr="00BA0E20" w:rsidRDefault="000C2B35"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Vânzarea terenurilor</w:t>
            </w:r>
          </w:p>
        </w:tc>
        <w:tc>
          <w:tcPr>
            <w:tcW w:w="1489"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3745,87</w:t>
            </w:r>
          </w:p>
        </w:tc>
        <w:tc>
          <w:tcPr>
            <w:tcW w:w="126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c>
          <w:tcPr>
            <w:tcW w:w="1465"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3745,87</w:t>
            </w:r>
          </w:p>
        </w:tc>
        <w:tc>
          <w:tcPr>
            <w:tcW w:w="113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62,4</w:t>
            </w:r>
          </w:p>
        </w:tc>
        <w:tc>
          <w:tcPr>
            <w:tcW w:w="1627"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0,0</w:t>
            </w:r>
          </w:p>
        </w:tc>
        <w:tc>
          <w:tcPr>
            <w:tcW w:w="1410"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r>
      <w:tr w:rsidR="000C2B35" w:rsidRPr="00BA0E20" w:rsidTr="007160B9">
        <w:tc>
          <w:tcPr>
            <w:cnfStyle w:val="001000000000" w:firstRow="0" w:lastRow="0" w:firstColumn="1" w:lastColumn="0" w:oddVBand="0" w:evenVBand="0" w:oddHBand="0" w:evenHBand="0" w:firstRowFirstColumn="0" w:firstRowLastColumn="0" w:lastRowFirstColumn="0" w:lastRowLastColumn="0"/>
            <w:tcW w:w="876" w:type="dxa"/>
          </w:tcPr>
          <w:p w:rsidR="000C2B35" w:rsidRPr="00BA0E20" w:rsidRDefault="000C2B35" w:rsidP="007160B9">
            <w:pPr>
              <w:rPr>
                <w:rFonts w:asciiTheme="majorHAnsi" w:hAnsiTheme="majorHAnsi" w:cstheme="majorHAnsi"/>
                <w:b w:val="0"/>
              </w:rPr>
            </w:pPr>
            <w:r w:rsidRPr="00BA0E20">
              <w:rPr>
                <w:rFonts w:asciiTheme="majorHAnsi" w:hAnsiTheme="majorHAnsi" w:cstheme="majorHAnsi"/>
                <w:b w:val="0"/>
              </w:rPr>
              <w:t>415236</w:t>
            </w:r>
          </w:p>
        </w:tc>
        <w:tc>
          <w:tcPr>
            <w:tcW w:w="4081" w:type="dxa"/>
          </w:tcPr>
          <w:p w:rsidR="000C2B35" w:rsidRPr="00BA0E20" w:rsidRDefault="000C2B35"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BA0E20">
              <w:rPr>
                <w:rFonts w:asciiTheme="majorHAnsi" w:hAnsiTheme="majorHAnsi" w:cstheme="majorHAnsi"/>
                <w:b/>
              </w:rPr>
              <w:t>Vânzarea pachetelor de acțiuni nou-emise de banca de importanță sistemică</w:t>
            </w:r>
          </w:p>
        </w:tc>
        <w:tc>
          <w:tcPr>
            <w:tcW w:w="1489"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451533,33</w:t>
            </w:r>
          </w:p>
        </w:tc>
        <w:tc>
          <w:tcPr>
            <w:tcW w:w="126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4515,3</w:t>
            </w:r>
          </w:p>
        </w:tc>
        <w:tc>
          <w:tcPr>
            <w:tcW w:w="1465"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451533,33</w:t>
            </w:r>
          </w:p>
        </w:tc>
        <w:tc>
          <w:tcPr>
            <w:tcW w:w="1133"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4515,3</w:t>
            </w:r>
          </w:p>
        </w:tc>
        <w:tc>
          <w:tcPr>
            <w:tcW w:w="1627"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0,0</w:t>
            </w:r>
          </w:p>
        </w:tc>
        <w:tc>
          <w:tcPr>
            <w:tcW w:w="1410" w:type="dxa"/>
          </w:tcPr>
          <w:p w:rsidR="000C2B35" w:rsidRPr="00BA0E20" w:rsidRDefault="000C2B35" w:rsidP="007160B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A0E20">
              <w:rPr>
                <w:rFonts w:asciiTheme="majorHAnsi" w:hAnsiTheme="majorHAnsi" w:cstheme="majorHAnsi"/>
              </w:rPr>
              <w:t>x</w:t>
            </w:r>
          </w:p>
        </w:tc>
      </w:tr>
    </w:tbl>
    <w:p w:rsidR="00A44B18" w:rsidRPr="005D708E" w:rsidRDefault="000C2B35" w:rsidP="005D708E">
      <w:pPr>
        <w:spacing w:after="0" w:line="240" w:lineRule="auto"/>
        <w:jc w:val="both"/>
        <w:rPr>
          <w:rFonts w:asciiTheme="majorHAnsi" w:hAnsiTheme="majorHAnsi" w:cstheme="majorHAnsi"/>
          <w:i/>
          <w:sz w:val="20"/>
          <w:szCs w:val="20"/>
        </w:rPr>
      </w:pPr>
      <w:r w:rsidRPr="00BA0E20">
        <w:rPr>
          <w:rFonts w:asciiTheme="majorHAnsi" w:hAnsiTheme="majorHAnsi" w:cstheme="majorHAnsi"/>
          <w:b/>
          <w:i/>
          <w:sz w:val="20"/>
          <w:szCs w:val="20"/>
        </w:rPr>
        <w:t>Sursă:</w:t>
      </w:r>
      <w:r w:rsidRPr="00BA0E20">
        <w:rPr>
          <w:rFonts w:asciiTheme="majorHAnsi" w:hAnsiTheme="majorHAnsi" w:cstheme="majorHAnsi"/>
          <w:i/>
          <w:sz w:val="20"/>
          <w:szCs w:val="20"/>
        </w:rPr>
        <w:t xml:space="preserve"> Raport privind executarea bugetului conform clasificației economice la situația din 31.12.2018 (Forma FE-009), Informație prezentată de către persoanele responsabile din cadrul APP.</w:t>
      </w:r>
    </w:p>
    <w:p w:rsidR="00A44B18" w:rsidRDefault="00A44B18" w:rsidP="00844680">
      <w:pPr>
        <w:tabs>
          <w:tab w:val="left" w:pos="993"/>
        </w:tabs>
        <w:spacing w:after="0" w:line="276" w:lineRule="auto"/>
        <w:jc w:val="right"/>
        <w:rPr>
          <w:rFonts w:asciiTheme="majorHAnsi" w:hAnsiTheme="majorHAnsi" w:cstheme="majorHAnsi"/>
          <w:b/>
          <w:sz w:val="24"/>
          <w:szCs w:val="24"/>
          <w:lang w:val="ro-MD"/>
        </w:rPr>
      </w:pPr>
    </w:p>
    <w:p w:rsidR="00844680" w:rsidRPr="00B95415" w:rsidRDefault="00844680" w:rsidP="00844680">
      <w:pPr>
        <w:tabs>
          <w:tab w:val="left" w:pos="993"/>
        </w:tabs>
        <w:spacing w:after="0" w:line="276"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lastRenderedPageBreak/>
        <w:t>Anexa nr.6</w:t>
      </w:r>
    </w:p>
    <w:p w:rsidR="00844680" w:rsidRDefault="00844680" w:rsidP="00844680">
      <w:pPr>
        <w:shd w:val="clear" w:color="auto" w:fill="FFFFFF" w:themeFill="background1"/>
        <w:spacing w:after="0" w:line="276" w:lineRule="auto"/>
        <w:ind w:right="9" w:firstLine="709"/>
        <w:jc w:val="center"/>
        <w:rPr>
          <w:rFonts w:asciiTheme="majorHAnsi" w:hAnsiTheme="majorHAnsi" w:cstheme="majorHAnsi"/>
          <w:b/>
          <w:sz w:val="24"/>
          <w:szCs w:val="24"/>
        </w:rPr>
      </w:pPr>
      <w:r w:rsidRPr="001F4C38">
        <w:rPr>
          <w:rFonts w:asciiTheme="majorHAnsi" w:hAnsiTheme="majorHAnsi" w:cstheme="majorHAnsi"/>
          <w:b/>
          <w:sz w:val="24"/>
          <w:szCs w:val="24"/>
        </w:rPr>
        <w:t xml:space="preserve">Informația privind transferurile alocate </w:t>
      </w:r>
      <w:r w:rsidR="0096284C">
        <w:rPr>
          <w:rFonts w:asciiTheme="majorHAnsi" w:hAnsiTheme="majorHAnsi" w:cstheme="majorHAnsi"/>
          <w:b/>
          <w:sz w:val="24"/>
          <w:szCs w:val="24"/>
        </w:rPr>
        <w:t xml:space="preserve">în </w:t>
      </w:r>
      <w:r w:rsidRPr="001F4C38">
        <w:rPr>
          <w:rFonts w:asciiTheme="majorHAnsi" w:hAnsiTheme="majorHAnsi" w:cstheme="majorHAnsi"/>
          <w:b/>
          <w:sz w:val="24"/>
          <w:szCs w:val="24"/>
        </w:rPr>
        <w:t>BUAT, altele decât aprobate prin Legea bugetară anuală</w:t>
      </w:r>
      <w:r>
        <w:rPr>
          <w:rFonts w:asciiTheme="majorHAnsi" w:hAnsiTheme="majorHAnsi" w:cstheme="majorHAnsi"/>
          <w:b/>
          <w:sz w:val="24"/>
          <w:szCs w:val="24"/>
        </w:rPr>
        <w:t xml:space="preserve"> (Anexa nr.5)</w:t>
      </w:r>
    </w:p>
    <w:p w:rsidR="00844680" w:rsidRPr="001F4C38" w:rsidRDefault="00844680" w:rsidP="00844680">
      <w:pPr>
        <w:shd w:val="clear" w:color="auto" w:fill="FFFFFF" w:themeFill="background1"/>
        <w:spacing w:after="0" w:line="276" w:lineRule="auto"/>
        <w:ind w:right="9" w:firstLine="709"/>
        <w:jc w:val="center"/>
        <w:rPr>
          <w:rFonts w:asciiTheme="majorHAnsi" w:hAnsiTheme="majorHAnsi" w:cstheme="majorHAnsi"/>
          <w:b/>
          <w:sz w:val="24"/>
          <w:szCs w:val="24"/>
        </w:rPr>
      </w:pPr>
    </w:p>
    <w:tbl>
      <w:tblPr>
        <w:tblStyle w:val="GridTable1Light"/>
        <w:tblW w:w="13320" w:type="dxa"/>
        <w:tblLook w:val="04A0" w:firstRow="1" w:lastRow="0" w:firstColumn="1" w:lastColumn="0" w:noHBand="0" w:noVBand="1"/>
      </w:tblPr>
      <w:tblGrid>
        <w:gridCol w:w="704"/>
        <w:gridCol w:w="11482"/>
        <w:gridCol w:w="1134"/>
      </w:tblGrid>
      <w:tr w:rsidR="00844680" w:rsidRPr="00B95415" w:rsidTr="00716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rsidR="00844680" w:rsidRPr="00B95415" w:rsidRDefault="00844680" w:rsidP="007160B9">
            <w:pPr>
              <w:jc w:val="center"/>
              <w:rPr>
                <w:rFonts w:asciiTheme="majorHAnsi" w:hAnsiTheme="majorHAnsi" w:cstheme="majorHAnsi"/>
                <w:sz w:val="24"/>
                <w:szCs w:val="24"/>
              </w:rPr>
            </w:pPr>
            <w:r w:rsidRPr="00B95415">
              <w:rPr>
                <w:rFonts w:asciiTheme="majorHAnsi" w:hAnsiTheme="majorHAnsi" w:cstheme="majorHAnsi"/>
                <w:sz w:val="24"/>
                <w:szCs w:val="24"/>
              </w:rPr>
              <w:t>Nr. d/o</w:t>
            </w:r>
          </w:p>
        </w:tc>
        <w:tc>
          <w:tcPr>
            <w:tcW w:w="11482" w:type="dxa"/>
            <w:shd w:val="clear" w:color="auto" w:fill="auto"/>
            <w:vAlign w:val="center"/>
          </w:tcPr>
          <w:p w:rsidR="00844680" w:rsidRPr="00B95415" w:rsidRDefault="00844680" w:rsidP="007160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Cadrul legal</w:t>
            </w:r>
          </w:p>
        </w:tc>
        <w:tc>
          <w:tcPr>
            <w:tcW w:w="1134" w:type="dxa"/>
            <w:shd w:val="clear" w:color="auto" w:fill="auto"/>
            <w:vAlign w:val="center"/>
          </w:tcPr>
          <w:p w:rsidR="00844680" w:rsidRPr="00B95415" w:rsidRDefault="00844680" w:rsidP="0096284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 xml:space="preserve">Suma (mil. </w:t>
            </w:r>
            <w:r w:rsidR="007160B9">
              <w:rPr>
                <w:rFonts w:asciiTheme="majorHAnsi" w:hAnsiTheme="majorHAnsi" w:cstheme="majorHAnsi"/>
                <w:sz w:val="24"/>
                <w:szCs w:val="24"/>
              </w:rPr>
              <w:t>MDL</w:t>
            </w:r>
            <w:r w:rsidRPr="00B95415">
              <w:rPr>
                <w:rFonts w:asciiTheme="majorHAnsi" w:hAnsiTheme="majorHAnsi" w:cstheme="majorHAnsi"/>
                <w:sz w:val="24"/>
                <w:szCs w:val="24"/>
              </w:rPr>
              <w:t>)</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96284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 xml:space="preserve">Legea nr.1225-XII din 08.12.1992 </w:t>
            </w:r>
            <w:r w:rsidR="0096284C">
              <w:rPr>
                <w:rFonts w:asciiTheme="majorHAnsi" w:hAnsiTheme="majorHAnsi" w:cstheme="majorHAnsi"/>
                <w:sz w:val="24"/>
                <w:szCs w:val="24"/>
              </w:rPr>
              <w:t>p</w:t>
            </w:r>
            <w:r w:rsidRPr="00B95415">
              <w:rPr>
                <w:rFonts w:asciiTheme="majorHAnsi" w:hAnsiTheme="majorHAnsi" w:cstheme="majorHAnsi"/>
                <w:sz w:val="24"/>
                <w:szCs w:val="24"/>
              </w:rPr>
              <w:t>rivind reabilitarea victimelor represiunilor politice</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21,9</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96284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 xml:space="preserve">Legea nr.154-XVI din 05.07.2007 </w:t>
            </w:r>
            <w:r w:rsidR="0096284C">
              <w:rPr>
                <w:rFonts w:asciiTheme="majorHAnsi" w:hAnsiTheme="majorHAnsi" w:cstheme="majorHAnsi"/>
                <w:sz w:val="24"/>
                <w:szCs w:val="24"/>
              </w:rPr>
              <w:t>p</w:t>
            </w:r>
            <w:r w:rsidRPr="00B95415">
              <w:rPr>
                <w:rFonts w:asciiTheme="majorHAnsi" w:hAnsiTheme="majorHAnsi" w:cstheme="majorHAnsi"/>
                <w:sz w:val="24"/>
                <w:szCs w:val="24"/>
              </w:rPr>
              <w:t>rivind acordarea compensației unice pentru conectarea la conducta de gaze naturale a unor categorii de populație din mediul rural</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0,04</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 xml:space="preserve">Hotărârea Guvernului nr.400 din </w:t>
            </w:r>
            <w:r w:rsidRPr="00B95415">
              <w:rPr>
                <w:rFonts w:asciiTheme="majorHAnsi" w:hAnsiTheme="majorHAnsi" w:cstheme="majorHAnsi"/>
                <w:color w:val="000000"/>
                <w:sz w:val="24"/>
                <w:szCs w:val="24"/>
              </w:rPr>
              <w:t>25.04.2018</w:t>
            </w:r>
            <w:r w:rsidRPr="00B95415">
              <w:rPr>
                <w:rFonts w:asciiTheme="majorHAnsi" w:hAnsiTheme="majorHAnsi" w:cstheme="majorHAnsi"/>
                <w:sz w:val="24"/>
                <w:szCs w:val="24"/>
              </w:rPr>
              <w:t xml:space="preserve"> „Cu privire la aprobarea Programului activităților de reintegrare a țării pe anul 2018”</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11,4</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Hotărârea Guvernului nr.836 din 13.09.2010 „Cu privire la acordarea indemnizațiilor unice pentru construcția sau procurarea spațiului locativ sau restaurarea caselor vechi unor categorii de cetățeni”</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2,5</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Hotărârea Guvernului nr.247 din 21.03.2018 „Privind finanțarea lucrărilor de renovare a instituțiilor de învățământ primar, gimnazial și liceal din subordinea autorităților administrației publice locale în anul 2018”</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58,9</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Hotărârea Guvernului nr.1095 din 08.11.2018 „Cu privire la repartizarea mijloacelor financiare”</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12,8</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Hotărârea Guvernului nr.879 din 05.09.2018 „Privind punerea în aplicare a Legii nr.185/2018 pentru modificarea Legii nr.355/2005 cu privire la sistemul de salarizare în sistemul bugetar”</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11,1</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844680" w:rsidRPr="00B95415" w:rsidRDefault="00844680" w:rsidP="007160B9">
            <w:pPr>
              <w:pStyle w:val="ListParagraph"/>
              <w:numPr>
                <w:ilvl w:val="0"/>
                <w:numId w:val="18"/>
              </w:numPr>
              <w:jc w:val="both"/>
              <w:rPr>
                <w:rFonts w:asciiTheme="majorHAnsi" w:hAnsiTheme="majorHAnsi" w:cstheme="majorHAnsi"/>
                <w:sz w:val="24"/>
                <w:szCs w:val="24"/>
              </w:rPr>
            </w:pPr>
          </w:p>
        </w:tc>
        <w:tc>
          <w:tcPr>
            <w:tcW w:w="11482" w:type="dxa"/>
            <w:shd w:val="clear" w:color="auto" w:fill="auto"/>
          </w:tcPr>
          <w:p w:rsidR="00844680" w:rsidRPr="00B95415" w:rsidRDefault="00844680" w:rsidP="007160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Hotărârea Guvernului nr.583 din 20.06.2018 „Cu privire la repartizarea mijloacelor financiare”</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95415">
              <w:rPr>
                <w:rFonts w:asciiTheme="majorHAnsi" w:hAnsiTheme="majorHAnsi" w:cstheme="majorHAnsi"/>
                <w:sz w:val="24"/>
                <w:szCs w:val="24"/>
              </w:rPr>
              <w:t>0,7</w:t>
            </w:r>
          </w:p>
        </w:tc>
      </w:tr>
      <w:tr w:rsidR="00844680" w:rsidRPr="00B95415" w:rsidTr="007160B9">
        <w:tc>
          <w:tcPr>
            <w:cnfStyle w:val="001000000000" w:firstRow="0" w:lastRow="0" w:firstColumn="1" w:lastColumn="0" w:oddVBand="0" w:evenVBand="0" w:oddHBand="0" w:evenHBand="0" w:firstRowFirstColumn="0" w:firstRowLastColumn="0" w:lastRowFirstColumn="0" w:lastRowLastColumn="0"/>
            <w:tcW w:w="12186" w:type="dxa"/>
            <w:gridSpan w:val="2"/>
            <w:shd w:val="clear" w:color="auto" w:fill="auto"/>
          </w:tcPr>
          <w:p w:rsidR="00844680" w:rsidRPr="00B95415" w:rsidRDefault="00844680" w:rsidP="007160B9">
            <w:pPr>
              <w:jc w:val="both"/>
              <w:rPr>
                <w:rFonts w:asciiTheme="majorHAnsi" w:hAnsiTheme="majorHAnsi" w:cstheme="majorHAnsi"/>
                <w:sz w:val="24"/>
                <w:szCs w:val="24"/>
              </w:rPr>
            </w:pPr>
            <w:r w:rsidRPr="00B95415">
              <w:rPr>
                <w:rFonts w:asciiTheme="majorHAnsi" w:hAnsiTheme="majorHAnsi" w:cstheme="majorHAnsi"/>
                <w:sz w:val="24"/>
                <w:szCs w:val="24"/>
              </w:rPr>
              <w:t>TOTAL</w:t>
            </w:r>
          </w:p>
        </w:tc>
        <w:tc>
          <w:tcPr>
            <w:tcW w:w="1134" w:type="dxa"/>
            <w:shd w:val="clear" w:color="auto" w:fill="auto"/>
          </w:tcPr>
          <w:p w:rsidR="00844680" w:rsidRPr="00B95415" w:rsidRDefault="00844680" w:rsidP="007160B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rPr>
            </w:pPr>
            <w:r w:rsidRPr="00B95415">
              <w:rPr>
                <w:rFonts w:asciiTheme="majorHAnsi" w:hAnsiTheme="majorHAnsi" w:cstheme="majorHAnsi"/>
                <w:b/>
                <w:sz w:val="24"/>
                <w:szCs w:val="24"/>
              </w:rPr>
              <w:t>119,3</w:t>
            </w:r>
          </w:p>
        </w:tc>
      </w:tr>
    </w:tbl>
    <w:p w:rsidR="00844680" w:rsidRPr="00B95415" w:rsidRDefault="00844680" w:rsidP="00844680">
      <w:pPr>
        <w:shd w:val="clear" w:color="auto" w:fill="FFFFFF" w:themeFill="background1"/>
        <w:spacing w:after="0" w:line="276" w:lineRule="auto"/>
        <w:jc w:val="both"/>
        <w:rPr>
          <w:rFonts w:asciiTheme="majorHAnsi" w:eastAsia="MS Mincho" w:hAnsiTheme="majorHAnsi" w:cstheme="majorHAnsi"/>
          <w:sz w:val="20"/>
          <w:szCs w:val="20"/>
          <w:lang w:eastAsia="ja-JP"/>
        </w:rPr>
      </w:pPr>
      <w:r w:rsidRPr="00B95415">
        <w:rPr>
          <w:rFonts w:asciiTheme="majorHAnsi" w:eastAsia="MS Mincho" w:hAnsiTheme="majorHAnsi" w:cstheme="majorHAnsi"/>
          <w:b/>
          <w:i/>
          <w:sz w:val="20"/>
          <w:szCs w:val="20"/>
          <w:lang w:eastAsia="ja-JP"/>
        </w:rPr>
        <w:t xml:space="preserve">Sursă: </w:t>
      </w:r>
      <w:r w:rsidRPr="00B95415">
        <w:rPr>
          <w:rFonts w:asciiTheme="majorHAnsi" w:eastAsia="MS Mincho" w:hAnsiTheme="majorHAnsi" w:cstheme="majorHAnsi"/>
          <w:sz w:val="20"/>
          <w:szCs w:val="20"/>
          <w:lang w:eastAsia="ja-JP"/>
        </w:rPr>
        <w:t xml:space="preserve">Informații prezentate de </w:t>
      </w:r>
      <w:r>
        <w:rPr>
          <w:rFonts w:asciiTheme="majorHAnsi" w:eastAsia="MS Mincho" w:hAnsiTheme="majorHAnsi" w:cstheme="majorHAnsi"/>
          <w:sz w:val="20"/>
          <w:szCs w:val="20"/>
          <w:lang w:eastAsia="ja-JP"/>
        </w:rPr>
        <w:t xml:space="preserve">către persoanele responsabili din cadrul </w:t>
      </w:r>
      <w:r w:rsidRPr="00B95415">
        <w:rPr>
          <w:rFonts w:asciiTheme="majorHAnsi" w:eastAsia="MS Mincho" w:hAnsiTheme="majorHAnsi" w:cstheme="majorHAnsi"/>
          <w:sz w:val="20"/>
          <w:szCs w:val="20"/>
          <w:lang w:eastAsia="ja-JP"/>
        </w:rPr>
        <w:t>Ministerul</w:t>
      </w:r>
      <w:r>
        <w:rPr>
          <w:rFonts w:asciiTheme="majorHAnsi" w:eastAsia="MS Mincho" w:hAnsiTheme="majorHAnsi" w:cstheme="majorHAnsi"/>
          <w:sz w:val="20"/>
          <w:szCs w:val="20"/>
          <w:lang w:eastAsia="ja-JP"/>
        </w:rPr>
        <w:t>ui</w:t>
      </w:r>
      <w:r w:rsidRPr="00B95415">
        <w:rPr>
          <w:rFonts w:asciiTheme="majorHAnsi" w:eastAsia="MS Mincho" w:hAnsiTheme="majorHAnsi" w:cstheme="majorHAnsi"/>
          <w:sz w:val="20"/>
          <w:szCs w:val="20"/>
          <w:lang w:eastAsia="ja-JP"/>
        </w:rPr>
        <w:t xml:space="preserve"> Finanțelor</w:t>
      </w:r>
      <w:r>
        <w:rPr>
          <w:rFonts w:asciiTheme="majorHAnsi" w:eastAsia="MS Mincho" w:hAnsiTheme="majorHAnsi" w:cstheme="majorHAnsi"/>
          <w:sz w:val="20"/>
          <w:szCs w:val="20"/>
          <w:lang w:eastAsia="ja-JP"/>
        </w:rPr>
        <w:t>.</w:t>
      </w:r>
    </w:p>
    <w:p w:rsidR="005D58CA" w:rsidRDefault="005D58CA" w:rsidP="005D58CA">
      <w:pPr>
        <w:tabs>
          <w:tab w:val="left" w:pos="720"/>
        </w:tabs>
        <w:spacing w:after="0" w:line="276" w:lineRule="auto"/>
        <w:ind w:firstLine="720"/>
        <w:jc w:val="right"/>
        <w:rPr>
          <w:rFonts w:asciiTheme="majorHAnsi" w:eastAsia="Times New Roman" w:hAnsiTheme="majorHAnsi" w:cstheme="majorHAnsi"/>
          <w:b/>
          <w:bCs/>
          <w:sz w:val="24"/>
          <w:szCs w:val="24"/>
          <w:lang w:val="ro-MD"/>
        </w:rPr>
      </w:pPr>
    </w:p>
    <w:p w:rsidR="005D58CA" w:rsidRPr="0015015F" w:rsidRDefault="005D58CA" w:rsidP="005D58CA">
      <w:pPr>
        <w:tabs>
          <w:tab w:val="left" w:pos="720"/>
        </w:tabs>
        <w:spacing w:after="0" w:line="276" w:lineRule="auto"/>
        <w:ind w:firstLine="720"/>
        <w:jc w:val="right"/>
        <w:rPr>
          <w:rFonts w:asciiTheme="majorHAnsi" w:eastAsia="Times New Roman" w:hAnsiTheme="majorHAnsi" w:cstheme="majorHAnsi"/>
          <w:b/>
          <w:bCs/>
          <w:sz w:val="24"/>
          <w:szCs w:val="24"/>
          <w:lang w:val="ro-MD"/>
        </w:rPr>
      </w:pPr>
      <w:r>
        <w:rPr>
          <w:rFonts w:asciiTheme="majorHAnsi" w:eastAsia="Times New Roman" w:hAnsiTheme="majorHAnsi" w:cstheme="majorHAnsi"/>
          <w:b/>
          <w:bCs/>
          <w:sz w:val="24"/>
          <w:szCs w:val="24"/>
          <w:lang w:val="ro-MD"/>
        </w:rPr>
        <w:t>Anexa nr.7</w:t>
      </w:r>
    </w:p>
    <w:p w:rsidR="005D58CA" w:rsidRPr="0015015F" w:rsidRDefault="005D58CA" w:rsidP="005D58CA">
      <w:pPr>
        <w:spacing w:after="0" w:line="240" w:lineRule="auto"/>
        <w:jc w:val="center"/>
        <w:rPr>
          <w:rFonts w:asciiTheme="majorHAnsi" w:eastAsia="Times New Roman" w:hAnsiTheme="majorHAnsi" w:cstheme="majorHAnsi"/>
          <w:b/>
          <w:bCs/>
          <w:sz w:val="24"/>
          <w:szCs w:val="24"/>
          <w:lang w:val="ro-MD"/>
        </w:rPr>
      </w:pPr>
      <w:r w:rsidRPr="0015015F">
        <w:rPr>
          <w:rFonts w:asciiTheme="majorHAnsi" w:eastAsia="Times New Roman" w:hAnsiTheme="majorHAnsi" w:cstheme="majorHAnsi"/>
          <w:b/>
          <w:bCs/>
          <w:sz w:val="24"/>
          <w:szCs w:val="24"/>
          <w:lang w:val="ro-MD"/>
        </w:rPr>
        <w:t>Sinteza executării veniturilor sub aspectul indicatorilor (capitol) aprobați</w:t>
      </w:r>
      <w:r>
        <w:rPr>
          <w:rFonts w:asciiTheme="majorHAnsi" w:eastAsia="Times New Roman" w:hAnsiTheme="majorHAnsi" w:cstheme="majorHAnsi"/>
          <w:b/>
          <w:bCs/>
          <w:sz w:val="24"/>
          <w:szCs w:val="24"/>
          <w:lang w:val="ro-MD"/>
        </w:rPr>
        <w:t>/precizați</w:t>
      </w:r>
      <w:r w:rsidRPr="0015015F">
        <w:rPr>
          <w:rFonts w:asciiTheme="majorHAnsi" w:eastAsia="Times New Roman" w:hAnsiTheme="majorHAnsi" w:cstheme="majorHAnsi"/>
          <w:b/>
          <w:bCs/>
          <w:sz w:val="24"/>
          <w:szCs w:val="24"/>
          <w:lang w:val="ro-MD"/>
        </w:rPr>
        <w:t xml:space="preserve"> prin Legea bugetului de stat pentru anul 2018</w:t>
      </w:r>
    </w:p>
    <w:tbl>
      <w:tblPr>
        <w:tblW w:w="13467" w:type="dxa"/>
        <w:tblLook w:val="04A0" w:firstRow="1" w:lastRow="0" w:firstColumn="1" w:lastColumn="0" w:noHBand="0" w:noVBand="1"/>
      </w:tblPr>
      <w:tblGrid>
        <w:gridCol w:w="5670"/>
        <w:gridCol w:w="755"/>
        <w:gridCol w:w="1230"/>
        <w:gridCol w:w="1417"/>
        <w:gridCol w:w="1241"/>
        <w:gridCol w:w="883"/>
        <w:gridCol w:w="6"/>
        <w:gridCol w:w="1131"/>
        <w:gridCol w:w="1134"/>
      </w:tblGrid>
      <w:tr w:rsidR="005D708E" w:rsidRPr="0015015F" w:rsidTr="00716272">
        <w:trPr>
          <w:trHeight w:val="288"/>
        </w:trPr>
        <w:tc>
          <w:tcPr>
            <w:tcW w:w="5670" w:type="dxa"/>
            <w:tcBorders>
              <w:top w:val="nil"/>
              <w:left w:val="nil"/>
              <w:bottom w:val="nil"/>
              <w:right w:val="nil"/>
            </w:tcBorders>
            <w:shd w:val="clear" w:color="auto" w:fill="auto"/>
            <w:noWrap/>
            <w:vAlign w:val="bottom"/>
            <w:hideMark/>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755" w:type="dxa"/>
            <w:tcBorders>
              <w:top w:val="nil"/>
              <w:left w:val="nil"/>
              <w:bottom w:val="nil"/>
              <w:right w:val="nil"/>
            </w:tcBorders>
            <w:shd w:val="clear" w:color="auto" w:fill="auto"/>
            <w:noWrap/>
            <w:vAlign w:val="bottom"/>
            <w:hideMark/>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1230" w:type="dxa"/>
            <w:tcBorders>
              <w:top w:val="nil"/>
              <w:left w:val="nil"/>
              <w:bottom w:val="single" w:sz="4" w:space="0" w:color="auto"/>
              <w:right w:val="nil"/>
            </w:tcBorders>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1417" w:type="dxa"/>
            <w:tcBorders>
              <w:top w:val="nil"/>
              <w:left w:val="nil"/>
              <w:bottom w:val="nil"/>
              <w:right w:val="nil"/>
            </w:tcBorders>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1241" w:type="dxa"/>
            <w:tcBorders>
              <w:top w:val="nil"/>
              <w:left w:val="nil"/>
              <w:bottom w:val="nil"/>
              <w:right w:val="nil"/>
            </w:tcBorders>
            <w:shd w:val="clear" w:color="auto" w:fill="auto"/>
            <w:noWrap/>
            <w:vAlign w:val="bottom"/>
            <w:hideMark/>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883" w:type="dxa"/>
            <w:tcBorders>
              <w:top w:val="nil"/>
              <w:left w:val="nil"/>
              <w:bottom w:val="nil"/>
              <w:right w:val="nil"/>
            </w:tcBorders>
            <w:shd w:val="clear" w:color="auto" w:fill="auto"/>
            <w:noWrap/>
            <w:vAlign w:val="bottom"/>
            <w:hideMark/>
          </w:tcPr>
          <w:p w:rsidR="005D708E" w:rsidRPr="0015015F" w:rsidRDefault="005D708E" w:rsidP="007160B9">
            <w:pPr>
              <w:spacing w:after="0" w:line="240" w:lineRule="auto"/>
              <w:rPr>
                <w:rFonts w:asciiTheme="majorHAnsi" w:eastAsia="Times New Roman" w:hAnsiTheme="majorHAnsi" w:cstheme="majorHAnsi"/>
                <w:sz w:val="24"/>
                <w:szCs w:val="24"/>
                <w:lang w:val="ro-MD"/>
              </w:rPr>
            </w:pPr>
          </w:p>
        </w:tc>
        <w:tc>
          <w:tcPr>
            <w:tcW w:w="2271" w:type="dxa"/>
            <w:gridSpan w:val="3"/>
            <w:tcBorders>
              <w:top w:val="nil"/>
              <w:left w:val="nil"/>
              <w:bottom w:val="nil"/>
              <w:right w:val="nil"/>
            </w:tcBorders>
            <w:shd w:val="clear" w:color="auto" w:fill="auto"/>
            <w:noWrap/>
            <w:vAlign w:val="bottom"/>
            <w:hideMark/>
          </w:tcPr>
          <w:p w:rsidR="005D708E" w:rsidRPr="0015015F" w:rsidRDefault="005D708E" w:rsidP="005D708E">
            <w:pPr>
              <w:spacing w:after="0" w:line="240" w:lineRule="auto"/>
              <w:jc w:val="right"/>
              <w:rPr>
                <w:rFonts w:asciiTheme="majorHAnsi" w:eastAsia="Times New Roman" w:hAnsiTheme="majorHAnsi" w:cstheme="majorHAnsi"/>
                <w:b/>
                <w:bCs/>
                <w:color w:val="000000"/>
                <w:sz w:val="24"/>
                <w:szCs w:val="24"/>
                <w:lang w:val="ro-MD"/>
              </w:rPr>
            </w:pPr>
            <w:r w:rsidRPr="005D708E">
              <w:rPr>
                <w:rFonts w:asciiTheme="majorHAnsi" w:eastAsia="Times New Roman" w:hAnsiTheme="majorHAnsi" w:cstheme="majorHAnsi"/>
                <w:b/>
                <w:bCs/>
                <w:color w:val="000000"/>
                <w:sz w:val="24"/>
                <w:szCs w:val="24"/>
                <w:lang w:val="ro-MD"/>
              </w:rPr>
              <w:t>(mil. MDL)</w:t>
            </w:r>
          </w:p>
        </w:tc>
      </w:tr>
      <w:tr w:rsidR="005D58CA" w:rsidRPr="0015015F" w:rsidTr="007160B9">
        <w:trPr>
          <w:trHeight w:val="288"/>
        </w:trPr>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Indicatori</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58CA"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Cod</w:t>
            </w:r>
          </w:p>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ECO</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Precizat</w:t>
            </w:r>
          </w:p>
        </w:tc>
        <w:tc>
          <w:tcPr>
            <w:tcW w:w="1417" w:type="dxa"/>
            <w:vMerge w:val="restart"/>
            <w:tcBorders>
              <w:top w:val="single" w:sz="4" w:space="0" w:color="auto"/>
              <w:left w:val="single" w:sz="4" w:space="0" w:color="auto"/>
              <w:right w:val="single" w:sz="4" w:space="0" w:color="auto"/>
            </w:tcBorders>
            <w:vAlign w:val="center"/>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Executat</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Devieri</w:t>
            </w:r>
          </w:p>
        </w:tc>
        <w:tc>
          <w:tcPr>
            <w:tcW w:w="1131" w:type="dxa"/>
            <w:tcBorders>
              <w:top w:val="single" w:sz="4" w:space="0" w:color="auto"/>
              <w:left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Supra</w:t>
            </w:r>
            <w:r w:rsidR="00714B51">
              <w:rPr>
                <w:rFonts w:asciiTheme="majorHAnsi" w:eastAsia="Times New Roman" w:hAnsiTheme="majorHAnsi" w:cstheme="majorHAnsi"/>
                <w:b/>
                <w:bCs/>
                <w:color w:val="000000"/>
                <w:sz w:val="24"/>
                <w:szCs w:val="24"/>
                <w:lang w:val="ro-MD"/>
              </w:rPr>
              <w:t>-</w:t>
            </w:r>
          </w:p>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estimat</w:t>
            </w:r>
          </w:p>
        </w:tc>
        <w:tc>
          <w:tcPr>
            <w:tcW w:w="1134" w:type="dxa"/>
            <w:tcBorders>
              <w:top w:val="single" w:sz="4" w:space="0" w:color="auto"/>
              <w:left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Sub</w:t>
            </w:r>
            <w:r w:rsidR="00714B51">
              <w:rPr>
                <w:rFonts w:asciiTheme="majorHAnsi" w:eastAsia="Times New Roman" w:hAnsiTheme="majorHAnsi" w:cstheme="majorHAnsi"/>
                <w:b/>
                <w:bCs/>
                <w:color w:val="000000"/>
                <w:sz w:val="24"/>
                <w:szCs w:val="24"/>
                <w:lang w:val="ro-MD"/>
              </w:rPr>
              <w:t>-</w:t>
            </w:r>
          </w:p>
          <w:p w:rsidR="005D58CA" w:rsidRPr="0015015F"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evaluat</w:t>
            </w:r>
          </w:p>
        </w:tc>
      </w:tr>
      <w:tr w:rsidR="005D58CA" w:rsidRPr="0015015F" w:rsidTr="007160B9">
        <w:trPr>
          <w:trHeight w:val="288"/>
        </w:trPr>
        <w:tc>
          <w:tcPr>
            <w:tcW w:w="5670" w:type="dxa"/>
            <w:vMerge/>
            <w:tcBorders>
              <w:top w:val="single" w:sz="4" w:space="0" w:color="auto"/>
              <w:left w:val="single" w:sz="4" w:space="0" w:color="auto"/>
              <w:bottom w:val="single" w:sz="4" w:space="0" w:color="000000"/>
              <w:right w:val="single" w:sz="4" w:space="0" w:color="auto"/>
            </w:tcBorders>
            <w:vAlign w:val="center"/>
            <w:hideMark/>
          </w:tcPr>
          <w:p w:rsidR="005D58CA" w:rsidRPr="0015015F" w:rsidRDefault="005D58CA" w:rsidP="007160B9">
            <w:pPr>
              <w:spacing w:after="0" w:line="240" w:lineRule="auto"/>
              <w:rPr>
                <w:rFonts w:asciiTheme="majorHAnsi" w:eastAsia="Times New Roman" w:hAnsiTheme="majorHAnsi" w:cstheme="majorHAnsi"/>
                <w:b/>
                <w:bCs/>
                <w:color w:val="000000"/>
                <w:sz w:val="24"/>
                <w:szCs w:val="24"/>
                <w:lang w:val="ro-MD"/>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5D58CA" w:rsidRPr="0015015F" w:rsidRDefault="005D58CA" w:rsidP="007160B9">
            <w:pPr>
              <w:spacing w:after="0" w:line="240" w:lineRule="auto"/>
              <w:rPr>
                <w:rFonts w:asciiTheme="majorHAnsi" w:eastAsia="Times New Roman" w:hAnsiTheme="majorHAnsi" w:cstheme="majorHAnsi"/>
                <w:b/>
                <w:bCs/>
                <w:color w:val="000000"/>
                <w:sz w:val="24"/>
                <w:szCs w:val="24"/>
                <w:lang w:val="ro-MD"/>
              </w:rPr>
            </w:pPr>
          </w:p>
        </w:tc>
        <w:tc>
          <w:tcPr>
            <w:tcW w:w="1230" w:type="dxa"/>
            <w:vMerge/>
            <w:tcBorders>
              <w:top w:val="single" w:sz="4" w:space="0" w:color="auto"/>
              <w:left w:val="single" w:sz="4" w:space="0" w:color="auto"/>
              <w:bottom w:val="single" w:sz="4" w:space="0" w:color="auto"/>
              <w:right w:val="single" w:sz="4" w:space="0" w:color="auto"/>
            </w:tcBorders>
          </w:tcPr>
          <w:p w:rsidR="005D58CA" w:rsidRPr="0015015F" w:rsidRDefault="005D58CA" w:rsidP="007160B9">
            <w:pPr>
              <w:spacing w:after="0" w:line="240" w:lineRule="auto"/>
              <w:rPr>
                <w:rFonts w:asciiTheme="majorHAnsi" w:eastAsia="Times New Roman" w:hAnsiTheme="majorHAnsi" w:cstheme="majorHAnsi"/>
                <w:b/>
                <w:bCs/>
                <w:color w:val="000000"/>
                <w:sz w:val="24"/>
                <w:szCs w:val="24"/>
                <w:lang w:val="ro-MD"/>
              </w:rPr>
            </w:pPr>
          </w:p>
        </w:tc>
        <w:tc>
          <w:tcPr>
            <w:tcW w:w="1417" w:type="dxa"/>
            <w:vMerge/>
            <w:tcBorders>
              <w:left w:val="single" w:sz="4" w:space="0" w:color="auto"/>
              <w:bottom w:val="single" w:sz="4" w:space="0" w:color="000000"/>
              <w:right w:val="single" w:sz="4" w:space="0" w:color="auto"/>
            </w:tcBorders>
          </w:tcPr>
          <w:p w:rsidR="005D58CA" w:rsidRPr="0015015F" w:rsidRDefault="005D58CA" w:rsidP="007160B9">
            <w:pPr>
              <w:spacing w:after="0" w:line="240" w:lineRule="auto"/>
              <w:rPr>
                <w:rFonts w:asciiTheme="majorHAnsi" w:eastAsia="Times New Roman" w:hAnsiTheme="majorHAnsi" w:cstheme="majorHAnsi"/>
                <w:b/>
                <w:bCs/>
                <w:color w:val="000000"/>
                <w:sz w:val="24"/>
                <w:szCs w:val="24"/>
                <w:lang w:val="ro-MD"/>
              </w:rPr>
            </w:pPr>
          </w:p>
        </w:tc>
        <w:tc>
          <w:tcPr>
            <w:tcW w:w="1241" w:type="dxa"/>
            <w:tcBorders>
              <w:top w:val="nil"/>
              <w:left w:val="nil"/>
              <w:bottom w:val="single" w:sz="4" w:space="0" w:color="auto"/>
              <w:right w:val="single" w:sz="4" w:space="0" w:color="auto"/>
            </w:tcBorders>
            <w:shd w:val="clear" w:color="auto" w:fill="auto"/>
            <w:noWrap/>
            <w:vAlign w:val="bottom"/>
            <w:hideMark/>
          </w:tcPr>
          <w:p w:rsidR="005D58CA" w:rsidRPr="008541F7"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8541F7">
              <w:rPr>
                <w:rFonts w:asciiTheme="majorHAnsi" w:eastAsia="Times New Roman" w:hAnsiTheme="majorHAnsi" w:cstheme="majorHAnsi"/>
                <w:b/>
                <w:bCs/>
                <w:color w:val="000000"/>
                <w:sz w:val="24"/>
                <w:szCs w:val="24"/>
                <w:lang w:val="ro-MD"/>
              </w:rPr>
              <w:t>(+/-)</w:t>
            </w:r>
          </w:p>
        </w:tc>
        <w:tc>
          <w:tcPr>
            <w:tcW w:w="883" w:type="dxa"/>
            <w:tcBorders>
              <w:top w:val="nil"/>
              <w:left w:val="nil"/>
              <w:bottom w:val="single" w:sz="4" w:space="0" w:color="auto"/>
              <w:right w:val="single" w:sz="4" w:space="0" w:color="auto"/>
            </w:tcBorders>
            <w:shd w:val="clear" w:color="auto" w:fill="auto"/>
            <w:noWrap/>
            <w:vAlign w:val="bottom"/>
            <w:hideMark/>
          </w:tcPr>
          <w:p w:rsidR="005D58CA" w:rsidRPr="008541F7" w:rsidRDefault="005D58CA" w:rsidP="007160B9">
            <w:pPr>
              <w:spacing w:after="0" w:line="240" w:lineRule="auto"/>
              <w:jc w:val="center"/>
              <w:rPr>
                <w:rFonts w:asciiTheme="majorHAnsi" w:eastAsia="Times New Roman" w:hAnsiTheme="majorHAnsi" w:cstheme="majorHAnsi"/>
                <w:b/>
                <w:bCs/>
                <w:color w:val="000000"/>
                <w:sz w:val="24"/>
                <w:szCs w:val="24"/>
                <w:lang w:val="ro-MD"/>
              </w:rPr>
            </w:pPr>
            <w:r w:rsidRPr="008541F7">
              <w:rPr>
                <w:rFonts w:asciiTheme="majorHAnsi" w:eastAsia="Times New Roman" w:hAnsiTheme="majorHAnsi" w:cstheme="majorHAnsi"/>
                <w:b/>
                <w:bCs/>
                <w:color w:val="000000"/>
                <w:sz w:val="24"/>
                <w:szCs w:val="24"/>
                <w:lang w:val="ro-MD"/>
              </w:rPr>
              <w:t>(%)</w:t>
            </w:r>
          </w:p>
        </w:tc>
        <w:tc>
          <w:tcPr>
            <w:tcW w:w="1137" w:type="dxa"/>
            <w:gridSpan w:val="2"/>
            <w:tcBorders>
              <w:left w:val="single" w:sz="4" w:space="0" w:color="auto"/>
              <w:bottom w:val="single" w:sz="4" w:space="0" w:color="000000"/>
              <w:right w:val="single" w:sz="4" w:space="0" w:color="auto"/>
            </w:tcBorders>
            <w:vAlign w:val="center"/>
            <w:hideMark/>
          </w:tcPr>
          <w:p w:rsidR="005D58CA" w:rsidRPr="008541F7" w:rsidRDefault="005D58CA" w:rsidP="007160B9">
            <w:pPr>
              <w:spacing w:after="0" w:line="240" w:lineRule="auto"/>
              <w:rPr>
                <w:rFonts w:asciiTheme="majorHAnsi" w:eastAsia="Times New Roman" w:hAnsiTheme="majorHAnsi" w:cstheme="majorHAnsi"/>
                <w:b/>
                <w:bCs/>
                <w:color w:val="000000"/>
                <w:sz w:val="24"/>
                <w:szCs w:val="24"/>
                <w:lang w:val="ro-MD"/>
              </w:rPr>
            </w:pPr>
          </w:p>
        </w:tc>
        <w:tc>
          <w:tcPr>
            <w:tcW w:w="1134" w:type="dxa"/>
            <w:tcBorders>
              <w:left w:val="single" w:sz="4" w:space="0" w:color="auto"/>
              <w:bottom w:val="single" w:sz="4" w:space="0" w:color="000000"/>
              <w:right w:val="single" w:sz="4" w:space="0" w:color="auto"/>
            </w:tcBorders>
            <w:vAlign w:val="center"/>
            <w:hideMark/>
          </w:tcPr>
          <w:p w:rsidR="005D58CA" w:rsidRPr="008541F7" w:rsidRDefault="005D58CA" w:rsidP="007160B9">
            <w:pPr>
              <w:spacing w:after="0" w:line="240" w:lineRule="auto"/>
              <w:rPr>
                <w:rFonts w:asciiTheme="majorHAnsi" w:eastAsia="Times New Roman" w:hAnsiTheme="majorHAnsi" w:cstheme="majorHAnsi"/>
                <w:b/>
                <w:bCs/>
                <w:color w:val="000000"/>
                <w:sz w:val="24"/>
                <w:szCs w:val="24"/>
                <w:lang w:val="ro-MD"/>
              </w:rPr>
            </w:pPr>
          </w:p>
        </w:tc>
      </w:tr>
      <w:tr w:rsidR="005D58CA" w:rsidRPr="0015015F" w:rsidTr="007160B9">
        <w:trPr>
          <w:trHeight w:val="288"/>
        </w:trPr>
        <w:tc>
          <w:tcPr>
            <w:tcW w:w="5670" w:type="dxa"/>
            <w:tcBorders>
              <w:top w:val="nil"/>
              <w:left w:val="single" w:sz="4" w:space="0" w:color="auto"/>
              <w:bottom w:val="single" w:sz="12"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VENITURI, TOTAL</w:t>
            </w:r>
          </w:p>
        </w:tc>
        <w:tc>
          <w:tcPr>
            <w:tcW w:w="755" w:type="dxa"/>
            <w:tcBorders>
              <w:top w:val="nil"/>
              <w:left w:val="nil"/>
              <w:bottom w:val="single" w:sz="12"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w:t>
            </w:r>
          </w:p>
        </w:tc>
        <w:tc>
          <w:tcPr>
            <w:tcW w:w="1230" w:type="dxa"/>
            <w:tcBorders>
              <w:top w:val="single" w:sz="4" w:space="0" w:color="auto"/>
              <w:left w:val="nil"/>
              <w:bottom w:val="single" w:sz="12"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36 969,43</w:t>
            </w:r>
          </w:p>
        </w:tc>
        <w:tc>
          <w:tcPr>
            <w:tcW w:w="1417" w:type="dxa"/>
            <w:tcBorders>
              <w:top w:val="nil"/>
              <w:left w:val="single" w:sz="4" w:space="0" w:color="auto"/>
              <w:bottom w:val="single" w:sz="12"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36 432,68</w:t>
            </w:r>
          </w:p>
        </w:tc>
        <w:tc>
          <w:tcPr>
            <w:tcW w:w="1241" w:type="dxa"/>
            <w:tcBorders>
              <w:top w:val="nil"/>
              <w:left w:val="nil"/>
              <w:bottom w:val="single" w:sz="12"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
                <w:bCs/>
                <w:color w:val="000000"/>
                <w:sz w:val="24"/>
                <w:szCs w:val="24"/>
                <w:lang w:val="en-US"/>
              </w:rPr>
            </w:pPr>
            <w:r w:rsidRPr="008541F7">
              <w:rPr>
                <w:rFonts w:asciiTheme="majorHAnsi" w:hAnsiTheme="majorHAnsi" w:cs="Arial"/>
                <w:b/>
                <w:bCs/>
                <w:color w:val="000000"/>
                <w:sz w:val="24"/>
                <w:szCs w:val="24"/>
              </w:rPr>
              <w:t>-536,75</w:t>
            </w:r>
          </w:p>
        </w:tc>
        <w:tc>
          <w:tcPr>
            <w:tcW w:w="883" w:type="dxa"/>
            <w:tcBorders>
              <w:top w:val="nil"/>
              <w:left w:val="nil"/>
              <w:bottom w:val="single" w:sz="12"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
                <w:bCs/>
                <w:color w:val="000000"/>
                <w:sz w:val="24"/>
                <w:szCs w:val="24"/>
                <w:lang w:val="en-US"/>
              </w:rPr>
            </w:pPr>
            <w:r w:rsidRPr="008541F7">
              <w:rPr>
                <w:rFonts w:asciiTheme="majorHAnsi" w:hAnsiTheme="majorHAnsi" w:cs="Arial"/>
                <w:b/>
                <w:bCs/>
                <w:color w:val="000000"/>
                <w:sz w:val="24"/>
                <w:szCs w:val="24"/>
              </w:rPr>
              <w:t>98,55</w:t>
            </w:r>
          </w:p>
        </w:tc>
        <w:tc>
          <w:tcPr>
            <w:tcW w:w="1137" w:type="dxa"/>
            <w:gridSpan w:val="2"/>
            <w:tcBorders>
              <w:top w:val="nil"/>
              <w:left w:val="nil"/>
              <w:bottom w:val="single" w:sz="12"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1 736,10</w:t>
            </w:r>
          </w:p>
        </w:tc>
        <w:tc>
          <w:tcPr>
            <w:tcW w:w="1134" w:type="dxa"/>
            <w:tcBorders>
              <w:top w:val="nil"/>
              <w:left w:val="nil"/>
              <w:bottom w:val="single" w:sz="12"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b/>
                <w:bCs/>
                <w:color w:val="000000"/>
                <w:sz w:val="24"/>
                <w:szCs w:val="24"/>
                <w:lang w:val="ro-MD"/>
              </w:rPr>
            </w:pPr>
            <w:r>
              <w:rPr>
                <w:rFonts w:asciiTheme="majorHAnsi" w:eastAsia="Times New Roman" w:hAnsiTheme="majorHAnsi" w:cstheme="majorHAnsi"/>
                <w:b/>
                <w:bCs/>
                <w:color w:val="000000"/>
                <w:sz w:val="24"/>
                <w:szCs w:val="24"/>
                <w:lang w:val="ro-MD"/>
              </w:rPr>
              <w:t>1 199,35</w:t>
            </w:r>
          </w:p>
        </w:tc>
      </w:tr>
      <w:tr w:rsidR="005D58CA" w:rsidRPr="0015015F" w:rsidTr="007160B9">
        <w:trPr>
          <w:trHeight w:val="288"/>
        </w:trPr>
        <w:tc>
          <w:tcPr>
            <w:tcW w:w="56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Impozite pe venit</w:t>
            </w:r>
          </w:p>
        </w:tc>
        <w:tc>
          <w:tcPr>
            <w:tcW w:w="755" w:type="dxa"/>
            <w:tcBorders>
              <w:top w:val="single" w:sz="12" w:space="0" w:color="auto"/>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111</w:t>
            </w:r>
          </w:p>
        </w:tc>
        <w:tc>
          <w:tcPr>
            <w:tcW w:w="1230" w:type="dxa"/>
            <w:tcBorders>
              <w:top w:val="single" w:sz="12"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6 103,90</w:t>
            </w:r>
          </w:p>
        </w:tc>
        <w:tc>
          <w:tcPr>
            <w:tcW w:w="1417" w:type="dxa"/>
            <w:tcBorders>
              <w:top w:val="single" w:sz="12" w:space="0" w:color="auto"/>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6 865,89</w:t>
            </w:r>
          </w:p>
        </w:tc>
        <w:tc>
          <w:tcPr>
            <w:tcW w:w="1241" w:type="dxa"/>
            <w:tcBorders>
              <w:top w:val="single" w:sz="12" w:space="0" w:color="auto"/>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761,99</w:t>
            </w:r>
          </w:p>
        </w:tc>
        <w:tc>
          <w:tcPr>
            <w:tcW w:w="883" w:type="dxa"/>
            <w:tcBorders>
              <w:top w:val="single" w:sz="12" w:space="0" w:color="auto"/>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112,48</w:t>
            </w:r>
          </w:p>
        </w:tc>
        <w:tc>
          <w:tcPr>
            <w:tcW w:w="1137" w:type="dxa"/>
            <w:gridSpan w:val="2"/>
            <w:tcBorders>
              <w:top w:val="single" w:sz="12" w:space="0" w:color="auto"/>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761,99</w:t>
            </w: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Impozite pe proprietate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113</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54,60</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49,58</w:t>
            </w:r>
          </w:p>
        </w:tc>
        <w:tc>
          <w:tcPr>
            <w:tcW w:w="1241" w:type="dxa"/>
            <w:tcBorders>
              <w:top w:val="nil"/>
              <w:left w:val="nil"/>
              <w:bottom w:val="single" w:sz="4"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-5,02</w:t>
            </w:r>
          </w:p>
        </w:tc>
        <w:tc>
          <w:tcPr>
            <w:tcW w:w="883" w:type="dxa"/>
            <w:tcBorders>
              <w:top w:val="nil"/>
              <w:left w:val="nil"/>
              <w:bottom w:val="single" w:sz="4"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90,81</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5,02</w:t>
            </w: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r w:rsidR="005D58CA" w:rsidRPr="0015015F" w:rsidTr="007160B9">
        <w:trPr>
          <w:trHeight w:val="22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lastRenderedPageBreak/>
              <w:t>Impozite și taxe pe mărfuri și servicii, inclusiv:</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114</w:t>
            </w:r>
          </w:p>
        </w:tc>
        <w:tc>
          <w:tcPr>
            <w:tcW w:w="1230" w:type="dxa"/>
            <w:tcBorders>
              <w:top w:val="single" w:sz="4" w:space="0" w:color="auto"/>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25 298,91</w:t>
            </w:r>
          </w:p>
        </w:tc>
        <w:tc>
          <w:tcPr>
            <w:tcW w:w="1417" w:type="dxa"/>
            <w:tcBorders>
              <w:top w:val="single" w:sz="4" w:space="0" w:color="auto"/>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25 476,68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177,77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100,70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177,77</w:t>
            </w:r>
          </w:p>
        </w:tc>
      </w:tr>
      <w:tr w:rsidR="005D58CA" w:rsidRPr="0015015F" w:rsidTr="007160B9">
        <w:trPr>
          <w:trHeight w:val="288"/>
        </w:trPr>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5D58CA" w:rsidRPr="0015015F" w:rsidRDefault="005D58CA" w:rsidP="007160B9">
            <w:pPr>
              <w:spacing w:after="0" w:line="240" w:lineRule="auto"/>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Taxa pe valoarea adăugată</w:t>
            </w:r>
          </w:p>
        </w:tc>
        <w:tc>
          <w:tcPr>
            <w:tcW w:w="7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D58CA" w:rsidRPr="0015015F"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1141</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17</w:t>
            </w:r>
            <w:r>
              <w:rPr>
                <w:rFonts w:asciiTheme="majorHAnsi" w:eastAsia="Times New Roman" w:hAnsiTheme="majorHAnsi" w:cstheme="majorHAnsi"/>
                <w:i/>
                <w:iCs/>
                <w:color w:val="000000"/>
                <w:sz w:val="24"/>
                <w:szCs w:val="24"/>
                <w:lang w:val="ro-MD"/>
              </w:rPr>
              <w:t xml:space="preserve"> </w:t>
            </w:r>
            <w:r w:rsidRPr="00756818">
              <w:rPr>
                <w:rFonts w:asciiTheme="majorHAnsi" w:eastAsia="Times New Roman" w:hAnsiTheme="majorHAnsi" w:cstheme="majorHAnsi"/>
                <w:i/>
                <w:iCs/>
                <w:color w:val="000000"/>
                <w:sz w:val="24"/>
                <w:szCs w:val="24"/>
                <w:lang w:val="ro-MD"/>
              </w:rPr>
              <w:t>865,90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18</w:t>
            </w:r>
            <w:r>
              <w:rPr>
                <w:rFonts w:asciiTheme="majorHAnsi" w:eastAsia="Times New Roman" w:hAnsiTheme="majorHAnsi" w:cstheme="majorHAnsi"/>
                <w:i/>
                <w:iCs/>
                <w:color w:val="000000"/>
                <w:sz w:val="24"/>
                <w:szCs w:val="24"/>
                <w:lang w:val="ro-MD"/>
              </w:rPr>
              <w:t xml:space="preserve"> </w:t>
            </w:r>
            <w:r w:rsidRPr="00756818">
              <w:rPr>
                <w:rFonts w:asciiTheme="majorHAnsi" w:eastAsia="Times New Roman" w:hAnsiTheme="majorHAnsi" w:cstheme="majorHAnsi"/>
                <w:i/>
                <w:iCs/>
                <w:color w:val="000000"/>
                <w:sz w:val="24"/>
                <w:szCs w:val="24"/>
                <w:lang w:val="ro-MD"/>
              </w:rPr>
              <w:t>527,35</w:t>
            </w:r>
          </w:p>
        </w:tc>
        <w:tc>
          <w:tcPr>
            <w:tcW w:w="1241"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661,45</w:t>
            </w:r>
          </w:p>
        </w:tc>
        <w:tc>
          <w:tcPr>
            <w:tcW w:w="883"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103,70</w:t>
            </w:r>
          </w:p>
        </w:tc>
        <w:tc>
          <w:tcPr>
            <w:tcW w:w="113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661,45</w:t>
            </w: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58CA" w:rsidRPr="0015015F" w:rsidRDefault="005D58CA" w:rsidP="007160B9">
            <w:pPr>
              <w:spacing w:after="0" w:line="240" w:lineRule="auto"/>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Accize</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5D58CA" w:rsidRPr="0015015F"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1142</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6</w:t>
            </w:r>
            <w:r>
              <w:rPr>
                <w:rFonts w:asciiTheme="majorHAnsi" w:eastAsia="Times New Roman" w:hAnsiTheme="majorHAnsi" w:cstheme="majorHAnsi"/>
                <w:i/>
                <w:iCs/>
                <w:color w:val="000000"/>
                <w:sz w:val="24"/>
                <w:szCs w:val="24"/>
                <w:lang w:val="ro-MD"/>
              </w:rPr>
              <w:t xml:space="preserve"> </w:t>
            </w:r>
            <w:r w:rsidRPr="00756818">
              <w:rPr>
                <w:rFonts w:asciiTheme="majorHAnsi" w:eastAsia="Times New Roman" w:hAnsiTheme="majorHAnsi" w:cstheme="majorHAnsi"/>
                <w:i/>
                <w:iCs/>
                <w:color w:val="000000"/>
                <w:sz w:val="24"/>
                <w:szCs w:val="24"/>
                <w:lang w:val="ro-MD"/>
              </w:rPr>
              <w:t>162,12</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5</w:t>
            </w:r>
            <w:r>
              <w:rPr>
                <w:rFonts w:asciiTheme="majorHAnsi" w:eastAsia="Times New Roman" w:hAnsiTheme="majorHAnsi" w:cstheme="majorHAnsi"/>
                <w:i/>
                <w:iCs/>
                <w:color w:val="000000"/>
                <w:sz w:val="24"/>
                <w:szCs w:val="24"/>
                <w:lang w:val="ro-MD"/>
              </w:rPr>
              <w:t xml:space="preserve"> </w:t>
            </w:r>
            <w:r w:rsidRPr="00756818">
              <w:rPr>
                <w:rFonts w:asciiTheme="majorHAnsi" w:eastAsia="Times New Roman" w:hAnsiTheme="majorHAnsi" w:cstheme="majorHAnsi"/>
                <w:i/>
                <w:iCs/>
                <w:color w:val="000000"/>
                <w:sz w:val="24"/>
                <w:szCs w:val="24"/>
                <w:lang w:val="ro-MD"/>
              </w:rPr>
              <w:t>682,77</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i/>
                <w:color w:val="000000"/>
                <w:sz w:val="24"/>
                <w:szCs w:val="24"/>
              </w:rPr>
            </w:pPr>
            <w:r w:rsidRPr="00756818">
              <w:rPr>
                <w:rFonts w:asciiTheme="majorHAnsi" w:hAnsiTheme="majorHAnsi" w:cs="Arial"/>
                <w:i/>
                <w:color w:val="000000"/>
                <w:sz w:val="24"/>
                <w:szCs w:val="24"/>
              </w:rPr>
              <w:t>-479,35</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i/>
                <w:color w:val="000000"/>
                <w:sz w:val="24"/>
                <w:szCs w:val="24"/>
              </w:rPr>
            </w:pPr>
            <w:r w:rsidRPr="00756818">
              <w:rPr>
                <w:rFonts w:asciiTheme="majorHAnsi" w:hAnsiTheme="majorHAnsi" w:cs="Arial"/>
                <w:i/>
                <w:color w:val="000000"/>
                <w:sz w:val="24"/>
                <w:szCs w:val="24"/>
              </w:rPr>
              <w:t>92,22</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479,35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58CA" w:rsidRPr="0015015F" w:rsidRDefault="005D58CA" w:rsidP="007160B9">
            <w:pPr>
              <w:spacing w:after="0" w:line="240" w:lineRule="auto"/>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Taxe pentru servicii specifice</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5D58CA" w:rsidRPr="0015015F"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1144</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10,94</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9,72</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-1,22</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88,85</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1,22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p>
        </w:tc>
      </w:tr>
      <w:tr w:rsidR="005D58CA" w:rsidRPr="0015015F" w:rsidTr="007160B9">
        <w:trPr>
          <w:trHeight w:val="624"/>
        </w:trPr>
        <w:tc>
          <w:tcPr>
            <w:tcW w:w="567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5D58CA" w:rsidRPr="0015015F" w:rsidRDefault="005D58CA" w:rsidP="007160B9">
            <w:pPr>
              <w:spacing w:after="0" w:line="240" w:lineRule="auto"/>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Taxe și plăți pentru utilizarea mărfurilor și pentru practicarea unor genuri de activitate</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5D58CA" w:rsidRPr="0015015F"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1145</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354,8</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327,89</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i/>
                <w:color w:val="000000"/>
                <w:sz w:val="24"/>
                <w:szCs w:val="24"/>
              </w:rPr>
            </w:pPr>
            <w:r w:rsidRPr="00756818">
              <w:rPr>
                <w:rFonts w:asciiTheme="majorHAnsi" w:hAnsiTheme="majorHAnsi" w:cs="Arial"/>
                <w:i/>
                <w:color w:val="000000"/>
                <w:sz w:val="24"/>
                <w:szCs w:val="24"/>
              </w:rPr>
              <w:t>-26,91</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i/>
                <w:color w:val="000000"/>
                <w:sz w:val="24"/>
                <w:szCs w:val="24"/>
              </w:rPr>
            </w:pPr>
            <w:r w:rsidRPr="00756818">
              <w:rPr>
                <w:rFonts w:asciiTheme="majorHAnsi" w:hAnsiTheme="majorHAnsi" w:cs="Arial"/>
                <w:i/>
                <w:color w:val="000000"/>
                <w:sz w:val="24"/>
                <w:szCs w:val="24"/>
              </w:rPr>
              <w:t>92,42</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26,91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D58CA" w:rsidRPr="0015015F" w:rsidRDefault="005D58CA" w:rsidP="007160B9">
            <w:pPr>
              <w:spacing w:after="0" w:line="240" w:lineRule="auto"/>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Alte taxe pentru mărfuri și servicii</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5D58CA" w:rsidRPr="0015015F"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15015F">
              <w:rPr>
                <w:rFonts w:asciiTheme="majorHAnsi" w:eastAsia="Times New Roman" w:hAnsiTheme="majorHAnsi" w:cstheme="majorHAnsi"/>
                <w:i/>
                <w:iCs/>
                <w:color w:val="000000"/>
                <w:sz w:val="24"/>
                <w:szCs w:val="24"/>
                <w:lang w:val="ro-MD"/>
              </w:rPr>
              <w:t>1146</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905,16</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D58CA" w:rsidRPr="00756818" w:rsidRDefault="005D58CA" w:rsidP="007160B9">
            <w:pPr>
              <w:spacing w:after="0" w:line="240" w:lineRule="auto"/>
              <w:jc w:val="right"/>
              <w:rPr>
                <w:rFonts w:asciiTheme="majorHAnsi" w:eastAsia="Times New Roman" w:hAnsiTheme="majorHAnsi" w:cstheme="majorHAnsi"/>
                <w:i/>
                <w:iCs/>
                <w:color w:val="000000"/>
                <w:sz w:val="24"/>
                <w:szCs w:val="24"/>
                <w:lang w:val="ro-MD"/>
              </w:rPr>
            </w:pPr>
            <w:r w:rsidRPr="00756818">
              <w:rPr>
                <w:rFonts w:asciiTheme="majorHAnsi" w:eastAsia="Times New Roman" w:hAnsiTheme="majorHAnsi" w:cstheme="majorHAnsi"/>
                <w:i/>
                <w:iCs/>
                <w:color w:val="000000"/>
                <w:sz w:val="24"/>
                <w:szCs w:val="24"/>
                <w:lang w:val="ro-MD"/>
              </w:rPr>
              <w:t>928,95</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23,79</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5D58CA" w:rsidRPr="00756818" w:rsidRDefault="005D58CA" w:rsidP="007160B9">
            <w:pPr>
              <w:spacing w:after="0"/>
              <w:jc w:val="right"/>
              <w:rPr>
                <w:rFonts w:asciiTheme="majorHAnsi" w:hAnsiTheme="majorHAnsi" w:cs="Arial"/>
                <w:bCs/>
                <w:i/>
                <w:color w:val="000000"/>
                <w:sz w:val="24"/>
                <w:szCs w:val="24"/>
              </w:rPr>
            </w:pPr>
            <w:r w:rsidRPr="00756818">
              <w:rPr>
                <w:rFonts w:asciiTheme="majorHAnsi" w:hAnsiTheme="majorHAnsi" w:cs="Arial"/>
                <w:bCs/>
                <w:i/>
                <w:color w:val="000000"/>
                <w:sz w:val="24"/>
                <w:szCs w:val="24"/>
              </w:rPr>
              <w:t>102,63</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color w:val="000000"/>
                <w:sz w:val="24"/>
                <w:szCs w:val="24"/>
                <w:lang w:val="ro-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5D58CA" w:rsidRPr="00756818" w:rsidRDefault="005D58CA" w:rsidP="007160B9">
            <w:pPr>
              <w:spacing w:after="0" w:line="240" w:lineRule="auto"/>
              <w:jc w:val="right"/>
              <w:rPr>
                <w:rFonts w:asciiTheme="majorHAnsi" w:eastAsia="Times New Roman" w:hAnsiTheme="majorHAnsi" w:cstheme="majorHAnsi"/>
                <w:i/>
                <w:color w:val="000000"/>
                <w:sz w:val="24"/>
                <w:szCs w:val="24"/>
                <w:lang w:val="ro-MD"/>
              </w:rPr>
            </w:pPr>
            <w:r w:rsidRPr="00756818">
              <w:rPr>
                <w:rFonts w:asciiTheme="majorHAnsi" w:eastAsia="Times New Roman" w:hAnsiTheme="majorHAnsi" w:cstheme="majorHAnsi"/>
                <w:i/>
                <w:color w:val="000000"/>
                <w:sz w:val="24"/>
                <w:szCs w:val="24"/>
                <w:lang w:val="ro-MD"/>
              </w:rPr>
              <w:t>23,79</w:t>
            </w:r>
          </w:p>
        </w:tc>
      </w:tr>
      <w:tr w:rsidR="005D58CA" w:rsidRPr="0015015F" w:rsidTr="007160B9">
        <w:trPr>
          <w:trHeight w:val="29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Taxa asupra comerțului exterior și operațiunilor externe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115</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1 695,7</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1 665,78</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-29,92</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98,24</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29,92</w:t>
            </w: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Granturi primite de la guvernele altor state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131</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51,32</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80,06</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28,74</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156,00</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28,74</w:t>
            </w: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Granturi primite de la organizațiile internaționale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132</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1 891,32</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255,32</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w:t>
            </w:r>
            <w:r>
              <w:rPr>
                <w:rFonts w:asciiTheme="majorHAnsi" w:hAnsiTheme="majorHAnsi" w:cs="Arial"/>
                <w:color w:val="000000"/>
                <w:sz w:val="24"/>
                <w:szCs w:val="24"/>
              </w:rPr>
              <w:t xml:space="preserve"> </w:t>
            </w:r>
            <w:r w:rsidRPr="008541F7">
              <w:rPr>
                <w:rFonts w:asciiTheme="majorHAnsi" w:hAnsiTheme="majorHAnsi" w:cs="Arial"/>
                <w:color w:val="000000"/>
                <w:sz w:val="24"/>
                <w:szCs w:val="24"/>
              </w:rPr>
              <w:t>636,00</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13,50</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1636,0</w:t>
            </w: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Venituri din proprietate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141</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367,31</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406,48</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39,17</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110,66</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39,17</w:t>
            </w: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 xml:space="preserve">Venituri din vânzarea mărfurilor și serviciilor </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142</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999,63</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935,01</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-64,62</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93,54</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64,62</w:t>
            </w: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Amenzi și sancțiuni</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143</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288,79</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374,10</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85,31</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129,54</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85,31</w:t>
            </w: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Donații voluntare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144</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33,35</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32,81</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-0,54</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98,38</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0,54</w:t>
            </w: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r w:rsidR="005D58CA" w:rsidRPr="0015015F" w:rsidTr="007160B9">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5D58CA" w:rsidRPr="0015015F" w:rsidRDefault="005D58CA" w:rsidP="0096284C">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Alte venituri și venituri neidentificate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145</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158,60</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264,97</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106,37</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bCs/>
                <w:color w:val="000000"/>
                <w:sz w:val="24"/>
                <w:szCs w:val="24"/>
              </w:rPr>
            </w:pPr>
            <w:r w:rsidRPr="008541F7">
              <w:rPr>
                <w:rFonts w:asciiTheme="majorHAnsi" w:hAnsiTheme="majorHAnsi" w:cs="Arial"/>
                <w:bCs/>
                <w:color w:val="000000"/>
                <w:sz w:val="24"/>
                <w:szCs w:val="24"/>
              </w:rPr>
              <w:t>167,07</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106,37</w:t>
            </w:r>
          </w:p>
        </w:tc>
      </w:tr>
      <w:tr w:rsidR="005D58CA" w:rsidRPr="0015015F" w:rsidTr="007160B9">
        <w:trPr>
          <w:trHeight w:val="24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5D58CA" w:rsidRPr="0015015F" w:rsidRDefault="005D58CA" w:rsidP="007160B9">
            <w:pPr>
              <w:spacing w:after="0" w:line="240" w:lineRule="auto"/>
              <w:rPr>
                <w:rFonts w:asciiTheme="majorHAnsi" w:eastAsia="Times New Roman" w:hAnsiTheme="majorHAnsi" w:cstheme="majorHAnsi"/>
                <w:color w:val="000000"/>
                <w:sz w:val="24"/>
                <w:szCs w:val="24"/>
                <w:lang w:val="ro-MD"/>
              </w:rPr>
            </w:pPr>
            <w:r w:rsidRPr="0015015F">
              <w:rPr>
                <w:rFonts w:asciiTheme="majorHAnsi" w:eastAsia="Times New Roman" w:hAnsiTheme="majorHAnsi" w:cstheme="majorHAnsi"/>
                <w:color w:val="000000"/>
                <w:sz w:val="24"/>
                <w:szCs w:val="24"/>
                <w:lang w:val="ro-MD"/>
              </w:rPr>
              <w:t>Transferuri primite între bugetul de stat și bugetele locale</w:t>
            </w:r>
          </w:p>
        </w:tc>
        <w:tc>
          <w:tcPr>
            <w:tcW w:w="755" w:type="dxa"/>
            <w:tcBorders>
              <w:top w:val="nil"/>
              <w:left w:val="nil"/>
              <w:bottom w:val="single" w:sz="4" w:space="0" w:color="auto"/>
              <w:right w:val="single" w:sz="4" w:space="0" w:color="auto"/>
            </w:tcBorders>
            <w:shd w:val="clear" w:color="auto" w:fill="auto"/>
            <w:noWrap/>
            <w:vAlign w:val="center"/>
            <w:hideMark/>
          </w:tcPr>
          <w:p w:rsidR="005D58CA" w:rsidRPr="0015015F" w:rsidRDefault="005D58CA" w:rsidP="007160B9">
            <w:pPr>
              <w:spacing w:after="0" w:line="240" w:lineRule="auto"/>
              <w:jc w:val="right"/>
              <w:rPr>
                <w:rFonts w:asciiTheme="majorHAnsi" w:eastAsia="Times New Roman" w:hAnsiTheme="majorHAnsi" w:cstheme="majorHAnsi"/>
                <w:b/>
                <w:bCs/>
                <w:color w:val="000000"/>
                <w:sz w:val="24"/>
                <w:szCs w:val="24"/>
                <w:lang w:val="ro-MD"/>
              </w:rPr>
            </w:pPr>
            <w:r w:rsidRPr="0015015F">
              <w:rPr>
                <w:rFonts w:asciiTheme="majorHAnsi" w:eastAsia="Times New Roman" w:hAnsiTheme="majorHAnsi" w:cstheme="majorHAnsi"/>
                <w:b/>
                <w:bCs/>
                <w:color w:val="000000"/>
                <w:sz w:val="24"/>
                <w:szCs w:val="24"/>
                <w:lang w:val="ro-MD"/>
              </w:rPr>
              <w:t>191</w:t>
            </w:r>
          </w:p>
        </w:tc>
        <w:tc>
          <w:tcPr>
            <w:tcW w:w="1230" w:type="dxa"/>
            <w:tcBorders>
              <w:top w:val="single" w:sz="4" w:space="0" w:color="auto"/>
              <w:left w:val="nil"/>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26,01</w:t>
            </w:r>
          </w:p>
        </w:tc>
        <w:tc>
          <w:tcPr>
            <w:tcW w:w="1417" w:type="dxa"/>
            <w:tcBorders>
              <w:top w:val="nil"/>
              <w:left w:val="single" w:sz="4" w:space="0" w:color="auto"/>
              <w:bottom w:val="single" w:sz="4" w:space="0" w:color="auto"/>
              <w:right w:val="single" w:sz="4" w:space="0" w:color="auto"/>
            </w:tcBorders>
            <w:vAlign w:val="center"/>
          </w:tcPr>
          <w:p w:rsidR="005D58CA" w:rsidRPr="0015015F" w:rsidRDefault="005D58CA" w:rsidP="007160B9">
            <w:pPr>
              <w:spacing w:after="0" w:line="240" w:lineRule="auto"/>
              <w:jc w:val="right"/>
              <w:rPr>
                <w:rFonts w:asciiTheme="majorHAnsi" w:eastAsia="Times New Roman" w:hAnsiTheme="majorHAnsi" w:cstheme="majorHAnsi"/>
                <w:color w:val="000000"/>
                <w:sz w:val="24"/>
                <w:szCs w:val="24"/>
                <w:lang w:val="ro-MD"/>
              </w:rPr>
            </w:pPr>
            <w:r>
              <w:rPr>
                <w:rFonts w:asciiTheme="majorHAnsi" w:eastAsia="Times New Roman" w:hAnsiTheme="majorHAnsi" w:cstheme="majorHAnsi"/>
                <w:color w:val="000000"/>
                <w:sz w:val="24"/>
                <w:szCs w:val="24"/>
                <w:lang w:val="ro-MD"/>
              </w:rPr>
              <w:t>26,01</w:t>
            </w:r>
          </w:p>
        </w:tc>
        <w:tc>
          <w:tcPr>
            <w:tcW w:w="1241"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0,00</w:t>
            </w:r>
          </w:p>
        </w:tc>
        <w:tc>
          <w:tcPr>
            <w:tcW w:w="883" w:type="dxa"/>
            <w:tcBorders>
              <w:top w:val="nil"/>
              <w:left w:val="nil"/>
              <w:bottom w:val="single" w:sz="8" w:space="0" w:color="auto"/>
              <w:right w:val="single" w:sz="8" w:space="0" w:color="auto"/>
            </w:tcBorders>
            <w:shd w:val="clear" w:color="auto" w:fill="auto"/>
            <w:noWrap/>
            <w:vAlign w:val="center"/>
          </w:tcPr>
          <w:p w:rsidR="005D58CA" w:rsidRPr="008541F7" w:rsidRDefault="005D58CA" w:rsidP="007160B9">
            <w:pPr>
              <w:spacing w:after="0"/>
              <w:jc w:val="right"/>
              <w:rPr>
                <w:rFonts w:asciiTheme="majorHAnsi" w:hAnsiTheme="majorHAnsi" w:cs="Arial"/>
                <w:color w:val="000000"/>
                <w:sz w:val="24"/>
                <w:szCs w:val="24"/>
              </w:rPr>
            </w:pPr>
            <w:r w:rsidRPr="008541F7">
              <w:rPr>
                <w:rFonts w:asciiTheme="majorHAnsi" w:hAnsiTheme="majorHAnsi" w:cs="Arial"/>
                <w:color w:val="000000"/>
                <w:sz w:val="24"/>
                <w:szCs w:val="24"/>
              </w:rPr>
              <w:t>100,00</w:t>
            </w:r>
          </w:p>
        </w:tc>
        <w:tc>
          <w:tcPr>
            <w:tcW w:w="1137" w:type="dxa"/>
            <w:gridSpan w:val="2"/>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c>
          <w:tcPr>
            <w:tcW w:w="1134" w:type="dxa"/>
            <w:tcBorders>
              <w:top w:val="nil"/>
              <w:left w:val="nil"/>
              <w:bottom w:val="single" w:sz="4" w:space="0" w:color="auto"/>
              <w:right w:val="single" w:sz="4" w:space="0" w:color="auto"/>
            </w:tcBorders>
            <w:shd w:val="clear" w:color="auto" w:fill="auto"/>
            <w:noWrap/>
            <w:vAlign w:val="center"/>
          </w:tcPr>
          <w:p w:rsidR="005D58CA" w:rsidRPr="008541F7" w:rsidRDefault="005D58CA" w:rsidP="007160B9">
            <w:pPr>
              <w:spacing w:after="0" w:line="240" w:lineRule="auto"/>
              <w:jc w:val="right"/>
              <w:rPr>
                <w:rFonts w:asciiTheme="majorHAnsi" w:eastAsia="Times New Roman" w:hAnsiTheme="majorHAnsi" w:cstheme="majorHAnsi"/>
                <w:color w:val="000000"/>
                <w:sz w:val="24"/>
                <w:szCs w:val="24"/>
                <w:lang w:val="ro-MD"/>
              </w:rPr>
            </w:pPr>
          </w:p>
        </w:tc>
      </w:tr>
    </w:tbl>
    <w:p w:rsidR="005D58CA" w:rsidRPr="00FB186A" w:rsidRDefault="005D58CA" w:rsidP="005D58CA">
      <w:pPr>
        <w:spacing w:after="0" w:line="276" w:lineRule="auto"/>
        <w:jc w:val="both"/>
        <w:rPr>
          <w:rFonts w:asciiTheme="majorHAnsi" w:eastAsia="Times New Roman" w:hAnsiTheme="majorHAnsi" w:cstheme="majorHAnsi"/>
          <w:i/>
          <w:sz w:val="20"/>
          <w:szCs w:val="20"/>
        </w:rPr>
      </w:pPr>
      <w:r w:rsidRPr="00FB186A">
        <w:rPr>
          <w:rFonts w:asciiTheme="majorHAnsi" w:eastAsia="Times New Roman" w:hAnsiTheme="majorHAnsi" w:cstheme="majorHAnsi"/>
          <w:b/>
          <w:i/>
          <w:sz w:val="20"/>
          <w:szCs w:val="20"/>
        </w:rPr>
        <w:t>Sursă:</w:t>
      </w:r>
      <w:r w:rsidRPr="00FB186A">
        <w:rPr>
          <w:rFonts w:asciiTheme="majorHAnsi" w:eastAsia="Times New Roman" w:hAnsiTheme="majorHAnsi" w:cstheme="majorHAnsi"/>
          <w:i/>
          <w:sz w:val="20"/>
          <w:szCs w:val="20"/>
        </w:rPr>
        <w:t xml:space="preserve"> Raportul privind executarea bugetului conform clasificației economice la situația din 31.12.2018.</w:t>
      </w:r>
    </w:p>
    <w:p w:rsidR="000C2B35" w:rsidRDefault="000C2B35" w:rsidP="005A73DE">
      <w:pPr>
        <w:tabs>
          <w:tab w:val="left" w:pos="720"/>
        </w:tabs>
        <w:spacing w:after="0" w:line="276" w:lineRule="auto"/>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856DF4" w:rsidRDefault="00856DF4"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A44B18" w:rsidRDefault="00A44B18"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7C4275" w:rsidRDefault="007C4275" w:rsidP="00394327">
      <w:pPr>
        <w:tabs>
          <w:tab w:val="left" w:pos="720"/>
        </w:tabs>
        <w:spacing w:after="0" w:line="276" w:lineRule="auto"/>
        <w:jc w:val="right"/>
        <w:rPr>
          <w:rFonts w:asciiTheme="majorHAnsi" w:eastAsia="Times New Roman" w:hAnsiTheme="majorHAnsi" w:cstheme="majorHAnsi"/>
          <w:b/>
          <w:bCs/>
          <w:sz w:val="24"/>
          <w:szCs w:val="24"/>
          <w:lang w:val="ro-MD"/>
        </w:rPr>
      </w:pPr>
    </w:p>
    <w:p w:rsidR="00680195" w:rsidRDefault="005A73DE" w:rsidP="00394327">
      <w:pPr>
        <w:tabs>
          <w:tab w:val="left" w:pos="720"/>
        </w:tabs>
        <w:spacing w:after="0" w:line="276" w:lineRule="auto"/>
        <w:jc w:val="right"/>
        <w:rPr>
          <w:rFonts w:asciiTheme="majorHAnsi" w:eastAsia="Times New Roman" w:hAnsiTheme="majorHAnsi" w:cstheme="majorHAnsi"/>
          <w:b/>
          <w:bCs/>
          <w:sz w:val="24"/>
          <w:szCs w:val="24"/>
          <w:lang w:val="ro-MD"/>
        </w:rPr>
      </w:pPr>
      <w:r w:rsidRPr="00856DF4">
        <w:rPr>
          <w:rFonts w:asciiTheme="majorHAnsi" w:eastAsia="Times New Roman" w:hAnsiTheme="majorHAnsi" w:cstheme="majorHAnsi"/>
          <w:b/>
          <w:bCs/>
          <w:sz w:val="24"/>
          <w:szCs w:val="24"/>
          <w:lang w:val="ro-MD"/>
        </w:rPr>
        <w:t>Anexa nr.8</w:t>
      </w:r>
    </w:p>
    <w:p w:rsidR="00AA1F4F" w:rsidRPr="00454708" w:rsidRDefault="00AA1F4F" w:rsidP="00AA1F4F">
      <w:pPr>
        <w:spacing w:after="0" w:line="276" w:lineRule="auto"/>
        <w:jc w:val="center"/>
        <w:rPr>
          <w:rFonts w:asciiTheme="majorHAnsi" w:hAnsiTheme="majorHAnsi" w:cs="Times New Roman"/>
          <w:b/>
          <w:sz w:val="24"/>
          <w:szCs w:val="24"/>
        </w:rPr>
      </w:pPr>
      <w:r w:rsidRPr="00454708">
        <w:rPr>
          <w:rFonts w:asciiTheme="majorHAnsi" w:hAnsiTheme="majorHAnsi" w:cs="Times New Roman"/>
          <w:b/>
          <w:sz w:val="24"/>
          <w:szCs w:val="24"/>
        </w:rPr>
        <w:t xml:space="preserve">Informație privind soldurile restante la </w:t>
      </w:r>
      <w:r w:rsidR="0096284C">
        <w:rPr>
          <w:rFonts w:asciiTheme="majorHAnsi" w:hAnsiTheme="majorHAnsi" w:cs="Times New Roman"/>
          <w:b/>
          <w:sz w:val="24"/>
          <w:szCs w:val="24"/>
        </w:rPr>
        <w:t>bugetul de stat</w:t>
      </w:r>
      <w:r w:rsidRPr="00454708">
        <w:rPr>
          <w:rFonts w:asciiTheme="majorHAnsi" w:hAnsiTheme="majorHAnsi" w:cs="Times New Roman"/>
          <w:b/>
          <w:sz w:val="24"/>
          <w:szCs w:val="24"/>
        </w:rPr>
        <w:t xml:space="preserve"> administrate de Serviciul Fiscal de Stat și Serviciul </w:t>
      </w:r>
      <w:r w:rsidRPr="00856DF4">
        <w:rPr>
          <w:rFonts w:asciiTheme="majorHAnsi" w:hAnsiTheme="majorHAnsi" w:cs="Times New Roman"/>
          <w:b/>
          <w:sz w:val="24"/>
          <w:szCs w:val="24"/>
        </w:rPr>
        <w:t xml:space="preserve">Vamal </w:t>
      </w:r>
      <w:r w:rsidR="00A720A6" w:rsidRPr="00856DF4">
        <w:rPr>
          <w:rFonts w:asciiTheme="majorHAnsi" w:hAnsiTheme="majorHAnsi" w:cs="Times New Roman"/>
          <w:b/>
          <w:sz w:val="24"/>
          <w:szCs w:val="24"/>
        </w:rPr>
        <w:t xml:space="preserve">pentru anii 2016-2018 </w:t>
      </w:r>
      <w:r w:rsidR="007C4275" w:rsidRPr="00856DF4">
        <w:rPr>
          <w:rFonts w:asciiTheme="majorHAnsi" w:hAnsiTheme="majorHAnsi" w:cs="Times New Roman"/>
          <w:b/>
          <w:sz w:val="24"/>
          <w:szCs w:val="24"/>
        </w:rPr>
        <w:t>(mil. MDL)</w:t>
      </w:r>
    </w:p>
    <w:tbl>
      <w:tblPr>
        <w:tblStyle w:val="GridTable1Light"/>
        <w:tblpPr w:leftFromText="180" w:rightFromText="180" w:vertAnchor="page" w:horzAnchor="margin" w:tblpY="2617"/>
        <w:tblW w:w="13487" w:type="dxa"/>
        <w:tblLook w:val="04A0" w:firstRow="1" w:lastRow="0" w:firstColumn="1" w:lastColumn="0" w:noHBand="0" w:noVBand="1"/>
      </w:tblPr>
      <w:tblGrid>
        <w:gridCol w:w="2754"/>
        <w:gridCol w:w="1069"/>
        <w:gridCol w:w="1275"/>
        <w:gridCol w:w="1134"/>
        <w:gridCol w:w="1171"/>
        <w:gridCol w:w="1068"/>
        <w:gridCol w:w="1275"/>
        <w:gridCol w:w="1277"/>
        <w:gridCol w:w="1275"/>
        <w:gridCol w:w="1189"/>
      </w:tblGrid>
      <w:tr w:rsidR="00A44B18" w:rsidRPr="00454708" w:rsidTr="007C427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4" w:type="dxa"/>
            <w:vMerge w:val="restart"/>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Sumele restante la:</w:t>
            </w:r>
          </w:p>
        </w:tc>
        <w:tc>
          <w:tcPr>
            <w:tcW w:w="2344" w:type="dxa"/>
            <w:gridSpan w:val="2"/>
            <w:tcBorders>
              <w:right w:val="single" w:sz="18" w:space="0" w:color="auto"/>
            </w:tcBorders>
            <w:noWrap/>
          </w:tcPr>
          <w:p w:rsidR="00A44B18" w:rsidRPr="00454708" w:rsidRDefault="00A44B18" w:rsidP="007C42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o-MD"/>
              </w:rPr>
            </w:pPr>
            <w:r w:rsidRPr="00454708">
              <w:rPr>
                <w:rFonts w:asciiTheme="majorHAnsi" w:eastAsia="Times New Roman" w:hAnsiTheme="majorHAnsi" w:cs="Times New Roman"/>
                <w:bCs w:val="0"/>
                <w:color w:val="000000"/>
                <w:lang w:val="ro-MD"/>
              </w:rPr>
              <w:t>Anul 2016</w:t>
            </w:r>
          </w:p>
        </w:tc>
        <w:tc>
          <w:tcPr>
            <w:tcW w:w="2305" w:type="dxa"/>
            <w:gridSpan w:val="2"/>
            <w:tcBorders>
              <w:right w:val="single" w:sz="18" w:space="0" w:color="auto"/>
            </w:tcBorders>
            <w:noWrap/>
          </w:tcPr>
          <w:p w:rsidR="00A44B18" w:rsidRPr="00454708" w:rsidRDefault="00A44B18" w:rsidP="007C42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o-MD"/>
              </w:rPr>
            </w:pPr>
            <w:r w:rsidRPr="00454708">
              <w:rPr>
                <w:rFonts w:asciiTheme="majorHAnsi" w:eastAsia="Times New Roman" w:hAnsiTheme="majorHAnsi" w:cs="Times New Roman"/>
                <w:bCs w:val="0"/>
                <w:color w:val="000000"/>
                <w:lang w:val="ro-MD"/>
              </w:rPr>
              <w:t>Anul 2017</w:t>
            </w:r>
          </w:p>
        </w:tc>
        <w:tc>
          <w:tcPr>
            <w:tcW w:w="2343" w:type="dxa"/>
            <w:gridSpan w:val="2"/>
            <w:tcBorders>
              <w:right w:val="single" w:sz="18" w:space="0" w:color="auto"/>
            </w:tcBorders>
          </w:tcPr>
          <w:p w:rsidR="00A44B18" w:rsidRPr="00454708" w:rsidRDefault="00A44B18" w:rsidP="007C42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o-MD"/>
              </w:rPr>
            </w:pPr>
            <w:r w:rsidRPr="00454708">
              <w:rPr>
                <w:rFonts w:asciiTheme="majorHAnsi" w:eastAsia="Times New Roman" w:hAnsiTheme="majorHAnsi" w:cs="Times New Roman"/>
                <w:bCs w:val="0"/>
                <w:color w:val="000000"/>
                <w:lang w:val="ro-MD"/>
              </w:rPr>
              <w:t>Anul 2018</w:t>
            </w:r>
          </w:p>
        </w:tc>
        <w:tc>
          <w:tcPr>
            <w:tcW w:w="3741" w:type="dxa"/>
            <w:gridSpan w:val="3"/>
            <w:tcBorders>
              <w:left w:val="single" w:sz="18" w:space="0" w:color="auto"/>
            </w:tcBorders>
          </w:tcPr>
          <w:p w:rsidR="00A44B18" w:rsidRPr="00454708" w:rsidRDefault="00A44B18" w:rsidP="007C427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o-MD"/>
              </w:rPr>
            </w:pPr>
            <w:r w:rsidRPr="00454708">
              <w:rPr>
                <w:rFonts w:asciiTheme="majorHAnsi" w:eastAsia="Times New Roman" w:hAnsiTheme="majorHAnsi" w:cs="Times New Roman"/>
                <w:bCs w:val="0"/>
                <w:color w:val="000000"/>
                <w:lang w:val="ro-MD"/>
              </w:rPr>
              <w:t>Devieri (+/-)</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vMerge/>
            <w:hideMark/>
          </w:tcPr>
          <w:p w:rsidR="00A44B18" w:rsidRPr="00454708" w:rsidRDefault="00A44B18" w:rsidP="007C4275">
            <w:pPr>
              <w:rPr>
                <w:rFonts w:asciiTheme="majorHAnsi" w:eastAsia="Times New Roman" w:hAnsiTheme="majorHAnsi" w:cs="Times New Roman"/>
                <w:color w:val="000000"/>
                <w:lang w:val="ro-MD"/>
              </w:rPr>
            </w:pPr>
          </w:p>
        </w:tc>
        <w:tc>
          <w:tcPr>
            <w:tcW w:w="1069" w:type="dxa"/>
            <w:noWrap/>
            <w:hideMark/>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BS</w:t>
            </w:r>
          </w:p>
        </w:tc>
        <w:tc>
          <w:tcPr>
            <w:tcW w:w="1275" w:type="dxa"/>
            <w:tcBorders>
              <w:right w:val="single" w:sz="18" w:space="0" w:color="auto"/>
            </w:tcBorders>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Pr>
                <w:rFonts w:asciiTheme="majorHAnsi" w:eastAsia="Times New Roman" w:hAnsiTheme="majorHAnsi" w:cs="Times New Roman"/>
                <w:b/>
                <w:bCs/>
                <w:color w:val="000000"/>
                <w:lang w:val="ro-MD"/>
              </w:rPr>
              <w:t>p</w:t>
            </w:r>
            <w:r w:rsidRPr="00454708">
              <w:rPr>
                <w:rFonts w:asciiTheme="majorHAnsi" w:eastAsia="Times New Roman" w:hAnsiTheme="majorHAnsi" w:cs="Times New Roman"/>
                <w:b/>
                <w:bCs/>
                <w:color w:val="000000"/>
                <w:lang w:val="ro-MD"/>
              </w:rPr>
              <w:t>onderea</w:t>
            </w:r>
          </w:p>
        </w:tc>
        <w:tc>
          <w:tcPr>
            <w:tcW w:w="1134" w:type="dxa"/>
            <w:noWrap/>
            <w:hideMark/>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BS</w:t>
            </w:r>
          </w:p>
        </w:tc>
        <w:tc>
          <w:tcPr>
            <w:tcW w:w="1171" w:type="dxa"/>
            <w:tcBorders>
              <w:right w:val="single" w:sz="18" w:space="0" w:color="auto"/>
            </w:tcBorders>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Pr>
                <w:rFonts w:asciiTheme="majorHAnsi" w:eastAsia="Times New Roman" w:hAnsiTheme="majorHAnsi" w:cs="Times New Roman"/>
                <w:b/>
                <w:bCs/>
                <w:color w:val="000000"/>
                <w:lang w:val="ro-MD"/>
              </w:rPr>
              <w:t>p</w:t>
            </w:r>
            <w:r w:rsidRPr="00454708">
              <w:rPr>
                <w:rFonts w:asciiTheme="majorHAnsi" w:eastAsia="Times New Roman" w:hAnsiTheme="majorHAnsi" w:cs="Times New Roman"/>
                <w:b/>
                <w:bCs/>
                <w:color w:val="000000"/>
                <w:lang w:val="ro-MD"/>
              </w:rPr>
              <w:t>onderea</w:t>
            </w:r>
          </w:p>
        </w:tc>
        <w:tc>
          <w:tcPr>
            <w:tcW w:w="1068" w:type="dxa"/>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BS</w:t>
            </w:r>
          </w:p>
        </w:tc>
        <w:tc>
          <w:tcPr>
            <w:tcW w:w="1275" w:type="dxa"/>
            <w:tcBorders>
              <w:right w:val="single" w:sz="18" w:space="0" w:color="auto"/>
            </w:tcBorders>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Pr>
                <w:rFonts w:asciiTheme="majorHAnsi" w:eastAsia="Times New Roman" w:hAnsiTheme="majorHAnsi" w:cs="Times New Roman"/>
                <w:b/>
                <w:bCs/>
                <w:color w:val="000000"/>
                <w:lang w:val="ro-MD"/>
              </w:rPr>
              <w:t>p</w:t>
            </w:r>
            <w:r w:rsidRPr="00454708">
              <w:rPr>
                <w:rFonts w:asciiTheme="majorHAnsi" w:eastAsia="Times New Roman" w:hAnsiTheme="majorHAnsi" w:cs="Times New Roman"/>
                <w:b/>
                <w:bCs/>
                <w:color w:val="000000"/>
                <w:lang w:val="ro-MD"/>
              </w:rPr>
              <w:t>onderea</w:t>
            </w:r>
          </w:p>
        </w:tc>
        <w:tc>
          <w:tcPr>
            <w:tcW w:w="1277" w:type="dxa"/>
            <w:tcBorders>
              <w:left w:val="single" w:sz="18" w:space="0" w:color="auto"/>
            </w:tcBorders>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2017/2016 la BS</w:t>
            </w:r>
          </w:p>
        </w:tc>
        <w:tc>
          <w:tcPr>
            <w:tcW w:w="1275" w:type="dxa"/>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2018/2017 la BS</w:t>
            </w:r>
          </w:p>
        </w:tc>
        <w:tc>
          <w:tcPr>
            <w:tcW w:w="1189" w:type="dxa"/>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2018/2016 la BS</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vAlign w:val="center"/>
          </w:tcPr>
          <w:p w:rsidR="00A44B18" w:rsidRPr="00454708" w:rsidRDefault="00A44B18" w:rsidP="007C4275">
            <w:pPr>
              <w:jc w:val="center"/>
              <w:rPr>
                <w:rFonts w:asciiTheme="majorHAnsi" w:eastAsia="Times New Roman" w:hAnsiTheme="majorHAnsi" w:cs="Times New Roman"/>
                <w:b w:val="0"/>
                <w:i/>
                <w:color w:val="000000"/>
                <w:sz w:val="16"/>
                <w:szCs w:val="16"/>
                <w:lang w:val="ro-MD"/>
              </w:rPr>
            </w:pPr>
            <w:r w:rsidRPr="00454708">
              <w:rPr>
                <w:rFonts w:asciiTheme="majorHAnsi" w:eastAsia="Times New Roman" w:hAnsiTheme="majorHAnsi" w:cs="Times New Roman"/>
                <w:b w:val="0"/>
                <w:i/>
                <w:color w:val="000000"/>
                <w:sz w:val="16"/>
                <w:szCs w:val="16"/>
                <w:lang w:val="ro-MD"/>
              </w:rPr>
              <w:t>1</w:t>
            </w:r>
          </w:p>
        </w:tc>
        <w:tc>
          <w:tcPr>
            <w:tcW w:w="1069" w:type="dxa"/>
            <w:noWrap/>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2</w:t>
            </w:r>
          </w:p>
        </w:tc>
        <w:tc>
          <w:tcPr>
            <w:tcW w:w="1275" w:type="dxa"/>
            <w:tcBorders>
              <w:right w:val="single" w:sz="18" w:space="0" w:color="auto"/>
            </w:tcBorders>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3</w:t>
            </w:r>
          </w:p>
        </w:tc>
        <w:tc>
          <w:tcPr>
            <w:tcW w:w="1134" w:type="dxa"/>
            <w:noWrap/>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4</w:t>
            </w:r>
          </w:p>
        </w:tc>
        <w:tc>
          <w:tcPr>
            <w:tcW w:w="1171" w:type="dxa"/>
            <w:tcBorders>
              <w:right w:val="single" w:sz="18" w:space="0" w:color="auto"/>
            </w:tcBorders>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5</w:t>
            </w:r>
          </w:p>
        </w:tc>
        <w:tc>
          <w:tcPr>
            <w:tcW w:w="1068" w:type="dxa"/>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6</w:t>
            </w:r>
          </w:p>
        </w:tc>
        <w:tc>
          <w:tcPr>
            <w:tcW w:w="1275" w:type="dxa"/>
            <w:tcBorders>
              <w:right w:val="single" w:sz="18" w:space="0" w:color="auto"/>
            </w:tcBorders>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7</w:t>
            </w:r>
          </w:p>
        </w:tc>
        <w:tc>
          <w:tcPr>
            <w:tcW w:w="1277" w:type="dxa"/>
            <w:tcBorders>
              <w:left w:val="single" w:sz="18" w:space="0" w:color="auto"/>
            </w:tcBorders>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8=4-2</w:t>
            </w:r>
          </w:p>
        </w:tc>
        <w:tc>
          <w:tcPr>
            <w:tcW w:w="1275" w:type="dxa"/>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9=6-4</w:t>
            </w:r>
          </w:p>
        </w:tc>
        <w:tc>
          <w:tcPr>
            <w:tcW w:w="1189" w:type="dxa"/>
            <w:vAlign w:val="center"/>
          </w:tcPr>
          <w:p w:rsidR="00A44B18" w:rsidRPr="00454708" w:rsidRDefault="00A44B18" w:rsidP="007C427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o-MD"/>
              </w:rPr>
            </w:pPr>
            <w:r w:rsidRPr="00454708">
              <w:rPr>
                <w:rFonts w:asciiTheme="majorHAnsi" w:eastAsia="Times New Roman" w:hAnsiTheme="majorHAnsi" w:cs="Times New Roman"/>
                <w:bCs/>
                <w:i/>
                <w:color w:val="000000"/>
                <w:sz w:val="16"/>
                <w:szCs w:val="16"/>
                <w:lang w:val="ro-MD"/>
              </w:rPr>
              <w:t>10=6-2</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13487" w:type="dxa"/>
            <w:gridSpan w:val="10"/>
            <w:shd w:val="clear" w:color="auto" w:fill="D5DCE4" w:themeFill="text2" w:themeFillTint="33"/>
            <w:vAlign w:val="center"/>
          </w:tcPr>
          <w:p w:rsidR="00A44B18" w:rsidRPr="00454708" w:rsidRDefault="00A44B18" w:rsidP="007C4275">
            <w:pPr>
              <w:jc w:val="center"/>
              <w:rPr>
                <w:rFonts w:asciiTheme="majorHAnsi" w:eastAsia="Times New Roman" w:hAnsiTheme="majorHAnsi" w:cs="Times New Roman"/>
                <w:bCs w:val="0"/>
                <w:color w:val="000000"/>
                <w:sz w:val="20"/>
                <w:szCs w:val="20"/>
                <w:lang w:val="ro-MD"/>
              </w:rPr>
            </w:pPr>
            <w:r w:rsidRPr="00454708">
              <w:rPr>
                <w:rFonts w:asciiTheme="majorHAnsi" w:eastAsia="Times New Roman" w:hAnsiTheme="majorHAnsi" w:cs="Times New Roman"/>
                <w:bCs w:val="0"/>
                <w:color w:val="000000"/>
                <w:sz w:val="20"/>
                <w:szCs w:val="20"/>
                <w:lang w:val="ro-MD"/>
              </w:rPr>
              <w:t>SERVICIUL FISCAL DE STAT</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noWrap/>
            <w:hideMark/>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plăți de bază</w:t>
            </w:r>
          </w:p>
        </w:tc>
        <w:tc>
          <w:tcPr>
            <w:tcW w:w="1069" w:type="dxa"/>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544,7</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48,6%</w:t>
            </w:r>
          </w:p>
        </w:tc>
        <w:tc>
          <w:tcPr>
            <w:tcW w:w="1134" w:type="dxa"/>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727,4</w:t>
            </w:r>
          </w:p>
        </w:tc>
        <w:tc>
          <w:tcPr>
            <w:tcW w:w="1171"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49,6%</w:t>
            </w:r>
          </w:p>
        </w:tc>
        <w:tc>
          <w:tcPr>
            <w:tcW w:w="1068"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631,6</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55,2%</w:t>
            </w:r>
          </w:p>
        </w:tc>
        <w:tc>
          <w:tcPr>
            <w:tcW w:w="1277" w:type="dxa"/>
            <w:tcBorders>
              <w:lef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+182,7</w:t>
            </w:r>
          </w:p>
        </w:tc>
        <w:tc>
          <w:tcPr>
            <w:tcW w:w="1275"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-95,8</w:t>
            </w:r>
          </w:p>
        </w:tc>
        <w:tc>
          <w:tcPr>
            <w:tcW w:w="1189"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+86,9</w:t>
            </w:r>
          </w:p>
        </w:tc>
      </w:tr>
      <w:tr w:rsidR="00A44B18" w:rsidRPr="00454708" w:rsidTr="007C4275">
        <w:trPr>
          <w:trHeight w:val="202"/>
        </w:trPr>
        <w:tc>
          <w:tcPr>
            <w:cnfStyle w:val="001000000000" w:firstRow="0" w:lastRow="0" w:firstColumn="1" w:lastColumn="0" w:oddVBand="0" w:evenVBand="0" w:oddHBand="0" w:evenHBand="0" w:firstRowFirstColumn="0" w:firstRowLastColumn="0" w:lastRowFirstColumn="0" w:lastRowLastColumn="0"/>
            <w:tcW w:w="2754" w:type="dxa"/>
            <w:hideMark/>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majorare de întârziere</w:t>
            </w:r>
          </w:p>
        </w:tc>
        <w:tc>
          <w:tcPr>
            <w:tcW w:w="1069" w:type="dxa"/>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266,2</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23,8%</w:t>
            </w:r>
          </w:p>
        </w:tc>
        <w:tc>
          <w:tcPr>
            <w:tcW w:w="1134" w:type="dxa"/>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340,5</w:t>
            </w:r>
          </w:p>
        </w:tc>
        <w:tc>
          <w:tcPr>
            <w:tcW w:w="1171"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23,2%</w:t>
            </w:r>
          </w:p>
        </w:tc>
        <w:tc>
          <w:tcPr>
            <w:tcW w:w="1068"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283,4</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24,8%</w:t>
            </w:r>
          </w:p>
        </w:tc>
        <w:tc>
          <w:tcPr>
            <w:tcW w:w="1277" w:type="dxa"/>
            <w:tcBorders>
              <w:lef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+74,3</w:t>
            </w:r>
          </w:p>
        </w:tc>
        <w:tc>
          <w:tcPr>
            <w:tcW w:w="1275"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-57,1</w:t>
            </w:r>
          </w:p>
        </w:tc>
        <w:tc>
          <w:tcPr>
            <w:tcW w:w="1189"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+17,2</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noWrap/>
            <w:hideMark/>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amenzi</w:t>
            </w:r>
          </w:p>
        </w:tc>
        <w:tc>
          <w:tcPr>
            <w:tcW w:w="1069" w:type="dxa"/>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309,7</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27,6%</w:t>
            </w:r>
          </w:p>
        </w:tc>
        <w:tc>
          <w:tcPr>
            <w:tcW w:w="1134" w:type="dxa"/>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399,1</w:t>
            </w:r>
          </w:p>
        </w:tc>
        <w:tc>
          <w:tcPr>
            <w:tcW w:w="1171"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27,2%</w:t>
            </w:r>
          </w:p>
        </w:tc>
        <w:tc>
          <w:tcPr>
            <w:tcW w:w="1068"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228,3</w:t>
            </w:r>
          </w:p>
        </w:tc>
        <w:tc>
          <w:tcPr>
            <w:tcW w:w="1275" w:type="dxa"/>
            <w:tcBorders>
              <w:righ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20,0%</w:t>
            </w:r>
          </w:p>
        </w:tc>
        <w:tc>
          <w:tcPr>
            <w:tcW w:w="1277" w:type="dxa"/>
            <w:tcBorders>
              <w:left w:val="single" w:sz="18" w:space="0" w:color="auto"/>
            </w:tcBorders>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+89,4</w:t>
            </w:r>
          </w:p>
        </w:tc>
        <w:tc>
          <w:tcPr>
            <w:tcW w:w="1275"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-170,8</w:t>
            </w:r>
          </w:p>
        </w:tc>
        <w:tc>
          <w:tcPr>
            <w:tcW w:w="1189" w:type="dxa"/>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o-MD"/>
              </w:rPr>
            </w:pPr>
            <w:r w:rsidRPr="00454708">
              <w:rPr>
                <w:rFonts w:asciiTheme="majorHAnsi" w:eastAsia="Times New Roman" w:hAnsiTheme="majorHAnsi" w:cs="Times New Roman"/>
                <w:i/>
                <w:color w:val="000000"/>
                <w:lang w:val="ro-MD"/>
              </w:rPr>
              <w:t>-81,4</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noWrap/>
            <w:hideMark/>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Total restanțe</w:t>
            </w:r>
          </w:p>
        </w:tc>
        <w:tc>
          <w:tcPr>
            <w:tcW w:w="1069" w:type="dxa"/>
            <w:shd w:val="clear" w:color="auto" w:fill="D9D9D9" w:themeFill="background1" w:themeFillShade="D9"/>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1120,6</w:t>
            </w:r>
          </w:p>
        </w:tc>
        <w:tc>
          <w:tcPr>
            <w:tcW w:w="1275"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134" w:type="dxa"/>
            <w:shd w:val="clear" w:color="auto" w:fill="D9D9D9" w:themeFill="background1" w:themeFillShade="D9"/>
            <w:noWrap/>
            <w:hideMark/>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1466,9</w:t>
            </w:r>
          </w:p>
        </w:tc>
        <w:tc>
          <w:tcPr>
            <w:tcW w:w="1171"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068" w:type="dxa"/>
            <w:shd w:val="clear" w:color="auto" w:fill="D9D9D9" w:themeFill="background1" w:themeFillShade="D9"/>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1143,3</w:t>
            </w:r>
          </w:p>
        </w:tc>
        <w:tc>
          <w:tcPr>
            <w:tcW w:w="1275"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277" w:type="dxa"/>
            <w:tcBorders>
              <w:lef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+346,3</w:t>
            </w:r>
          </w:p>
        </w:tc>
        <w:tc>
          <w:tcPr>
            <w:tcW w:w="1275" w:type="dxa"/>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-323,6</w:t>
            </w:r>
          </w:p>
        </w:tc>
        <w:tc>
          <w:tcPr>
            <w:tcW w:w="1189" w:type="dxa"/>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+22,7</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13487" w:type="dxa"/>
            <w:gridSpan w:val="10"/>
            <w:shd w:val="clear" w:color="auto" w:fill="D5DCE4" w:themeFill="text2" w:themeFillTint="33"/>
            <w:noWrap/>
          </w:tcPr>
          <w:p w:rsidR="00A44B18" w:rsidRPr="00454708" w:rsidRDefault="00A44B18" w:rsidP="007C4275">
            <w:pPr>
              <w:jc w:val="center"/>
              <w:rPr>
                <w:rFonts w:asciiTheme="majorHAnsi" w:eastAsia="Times New Roman" w:hAnsiTheme="majorHAnsi" w:cs="Times New Roman"/>
                <w:bCs w:val="0"/>
                <w:color w:val="000000"/>
                <w:sz w:val="20"/>
                <w:szCs w:val="20"/>
                <w:lang w:val="ro-MD"/>
              </w:rPr>
            </w:pPr>
            <w:r w:rsidRPr="00454708">
              <w:rPr>
                <w:rFonts w:asciiTheme="majorHAnsi" w:eastAsia="Times New Roman" w:hAnsiTheme="majorHAnsi" w:cs="Times New Roman"/>
                <w:bCs w:val="0"/>
                <w:color w:val="000000"/>
                <w:sz w:val="20"/>
                <w:szCs w:val="20"/>
                <w:lang w:val="ro-MD"/>
              </w:rPr>
              <w:t>SERVICIUL VAMAL</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plăți de bază</w:t>
            </w:r>
          </w:p>
        </w:tc>
        <w:tc>
          <w:tcPr>
            <w:tcW w:w="1069"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200,5</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62,8%</w:t>
            </w:r>
          </w:p>
        </w:tc>
        <w:tc>
          <w:tcPr>
            <w:tcW w:w="1134"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228,3</w:t>
            </w:r>
          </w:p>
        </w:tc>
        <w:tc>
          <w:tcPr>
            <w:tcW w:w="1171"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59,2%</w:t>
            </w:r>
          </w:p>
        </w:tc>
        <w:tc>
          <w:tcPr>
            <w:tcW w:w="1068"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259,6</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54,3%</w:t>
            </w:r>
          </w:p>
        </w:tc>
        <w:tc>
          <w:tcPr>
            <w:tcW w:w="1277" w:type="dxa"/>
            <w:tcBorders>
              <w:lef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+27,8</w:t>
            </w:r>
          </w:p>
        </w:tc>
        <w:tc>
          <w:tcPr>
            <w:tcW w:w="1275"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+31,3</w:t>
            </w:r>
          </w:p>
        </w:tc>
        <w:tc>
          <w:tcPr>
            <w:tcW w:w="1189"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+59,1</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majorare de întârziere</w:t>
            </w:r>
          </w:p>
        </w:tc>
        <w:tc>
          <w:tcPr>
            <w:tcW w:w="1069"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91,8</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28,7%</w:t>
            </w:r>
          </w:p>
        </w:tc>
        <w:tc>
          <w:tcPr>
            <w:tcW w:w="1134"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108,5</w:t>
            </w:r>
          </w:p>
        </w:tc>
        <w:tc>
          <w:tcPr>
            <w:tcW w:w="1171"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28,1%</w:t>
            </w:r>
          </w:p>
        </w:tc>
        <w:tc>
          <w:tcPr>
            <w:tcW w:w="1068"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143,9</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30,1%</w:t>
            </w:r>
          </w:p>
        </w:tc>
        <w:tc>
          <w:tcPr>
            <w:tcW w:w="1277" w:type="dxa"/>
            <w:tcBorders>
              <w:lef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+16,7</w:t>
            </w:r>
          </w:p>
        </w:tc>
        <w:tc>
          <w:tcPr>
            <w:tcW w:w="1275"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+35,4</w:t>
            </w:r>
          </w:p>
        </w:tc>
        <w:tc>
          <w:tcPr>
            <w:tcW w:w="1189"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+52,1</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amenzi</w:t>
            </w:r>
          </w:p>
        </w:tc>
        <w:tc>
          <w:tcPr>
            <w:tcW w:w="1069"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27,2</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8,5%</w:t>
            </w:r>
          </w:p>
        </w:tc>
        <w:tc>
          <w:tcPr>
            <w:tcW w:w="1134" w:type="dxa"/>
            <w:shd w:val="clear" w:color="auto" w:fill="FFFFFF" w:themeFill="background1"/>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49,0</w:t>
            </w:r>
          </w:p>
        </w:tc>
        <w:tc>
          <w:tcPr>
            <w:tcW w:w="1171"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12,7%</w:t>
            </w:r>
          </w:p>
        </w:tc>
        <w:tc>
          <w:tcPr>
            <w:tcW w:w="1068"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rPr>
            </w:pPr>
            <w:r w:rsidRPr="00454708">
              <w:rPr>
                <w:rFonts w:asciiTheme="majorHAnsi" w:eastAsia="Times New Roman" w:hAnsiTheme="majorHAnsi" w:cs="Times New Roman"/>
                <w:bCs/>
                <w:color w:val="000000"/>
                <w:lang w:val="ro-MD"/>
              </w:rPr>
              <w:t>74,7</w:t>
            </w:r>
          </w:p>
        </w:tc>
        <w:tc>
          <w:tcPr>
            <w:tcW w:w="1275" w:type="dxa"/>
            <w:tcBorders>
              <w:righ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15,6%</w:t>
            </w:r>
          </w:p>
        </w:tc>
        <w:tc>
          <w:tcPr>
            <w:tcW w:w="1277" w:type="dxa"/>
            <w:tcBorders>
              <w:left w:val="single" w:sz="18" w:space="0" w:color="auto"/>
            </w:tcBorders>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+21,8</w:t>
            </w:r>
          </w:p>
        </w:tc>
        <w:tc>
          <w:tcPr>
            <w:tcW w:w="1275"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+25,7</w:t>
            </w:r>
          </w:p>
        </w:tc>
        <w:tc>
          <w:tcPr>
            <w:tcW w:w="1189" w:type="dxa"/>
            <w:shd w:val="clear" w:color="auto" w:fill="FFFFFF" w:themeFill="background1"/>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o-MD"/>
              </w:rPr>
            </w:pPr>
            <w:r w:rsidRPr="00454708">
              <w:rPr>
                <w:rFonts w:asciiTheme="majorHAnsi" w:eastAsia="Times New Roman" w:hAnsiTheme="majorHAnsi" w:cs="Times New Roman"/>
                <w:bCs/>
                <w:i/>
                <w:color w:val="000000"/>
                <w:lang w:val="ro-MD"/>
              </w:rPr>
              <w:t>+47,5</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noWrap/>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Total restanțe</w:t>
            </w:r>
          </w:p>
        </w:tc>
        <w:tc>
          <w:tcPr>
            <w:tcW w:w="1069" w:type="dxa"/>
            <w:shd w:val="clear" w:color="auto" w:fill="D9D9D9" w:themeFill="background1" w:themeFillShade="D9"/>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319,5</w:t>
            </w:r>
          </w:p>
        </w:tc>
        <w:tc>
          <w:tcPr>
            <w:tcW w:w="1275"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134" w:type="dxa"/>
            <w:shd w:val="clear" w:color="auto" w:fill="D9D9D9" w:themeFill="background1" w:themeFillShade="D9"/>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385,8</w:t>
            </w:r>
          </w:p>
        </w:tc>
        <w:tc>
          <w:tcPr>
            <w:tcW w:w="1171"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068" w:type="dxa"/>
            <w:shd w:val="clear" w:color="auto" w:fill="D9D9D9" w:themeFill="background1" w:themeFillShade="D9"/>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478,2</w:t>
            </w:r>
          </w:p>
        </w:tc>
        <w:tc>
          <w:tcPr>
            <w:tcW w:w="1275" w:type="dxa"/>
            <w:tcBorders>
              <w:righ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100,0%</w:t>
            </w:r>
          </w:p>
        </w:tc>
        <w:tc>
          <w:tcPr>
            <w:tcW w:w="1277" w:type="dxa"/>
            <w:tcBorders>
              <w:left w:val="single" w:sz="18" w:space="0" w:color="auto"/>
            </w:tcBorders>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+66,3</w:t>
            </w:r>
          </w:p>
        </w:tc>
        <w:tc>
          <w:tcPr>
            <w:tcW w:w="1275" w:type="dxa"/>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+92,4</w:t>
            </w:r>
          </w:p>
        </w:tc>
        <w:tc>
          <w:tcPr>
            <w:tcW w:w="1189" w:type="dxa"/>
            <w:shd w:val="clear" w:color="auto" w:fill="F2F2F2" w:themeFill="background1" w:themeFillShade="F2"/>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+158,7</w:t>
            </w:r>
          </w:p>
        </w:tc>
      </w:tr>
      <w:tr w:rsidR="00A44B18" w:rsidRPr="00454708" w:rsidTr="007C4275">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5DCE4" w:themeFill="text2" w:themeFillTint="33"/>
            <w:noWrap/>
          </w:tcPr>
          <w:p w:rsidR="00A44B18" w:rsidRPr="00454708" w:rsidRDefault="00A44B18" w:rsidP="007C4275">
            <w:pPr>
              <w:rPr>
                <w:rFonts w:asciiTheme="majorHAnsi" w:eastAsia="Times New Roman" w:hAnsiTheme="majorHAnsi" w:cs="Times New Roman"/>
                <w:color w:val="000000"/>
                <w:lang w:val="ro-MD"/>
              </w:rPr>
            </w:pPr>
            <w:r w:rsidRPr="00454708">
              <w:rPr>
                <w:rFonts w:asciiTheme="majorHAnsi" w:eastAsia="Times New Roman" w:hAnsiTheme="majorHAnsi" w:cs="Times New Roman"/>
                <w:color w:val="000000"/>
                <w:lang w:val="ro-MD"/>
              </w:rPr>
              <w:t>TOTAL (SFS+SV)</w:t>
            </w:r>
          </w:p>
        </w:tc>
        <w:tc>
          <w:tcPr>
            <w:tcW w:w="1069" w:type="dxa"/>
            <w:shd w:val="clear" w:color="auto" w:fill="D5DCE4" w:themeFill="text2" w:themeFillTint="33"/>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1440,1</w:t>
            </w:r>
          </w:p>
        </w:tc>
        <w:tc>
          <w:tcPr>
            <w:tcW w:w="1275" w:type="dxa"/>
            <w:tcBorders>
              <w:right w:val="single" w:sz="18" w:space="0" w:color="auto"/>
            </w:tcBorders>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x</w:t>
            </w:r>
          </w:p>
        </w:tc>
        <w:tc>
          <w:tcPr>
            <w:tcW w:w="1134" w:type="dxa"/>
            <w:shd w:val="clear" w:color="auto" w:fill="D5DCE4" w:themeFill="text2" w:themeFillTint="33"/>
            <w:noWrap/>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1852,7</w:t>
            </w:r>
          </w:p>
        </w:tc>
        <w:tc>
          <w:tcPr>
            <w:tcW w:w="1171" w:type="dxa"/>
            <w:tcBorders>
              <w:right w:val="single" w:sz="18" w:space="0" w:color="auto"/>
            </w:tcBorders>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x</w:t>
            </w:r>
          </w:p>
        </w:tc>
        <w:tc>
          <w:tcPr>
            <w:tcW w:w="1068" w:type="dxa"/>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o-MD"/>
              </w:rPr>
            </w:pPr>
            <w:r w:rsidRPr="00454708">
              <w:rPr>
                <w:rFonts w:asciiTheme="majorHAnsi" w:eastAsia="Times New Roman" w:hAnsiTheme="majorHAnsi" w:cs="Times New Roman"/>
                <w:b/>
                <w:bCs/>
                <w:color w:val="000000"/>
                <w:lang w:val="ro-MD"/>
              </w:rPr>
              <w:t>1621,5</w:t>
            </w:r>
          </w:p>
        </w:tc>
        <w:tc>
          <w:tcPr>
            <w:tcW w:w="1275" w:type="dxa"/>
            <w:tcBorders>
              <w:right w:val="single" w:sz="18" w:space="0" w:color="auto"/>
            </w:tcBorders>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x</w:t>
            </w:r>
          </w:p>
        </w:tc>
        <w:tc>
          <w:tcPr>
            <w:tcW w:w="1277" w:type="dxa"/>
            <w:tcBorders>
              <w:left w:val="single" w:sz="18" w:space="0" w:color="auto"/>
            </w:tcBorders>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+412,6</w:t>
            </w:r>
          </w:p>
        </w:tc>
        <w:tc>
          <w:tcPr>
            <w:tcW w:w="1275" w:type="dxa"/>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-231,2</w:t>
            </w:r>
          </w:p>
        </w:tc>
        <w:tc>
          <w:tcPr>
            <w:tcW w:w="1189" w:type="dxa"/>
            <w:shd w:val="clear" w:color="auto" w:fill="D5DCE4" w:themeFill="text2" w:themeFillTint="33"/>
          </w:tcPr>
          <w:p w:rsidR="00A44B18" w:rsidRPr="00454708" w:rsidRDefault="00A44B18" w:rsidP="007C427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o-MD"/>
              </w:rPr>
            </w:pPr>
            <w:r w:rsidRPr="00454708">
              <w:rPr>
                <w:rFonts w:asciiTheme="majorHAnsi" w:eastAsia="Times New Roman" w:hAnsiTheme="majorHAnsi" w:cs="Times New Roman"/>
                <w:b/>
                <w:bCs/>
                <w:i/>
                <w:color w:val="000000"/>
                <w:lang w:val="ro-MD"/>
              </w:rPr>
              <w:t>+181,4</w:t>
            </w:r>
          </w:p>
        </w:tc>
      </w:tr>
    </w:tbl>
    <w:p w:rsidR="00A44B18" w:rsidRDefault="00A44B18" w:rsidP="00AA1F4F">
      <w:pPr>
        <w:spacing w:after="0" w:line="240" w:lineRule="auto"/>
        <w:ind w:left="284"/>
        <w:jc w:val="right"/>
        <w:rPr>
          <w:rFonts w:asciiTheme="majorHAnsi" w:hAnsiTheme="majorHAnsi" w:cs="Times New Roman"/>
          <w:b/>
          <w:sz w:val="24"/>
          <w:szCs w:val="24"/>
        </w:rPr>
      </w:pPr>
    </w:p>
    <w:p w:rsidR="007C4275" w:rsidRPr="00A720A6" w:rsidRDefault="007C4275" w:rsidP="007C4275">
      <w:pPr>
        <w:tabs>
          <w:tab w:val="left" w:pos="709"/>
        </w:tabs>
        <w:spacing w:after="0" w:line="276" w:lineRule="auto"/>
        <w:rPr>
          <w:rFonts w:asciiTheme="majorHAnsi" w:hAnsiTheme="majorHAnsi" w:cs="Times New Roman"/>
          <w:b/>
          <w:sz w:val="24"/>
          <w:szCs w:val="24"/>
        </w:rPr>
      </w:pPr>
      <w:r w:rsidRPr="00454708">
        <w:rPr>
          <w:rFonts w:asciiTheme="majorHAnsi" w:hAnsiTheme="majorHAnsi" w:cs="Times New Roman"/>
          <w:b/>
          <w:i/>
          <w:sz w:val="20"/>
          <w:szCs w:val="20"/>
        </w:rPr>
        <w:t>Sursă:</w:t>
      </w:r>
      <w:r w:rsidRPr="00454708">
        <w:rPr>
          <w:rFonts w:asciiTheme="majorHAnsi" w:hAnsiTheme="majorHAnsi" w:cs="Times New Roman"/>
          <w:i/>
          <w:sz w:val="20"/>
          <w:szCs w:val="20"/>
        </w:rPr>
        <w:t xml:space="preserve"> Darea de seamă privind restanț</w:t>
      </w:r>
      <w:r>
        <w:rPr>
          <w:rFonts w:asciiTheme="majorHAnsi" w:hAnsiTheme="majorHAnsi" w:cs="Times New Roman"/>
          <w:i/>
          <w:sz w:val="20"/>
          <w:szCs w:val="20"/>
        </w:rPr>
        <w:t>ele</w:t>
      </w:r>
      <w:r w:rsidRPr="00454708">
        <w:rPr>
          <w:rFonts w:asciiTheme="majorHAnsi" w:hAnsiTheme="majorHAnsi" w:cs="Times New Roman"/>
          <w:i/>
          <w:sz w:val="20"/>
          <w:szCs w:val="20"/>
        </w:rPr>
        <w:t xml:space="preserve"> la BPN administrate de SFS și SV.</w:t>
      </w:r>
    </w:p>
    <w:p w:rsidR="007C4275" w:rsidRDefault="007C4275" w:rsidP="00AA1F4F">
      <w:pPr>
        <w:spacing w:after="0" w:line="240" w:lineRule="auto"/>
        <w:ind w:left="284"/>
        <w:jc w:val="right"/>
        <w:rPr>
          <w:rFonts w:asciiTheme="majorHAnsi" w:hAnsiTheme="majorHAnsi" w:cs="Times New Roman"/>
          <w:b/>
          <w:sz w:val="24"/>
          <w:szCs w:val="24"/>
        </w:rPr>
      </w:pPr>
    </w:p>
    <w:p w:rsidR="007C4275" w:rsidRDefault="007C4275" w:rsidP="00957B79">
      <w:pPr>
        <w:spacing w:after="0" w:line="240" w:lineRule="auto"/>
        <w:rPr>
          <w:rFonts w:asciiTheme="majorHAnsi" w:hAnsiTheme="majorHAnsi" w:cs="Times New Roman"/>
          <w:b/>
          <w:sz w:val="24"/>
          <w:szCs w:val="24"/>
        </w:rPr>
      </w:pPr>
      <w:bookmarkStart w:id="32" w:name="_GoBack"/>
      <w:bookmarkEnd w:id="32"/>
    </w:p>
    <w:p w:rsidR="00AA1F4F" w:rsidRDefault="00D8487C" w:rsidP="00AA1F4F">
      <w:pPr>
        <w:spacing w:after="0" w:line="240" w:lineRule="auto"/>
        <w:ind w:left="284"/>
        <w:jc w:val="right"/>
        <w:rPr>
          <w:rFonts w:asciiTheme="majorHAnsi" w:hAnsiTheme="majorHAnsi" w:cs="Times New Roman"/>
          <w:b/>
          <w:sz w:val="24"/>
          <w:szCs w:val="24"/>
        </w:rPr>
      </w:pPr>
      <w:r>
        <w:rPr>
          <w:rFonts w:asciiTheme="majorHAnsi" w:hAnsiTheme="majorHAnsi" w:cs="Times New Roman"/>
          <w:b/>
          <w:sz w:val="24"/>
          <w:szCs w:val="24"/>
        </w:rPr>
        <w:t>Anexa nr.9</w:t>
      </w:r>
    </w:p>
    <w:p w:rsidR="00AA1F4F" w:rsidRPr="00E35B4B" w:rsidRDefault="00AA1F4F" w:rsidP="00AA1F4F">
      <w:pPr>
        <w:spacing w:after="0" w:line="240" w:lineRule="auto"/>
        <w:ind w:left="284"/>
        <w:jc w:val="right"/>
        <w:rPr>
          <w:rFonts w:asciiTheme="majorHAnsi" w:hAnsiTheme="majorHAnsi" w:cs="Times New Roman"/>
          <w:b/>
          <w:sz w:val="24"/>
          <w:szCs w:val="24"/>
        </w:rPr>
      </w:pPr>
    </w:p>
    <w:p w:rsidR="00AA1F4F" w:rsidRPr="00E35B4B" w:rsidRDefault="00AA1F4F" w:rsidP="00AA1F4F">
      <w:pPr>
        <w:spacing w:after="0" w:line="240" w:lineRule="auto"/>
        <w:ind w:left="284"/>
        <w:jc w:val="center"/>
        <w:rPr>
          <w:rFonts w:asciiTheme="majorHAnsi" w:hAnsiTheme="majorHAnsi" w:cs="Times New Roman"/>
          <w:b/>
          <w:sz w:val="24"/>
          <w:szCs w:val="24"/>
        </w:rPr>
      </w:pPr>
      <w:r w:rsidRPr="00E35B4B">
        <w:rPr>
          <w:rFonts w:asciiTheme="majorHAnsi" w:hAnsiTheme="majorHAnsi" w:cs="Times New Roman"/>
          <w:b/>
          <w:sz w:val="24"/>
          <w:szCs w:val="24"/>
        </w:rPr>
        <w:t xml:space="preserve"> </w:t>
      </w:r>
      <w:r w:rsidR="00364452">
        <w:rPr>
          <w:rFonts w:asciiTheme="majorHAnsi" w:hAnsiTheme="majorHAnsi" w:cs="Times New Roman"/>
          <w:b/>
          <w:sz w:val="24"/>
          <w:szCs w:val="24"/>
        </w:rPr>
        <w:t>E</w:t>
      </w:r>
      <w:r w:rsidRPr="00E35B4B">
        <w:rPr>
          <w:rFonts w:asciiTheme="majorHAnsi" w:hAnsiTheme="majorHAnsi" w:cs="Times New Roman"/>
          <w:b/>
          <w:sz w:val="24"/>
          <w:szCs w:val="24"/>
        </w:rPr>
        <w:t xml:space="preserve">voluția restanțelor istorice la </w:t>
      </w:r>
      <w:r w:rsidR="0096284C">
        <w:rPr>
          <w:rFonts w:asciiTheme="majorHAnsi" w:hAnsiTheme="majorHAnsi" w:cs="Times New Roman"/>
          <w:b/>
          <w:sz w:val="24"/>
          <w:szCs w:val="24"/>
        </w:rPr>
        <w:t>bugetul de stat</w:t>
      </w:r>
      <w:r w:rsidRPr="00E35B4B">
        <w:rPr>
          <w:rFonts w:asciiTheme="majorHAnsi" w:hAnsiTheme="majorHAnsi" w:cs="Times New Roman"/>
          <w:b/>
          <w:sz w:val="24"/>
          <w:szCs w:val="24"/>
        </w:rPr>
        <w:t xml:space="preserve"> (plăți de bază) administrate de S</w:t>
      </w:r>
      <w:r w:rsidR="0096284C">
        <w:rPr>
          <w:rFonts w:asciiTheme="majorHAnsi" w:hAnsiTheme="majorHAnsi" w:cs="Times New Roman"/>
          <w:b/>
          <w:sz w:val="24"/>
          <w:szCs w:val="24"/>
        </w:rPr>
        <w:t xml:space="preserve">erviciul </w:t>
      </w:r>
      <w:r w:rsidRPr="00E35B4B">
        <w:rPr>
          <w:rFonts w:asciiTheme="majorHAnsi" w:hAnsiTheme="majorHAnsi" w:cs="Times New Roman"/>
          <w:b/>
          <w:sz w:val="24"/>
          <w:szCs w:val="24"/>
        </w:rPr>
        <w:t>V</w:t>
      </w:r>
      <w:r w:rsidR="0096284C">
        <w:rPr>
          <w:rFonts w:asciiTheme="majorHAnsi" w:hAnsiTheme="majorHAnsi" w:cs="Times New Roman"/>
          <w:b/>
          <w:sz w:val="24"/>
          <w:szCs w:val="24"/>
        </w:rPr>
        <w:t>amal</w:t>
      </w:r>
    </w:p>
    <w:p w:rsidR="00AA1F4F" w:rsidRPr="001C2ED5" w:rsidRDefault="00AA1F4F" w:rsidP="00AA1F4F">
      <w:pPr>
        <w:spacing w:after="0" w:line="240" w:lineRule="auto"/>
        <w:ind w:left="284" w:right="1381"/>
        <w:jc w:val="right"/>
        <w:rPr>
          <w:rFonts w:asciiTheme="majorHAnsi" w:hAnsiTheme="majorHAnsi" w:cs="Times New Roman"/>
          <w:b/>
          <w:sz w:val="24"/>
          <w:szCs w:val="24"/>
        </w:rPr>
      </w:pPr>
      <w:r w:rsidRPr="00856DF4">
        <w:rPr>
          <w:rFonts w:asciiTheme="majorHAnsi" w:hAnsiTheme="majorHAnsi" w:cs="Times New Roman"/>
          <w:b/>
          <w:sz w:val="24"/>
          <w:szCs w:val="24"/>
        </w:rPr>
        <w:t xml:space="preserve">(mii </w:t>
      </w:r>
      <w:r w:rsidR="007160B9" w:rsidRPr="00856DF4">
        <w:rPr>
          <w:rFonts w:asciiTheme="majorHAnsi" w:hAnsiTheme="majorHAnsi" w:cs="Times New Roman"/>
          <w:b/>
          <w:sz w:val="24"/>
          <w:szCs w:val="24"/>
        </w:rPr>
        <w:t>MDL</w:t>
      </w:r>
      <w:r w:rsidRPr="001C2ED5">
        <w:rPr>
          <w:rFonts w:asciiTheme="majorHAnsi" w:hAnsiTheme="majorHAnsi" w:cs="Times New Roman"/>
          <w:b/>
          <w:sz w:val="24"/>
          <w:szCs w:val="24"/>
        </w:rPr>
        <w:t>)</w:t>
      </w:r>
    </w:p>
    <w:tbl>
      <w:tblPr>
        <w:tblStyle w:val="TableGrid"/>
        <w:tblW w:w="0" w:type="auto"/>
        <w:jc w:val="center"/>
        <w:tblLook w:val="04A0" w:firstRow="1" w:lastRow="0" w:firstColumn="1" w:lastColumn="0" w:noHBand="0" w:noVBand="1"/>
      </w:tblPr>
      <w:tblGrid>
        <w:gridCol w:w="1096"/>
        <w:gridCol w:w="2301"/>
        <w:gridCol w:w="1179"/>
        <w:gridCol w:w="1179"/>
        <w:gridCol w:w="1179"/>
        <w:gridCol w:w="1180"/>
        <w:gridCol w:w="1180"/>
        <w:gridCol w:w="1308"/>
      </w:tblGrid>
      <w:tr w:rsidR="00AA1F4F" w:rsidRPr="00E35B4B" w:rsidTr="00397B4C">
        <w:trPr>
          <w:trHeight w:val="695"/>
          <w:jc w:val="center"/>
        </w:trPr>
        <w:tc>
          <w:tcPr>
            <w:tcW w:w="1096" w:type="dxa"/>
            <w:vMerge w:val="restart"/>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p>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Anul</w:t>
            </w:r>
          </w:p>
        </w:tc>
        <w:tc>
          <w:tcPr>
            <w:tcW w:w="2301" w:type="dxa"/>
            <w:vMerge w:val="restart"/>
            <w:tcBorders>
              <w:top w:val="single" w:sz="4" w:space="0" w:color="auto"/>
              <w:left w:val="single" w:sz="4" w:space="0" w:color="auto"/>
              <w:bottom w:val="single" w:sz="4" w:space="0" w:color="auto"/>
              <w:right w:val="single" w:sz="4" w:space="0" w:color="auto"/>
            </w:tcBorders>
            <w:hideMark/>
          </w:tcPr>
          <w:p w:rsidR="00AA1F4F"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Suma</w:t>
            </w:r>
            <w:r>
              <w:rPr>
                <w:rFonts w:asciiTheme="majorHAnsi" w:hAnsiTheme="majorHAnsi" w:cs="Times New Roman"/>
                <w:b/>
                <w:sz w:val="24"/>
                <w:szCs w:val="24"/>
              </w:rPr>
              <w:t xml:space="preserve"> </w:t>
            </w:r>
            <w:r w:rsidRPr="00E35B4B">
              <w:rPr>
                <w:rFonts w:asciiTheme="majorHAnsi" w:hAnsiTheme="majorHAnsi" w:cs="Times New Roman"/>
                <w:b/>
                <w:sz w:val="24"/>
                <w:szCs w:val="24"/>
              </w:rPr>
              <w:t xml:space="preserve">restanței </w:t>
            </w:r>
          </w:p>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create la 31.12.</w:t>
            </w:r>
            <w:r w:rsidR="0096284C">
              <w:rPr>
                <w:rFonts w:asciiTheme="majorHAnsi" w:hAnsiTheme="majorHAnsi" w:cs="Times New Roman"/>
                <w:b/>
                <w:sz w:val="24"/>
                <w:szCs w:val="24"/>
              </w:rPr>
              <w:t>2018</w:t>
            </w:r>
          </w:p>
        </w:tc>
        <w:tc>
          <w:tcPr>
            <w:tcW w:w="5897" w:type="dxa"/>
            <w:gridSpan w:val="5"/>
            <w:tcBorders>
              <w:top w:val="single" w:sz="4" w:space="0" w:color="auto"/>
              <w:left w:val="single" w:sz="4" w:space="0" w:color="auto"/>
              <w:bottom w:val="single" w:sz="4" w:space="0" w:color="auto"/>
              <w:right w:val="single" w:sz="4" w:space="0" w:color="auto"/>
            </w:tcBorders>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Restanța stinsă pe ani</w:t>
            </w:r>
          </w:p>
        </w:tc>
        <w:tc>
          <w:tcPr>
            <w:tcW w:w="1308" w:type="dxa"/>
            <w:vMerge w:val="restart"/>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Sold la 31.12.2018</w:t>
            </w:r>
          </w:p>
        </w:tc>
      </w:tr>
      <w:tr w:rsidR="00AA1F4F" w:rsidRPr="00E35B4B" w:rsidTr="00397B4C">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1F4F" w:rsidRPr="00E35B4B" w:rsidRDefault="00AA1F4F" w:rsidP="00397B4C">
            <w:pPr>
              <w:jc w:val="center"/>
              <w:rPr>
                <w:rFonts w:asciiTheme="majorHAnsi" w:hAnsiTheme="majorHAnsi" w:cs="Times New Roman"/>
                <w:b/>
                <w:sz w:val="24"/>
                <w:szCs w:val="24"/>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AA1F4F" w:rsidRPr="00E35B4B" w:rsidRDefault="00AA1F4F" w:rsidP="00397B4C">
            <w:pPr>
              <w:jc w:val="center"/>
              <w:rPr>
                <w:rFonts w:asciiTheme="majorHAnsi" w:hAnsiTheme="majorHAnsi" w:cs="Times New Roman"/>
                <w:b/>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2014</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2015</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2016</w:t>
            </w:r>
          </w:p>
        </w:tc>
        <w:tc>
          <w:tcPr>
            <w:tcW w:w="11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2017</w:t>
            </w:r>
          </w:p>
        </w:tc>
        <w:tc>
          <w:tcPr>
            <w:tcW w:w="11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1F4F" w:rsidRPr="00E35B4B" w:rsidRDefault="00AA1F4F" w:rsidP="00397B4C">
            <w:pPr>
              <w:jc w:val="center"/>
              <w:rPr>
                <w:rFonts w:asciiTheme="majorHAnsi" w:hAnsiTheme="majorHAnsi" w:cs="Times New Roman"/>
                <w:b/>
                <w:sz w:val="24"/>
                <w:szCs w:val="24"/>
              </w:rPr>
            </w:pP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2013</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48759,1</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6888,8</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8612,3</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1406,6</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502,4</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357,1</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30991,9</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2014</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33422,9</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1170,8</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4369,7</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696,8</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6664,1</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20521,5</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2015</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21094,6</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4609,4</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841,1</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5255,8</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10388,3</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2016</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30475,2</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3698,9</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7460,6</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19315,7</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2017</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35582,0</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79"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80"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22985,2</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12596,8</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2018</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80557,3</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x</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80557,3</w:t>
            </w:r>
          </w:p>
        </w:tc>
      </w:tr>
      <w:tr w:rsidR="00AA1F4F" w:rsidRPr="00E35B4B" w:rsidTr="00397B4C">
        <w:trPr>
          <w:jc w:val="center"/>
        </w:trPr>
        <w:tc>
          <w:tcPr>
            <w:tcW w:w="1096" w:type="dxa"/>
            <w:tcBorders>
              <w:top w:val="single" w:sz="4" w:space="0" w:color="auto"/>
              <w:left w:val="single" w:sz="4" w:space="0" w:color="auto"/>
              <w:bottom w:val="single" w:sz="4" w:space="0" w:color="auto"/>
              <w:right w:val="single" w:sz="4" w:space="0" w:color="auto"/>
            </w:tcBorders>
            <w:hideMark/>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Total</w:t>
            </w:r>
          </w:p>
        </w:tc>
        <w:tc>
          <w:tcPr>
            <w:tcW w:w="2301"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249891,1</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6888,8</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9783,1</w:t>
            </w:r>
          </w:p>
        </w:tc>
        <w:tc>
          <w:tcPr>
            <w:tcW w:w="1179"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10385,7</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5739,2</w:t>
            </w:r>
          </w:p>
        </w:tc>
        <w:tc>
          <w:tcPr>
            <w:tcW w:w="1180"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42722,8</w:t>
            </w:r>
          </w:p>
        </w:tc>
        <w:tc>
          <w:tcPr>
            <w:tcW w:w="1308" w:type="dxa"/>
            <w:tcBorders>
              <w:top w:val="single" w:sz="4" w:space="0" w:color="auto"/>
              <w:left w:val="single" w:sz="4" w:space="0" w:color="auto"/>
              <w:bottom w:val="single" w:sz="4" w:space="0" w:color="auto"/>
              <w:right w:val="single" w:sz="4" w:space="0" w:color="auto"/>
            </w:tcBorders>
          </w:tcPr>
          <w:p w:rsidR="00AA1F4F" w:rsidRPr="00E35B4B" w:rsidRDefault="00AA1F4F" w:rsidP="00397B4C">
            <w:pPr>
              <w:jc w:val="center"/>
              <w:rPr>
                <w:rFonts w:asciiTheme="majorHAnsi" w:hAnsiTheme="majorHAnsi" w:cs="Times New Roman"/>
                <w:b/>
                <w:sz w:val="24"/>
                <w:szCs w:val="24"/>
              </w:rPr>
            </w:pPr>
            <w:r w:rsidRPr="00E35B4B">
              <w:rPr>
                <w:rFonts w:asciiTheme="majorHAnsi" w:hAnsiTheme="majorHAnsi" w:cs="Times New Roman"/>
                <w:b/>
                <w:sz w:val="24"/>
                <w:szCs w:val="24"/>
              </w:rPr>
              <w:t>174371,5</w:t>
            </w:r>
          </w:p>
        </w:tc>
      </w:tr>
    </w:tbl>
    <w:p w:rsidR="00AA1F4F" w:rsidRPr="00FB186A" w:rsidRDefault="00AA1F4F" w:rsidP="00AA1F4F">
      <w:pPr>
        <w:spacing w:after="0" w:line="276" w:lineRule="auto"/>
        <w:ind w:left="1276" w:right="49"/>
        <w:jc w:val="both"/>
        <w:rPr>
          <w:rFonts w:asciiTheme="majorHAnsi" w:eastAsia="Calibri" w:hAnsiTheme="majorHAnsi" w:cstheme="majorHAnsi"/>
          <w:i/>
          <w:sz w:val="20"/>
          <w:szCs w:val="20"/>
          <w:lang w:val="ro-MD"/>
        </w:rPr>
      </w:pPr>
      <w:r w:rsidRPr="00FB186A">
        <w:rPr>
          <w:rFonts w:asciiTheme="majorHAnsi" w:hAnsiTheme="majorHAnsi" w:cstheme="majorHAnsi"/>
          <w:b/>
          <w:i/>
          <w:sz w:val="20"/>
          <w:szCs w:val="20"/>
          <w:lang w:val="ro-MD"/>
        </w:rPr>
        <w:t>Sursă:</w:t>
      </w:r>
      <w:r w:rsidRPr="00FB186A">
        <w:rPr>
          <w:rFonts w:asciiTheme="majorHAnsi" w:eastAsia="Calibri" w:hAnsiTheme="majorHAnsi" w:cstheme="majorHAnsi"/>
          <w:i/>
          <w:sz w:val="20"/>
          <w:szCs w:val="20"/>
          <w:lang w:val="ro-MD"/>
        </w:rPr>
        <w:t xml:space="preserve"> Informații din rapoartele privind datoriile agenților economici față de BS pe anii 2015-2018.</w:t>
      </w:r>
    </w:p>
    <w:p w:rsidR="00147164" w:rsidRDefault="00147164" w:rsidP="00A776C7">
      <w:pPr>
        <w:spacing w:after="0"/>
        <w:rPr>
          <w:rFonts w:asciiTheme="majorHAnsi" w:hAnsiTheme="majorHAnsi" w:cstheme="majorHAnsi"/>
          <w:b/>
          <w:sz w:val="24"/>
          <w:szCs w:val="24"/>
        </w:rPr>
      </w:pPr>
    </w:p>
    <w:p w:rsidR="00AA1F4F" w:rsidRPr="00785290" w:rsidRDefault="00AA1F4F" w:rsidP="00AA1F4F">
      <w:pPr>
        <w:spacing w:after="0"/>
        <w:jc w:val="right"/>
        <w:rPr>
          <w:rFonts w:asciiTheme="majorHAnsi" w:hAnsiTheme="majorHAnsi" w:cstheme="majorHAnsi"/>
          <w:b/>
          <w:sz w:val="24"/>
          <w:szCs w:val="24"/>
        </w:rPr>
      </w:pPr>
      <w:r w:rsidRPr="00785290">
        <w:rPr>
          <w:rFonts w:asciiTheme="majorHAnsi" w:hAnsiTheme="majorHAnsi" w:cstheme="majorHAnsi"/>
          <w:b/>
          <w:sz w:val="24"/>
          <w:szCs w:val="24"/>
        </w:rPr>
        <w:t>Anexa nr.</w:t>
      </w:r>
      <w:r w:rsidR="00A776C7">
        <w:rPr>
          <w:rFonts w:asciiTheme="majorHAnsi" w:hAnsiTheme="majorHAnsi" w:cstheme="majorHAnsi"/>
          <w:b/>
          <w:sz w:val="24"/>
          <w:szCs w:val="24"/>
        </w:rPr>
        <w:t>10</w:t>
      </w:r>
    </w:p>
    <w:p w:rsidR="00AA1F4F" w:rsidRPr="00785290" w:rsidRDefault="00AA1F4F" w:rsidP="00AA1F4F">
      <w:pPr>
        <w:spacing w:after="0"/>
        <w:jc w:val="center"/>
        <w:rPr>
          <w:rFonts w:asciiTheme="majorHAnsi" w:hAnsiTheme="majorHAnsi" w:cstheme="majorHAnsi"/>
          <w:b/>
          <w:sz w:val="24"/>
          <w:szCs w:val="24"/>
        </w:rPr>
      </w:pPr>
      <w:r w:rsidRPr="00785290">
        <w:rPr>
          <w:rFonts w:asciiTheme="majorHAnsi" w:hAnsiTheme="majorHAnsi" w:cstheme="majorHAnsi"/>
          <w:b/>
          <w:sz w:val="24"/>
          <w:szCs w:val="24"/>
        </w:rPr>
        <w:t>Informația cu privire la rezultatele controalelor fiscale efectuate de către SFS pe parcursul anului 2018</w:t>
      </w:r>
    </w:p>
    <w:p w:rsidR="00AA1F4F" w:rsidRPr="00785290" w:rsidRDefault="00AA1F4F" w:rsidP="00AA1F4F">
      <w:pPr>
        <w:spacing w:after="0"/>
        <w:jc w:val="right"/>
        <w:rPr>
          <w:rFonts w:asciiTheme="majorHAnsi" w:hAnsiTheme="majorHAnsi" w:cstheme="majorHAnsi"/>
          <w:b/>
          <w:sz w:val="24"/>
          <w:szCs w:val="24"/>
        </w:rPr>
      </w:pPr>
      <w:r w:rsidRPr="000628F9">
        <w:rPr>
          <w:rFonts w:asciiTheme="majorHAnsi" w:hAnsiTheme="majorHAnsi" w:cstheme="majorHAnsi"/>
          <w:b/>
          <w:sz w:val="24"/>
          <w:szCs w:val="24"/>
        </w:rPr>
        <w:t xml:space="preserve">(mii </w:t>
      </w:r>
      <w:r w:rsidR="007160B9" w:rsidRPr="000628F9">
        <w:rPr>
          <w:rFonts w:asciiTheme="majorHAnsi" w:hAnsiTheme="majorHAnsi" w:cstheme="majorHAnsi"/>
          <w:b/>
          <w:sz w:val="24"/>
          <w:szCs w:val="24"/>
        </w:rPr>
        <w:t>MDL</w:t>
      </w:r>
      <w:r w:rsidRPr="00785290">
        <w:rPr>
          <w:rFonts w:asciiTheme="majorHAnsi" w:hAnsiTheme="majorHAnsi" w:cstheme="majorHAnsi"/>
          <w:b/>
          <w:sz w:val="24"/>
          <w:szCs w:val="24"/>
        </w:rPr>
        <w:t>)</w:t>
      </w:r>
    </w:p>
    <w:tbl>
      <w:tblPr>
        <w:tblStyle w:val="TableGrid"/>
        <w:tblW w:w="13323" w:type="dxa"/>
        <w:tblLayout w:type="fixed"/>
        <w:tblLook w:val="04A0" w:firstRow="1" w:lastRow="0" w:firstColumn="1" w:lastColumn="0" w:noHBand="0" w:noVBand="1"/>
      </w:tblPr>
      <w:tblGrid>
        <w:gridCol w:w="535"/>
        <w:gridCol w:w="1968"/>
        <w:gridCol w:w="900"/>
        <w:gridCol w:w="923"/>
        <w:gridCol w:w="924"/>
        <w:gridCol w:w="969"/>
        <w:gridCol w:w="1212"/>
        <w:gridCol w:w="999"/>
        <w:gridCol w:w="934"/>
        <w:gridCol w:w="992"/>
        <w:gridCol w:w="1162"/>
        <w:gridCol w:w="881"/>
        <w:gridCol w:w="924"/>
      </w:tblGrid>
      <w:tr w:rsidR="00AA1F4F" w:rsidRPr="00785290" w:rsidTr="00397B4C">
        <w:trPr>
          <w:trHeight w:val="197"/>
        </w:trPr>
        <w:tc>
          <w:tcPr>
            <w:tcW w:w="535" w:type="dxa"/>
            <w:vMerge w:val="restart"/>
          </w:tcPr>
          <w:p w:rsidR="00AA1F4F" w:rsidRPr="00785290" w:rsidRDefault="00AA1F4F" w:rsidP="00397B4C">
            <w:pPr>
              <w:jc w:val="center"/>
              <w:rPr>
                <w:rFonts w:asciiTheme="majorHAnsi" w:hAnsiTheme="majorHAnsi" w:cstheme="majorHAnsi"/>
                <w:b/>
                <w:sz w:val="18"/>
                <w:szCs w:val="18"/>
              </w:rPr>
            </w:pPr>
          </w:p>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Nr. d/o</w:t>
            </w:r>
          </w:p>
        </w:tc>
        <w:tc>
          <w:tcPr>
            <w:tcW w:w="1968" w:type="dxa"/>
            <w:vMerge w:val="restart"/>
            <w:vAlign w:val="center"/>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Denumirea indicilor</w:t>
            </w:r>
          </w:p>
        </w:tc>
        <w:tc>
          <w:tcPr>
            <w:tcW w:w="900" w:type="dxa"/>
            <w:vMerge w:val="restart"/>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Numărul controalelor efectuate</w:t>
            </w:r>
          </w:p>
        </w:tc>
        <w:tc>
          <w:tcPr>
            <w:tcW w:w="923" w:type="dxa"/>
            <w:vMerge w:val="restart"/>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Numărul controalelor rezultative</w:t>
            </w:r>
          </w:p>
        </w:tc>
        <w:tc>
          <w:tcPr>
            <w:tcW w:w="924" w:type="dxa"/>
            <w:vMerge w:val="restart"/>
          </w:tcPr>
          <w:p w:rsidR="00AA1F4F" w:rsidRPr="00785290" w:rsidRDefault="00AA1F4F" w:rsidP="007867DD">
            <w:pPr>
              <w:jc w:val="center"/>
              <w:rPr>
                <w:rFonts w:asciiTheme="majorHAnsi" w:hAnsiTheme="majorHAnsi" w:cstheme="majorHAnsi"/>
                <w:b/>
                <w:sz w:val="18"/>
                <w:szCs w:val="18"/>
              </w:rPr>
            </w:pPr>
            <w:r w:rsidRPr="00785290">
              <w:rPr>
                <w:rFonts w:asciiTheme="majorHAnsi" w:hAnsiTheme="majorHAnsi" w:cstheme="majorHAnsi"/>
                <w:b/>
                <w:sz w:val="18"/>
                <w:szCs w:val="18"/>
              </w:rPr>
              <w:t xml:space="preserve">Ponderea controalelor rezultative </w:t>
            </w:r>
            <w:r w:rsidR="007867DD">
              <w:rPr>
                <w:rFonts w:asciiTheme="majorHAnsi" w:hAnsiTheme="majorHAnsi" w:cstheme="majorHAnsi"/>
                <w:b/>
                <w:sz w:val="18"/>
                <w:szCs w:val="18"/>
              </w:rPr>
              <w:t>î</w:t>
            </w:r>
            <w:r w:rsidRPr="00785290">
              <w:rPr>
                <w:rFonts w:asciiTheme="majorHAnsi" w:hAnsiTheme="majorHAnsi" w:cstheme="majorHAnsi"/>
                <w:b/>
                <w:sz w:val="18"/>
                <w:szCs w:val="18"/>
              </w:rPr>
              <w:t>n total</w:t>
            </w:r>
            <w:r w:rsidR="007867DD">
              <w:rPr>
                <w:rFonts w:asciiTheme="majorHAnsi" w:hAnsiTheme="majorHAnsi" w:cstheme="majorHAnsi"/>
                <w:b/>
                <w:sz w:val="18"/>
                <w:szCs w:val="18"/>
              </w:rPr>
              <w:t>ul</w:t>
            </w:r>
            <w:r w:rsidRPr="00785290">
              <w:rPr>
                <w:rFonts w:asciiTheme="majorHAnsi" w:hAnsiTheme="majorHAnsi" w:cstheme="majorHAnsi"/>
                <w:b/>
                <w:sz w:val="18"/>
                <w:szCs w:val="18"/>
              </w:rPr>
              <w:t xml:space="preserve"> </w:t>
            </w:r>
            <w:r w:rsidR="007867DD">
              <w:rPr>
                <w:rFonts w:asciiTheme="majorHAnsi" w:hAnsiTheme="majorHAnsi" w:cstheme="majorHAnsi"/>
                <w:b/>
                <w:sz w:val="18"/>
                <w:szCs w:val="18"/>
              </w:rPr>
              <w:t xml:space="preserve">celor </w:t>
            </w:r>
            <w:r w:rsidRPr="00785290">
              <w:rPr>
                <w:rFonts w:asciiTheme="majorHAnsi" w:hAnsiTheme="majorHAnsi" w:cstheme="majorHAnsi"/>
                <w:b/>
                <w:sz w:val="18"/>
                <w:szCs w:val="18"/>
              </w:rPr>
              <w:t>efectuate</w:t>
            </w:r>
          </w:p>
        </w:tc>
        <w:tc>
          <w:tcPr>
            <w:tcW w:w="3180" w:type="dxa"/>
            <w:gridSpan w:val="3"/>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 xml:space="preserve">Total calculat la </w:t>
            </w:r>
          </w:p>
        </w:tc>
        <w:tc>
          <w:tcPr>
            <w:tcW w:w="934" w:type="dxa"/>
            <w:vMerge w:val="restart"/>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Sancțiuni contravenționale</w:t>
            </w:r>
          </w:p>
        </w:tc>
        <w:tc>
          <w:tcPr>
            <w:tcW w:w="3035" w:type="dxa"/>
            <w:gridSpan w:val="3"/>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Sume încasate</w:t>
            </w:r>
          </w:p>
        </w:tc>
        <w:tc>
          <w:tcPr>
            <w:tcW w:w="924" w:type="dxa"/>
            <w:vMerge w:val="restart"/>
          </w:tcPr>
          <w:p w:rsidR="00AA1F4F" w:rsidRPr="00785290" w:rsidRDefault="00AA1F4F" w:rsidP="007867DD">
            <w:pPr>
              <w:jc w:val="center"/>
              <w:rPr>
                <w:rFonts w:asciiTheme="majorHAnsi" w:hAnsiTheme="majorHAnsi" w:cstheme="majorHAnsi"/>
                <w:b/>
                <w:sz w:val="18"/>
                <w:szCs w:val="18"/>
              </w:rPr>
            </w:pPr>
            <w:r w:rsidRPr="00785290">
              <w:rPr>
                <w:rFonts w:asciiTheme="majorHAnsi" w:hAnsiTheme="majorHAnsi" w:cstheme="majorHAnsi"/>
                <w:b/>
                <w:sz w:val="18"/>
                <w:szCs w:val="18"/>
              </w:rPr>
              <w:t xml:space="preserve">Ponderea sumelor încasate </w:t>
            </w:r>
            <w:r w:rsidR="007867DD">
              <w:rPr>
                <w:rFonts w:asciiTheme="majorHAnsi" w:hAnsiTheme="majorHAnsi" w:cstheme="majorHAnsi"/>
                <w:b/>
                <w:sz w:val="18"/>
                <w:szCs w:val="18"/>
              </w:rPr>
              <w:t>î</w:t>
            </w:r>
            <w:r w:rsidRPr="00785290">
              <w:rPr>
                <w:rFonts w:asciiTheme="majorHAnsi" w:hAnsiTheme="majorHAnsi" w:cstheme="majorHAnsi"/>
                <w:b/>
                <w:sz w:val="18"/>
                <w:szCs w:val="18"/>
              </w:rPr>
              <w:t>n total</w:t>
            </w:r>
            <w:r w:rsidR="007867DD">
              <w:rPr>
                <w:rFonts w:asciiTheme="majorHAnsi" w:hAnsiTheme="majorHAnsi" w:cstheme="majorHAnsi"/>
                <w:b/>
                <w:sz w:val="18"/>
                <w:szCs w:val="18"/>
              </w:rPr>
              <w:t>ul celor</w:t>
            </w:r>
            <w:r w:rsidRPr="00785290">
              <w:rPr>
                <w:rFonts w:asciiTheme="majorHAnsi" w:hAnsiTheme="majorHAnsi" w:cstheme="majorHAnsi"/>
                <w:b/>
                <w:sz w:val="18"/>
                <w:szCs w:val="18"/>
              </w:rPr>
              <w:t xml:space="preserve"> calculate</w:t>
            </w:r>
          </w:p>
        </w:tc>
      </w:tr>
      <w:tr w:rsidR="00AA1F4F" w:rsidRPr="00785290" w:rsidTr="00397B4C">
        <w:trPr>
          <w:trHeight w:val="1001"/>
        </w:trPr>
        <w:tc>
          <w:tcPr>
            <w:tcW w:w="535" w:type="dxa"/>
            <w:vMerge/>
          </w:tcPr>
          <w:p w:rsidR="00AA1F4F" w:rsidRPr="00785290" w:rsidRDefault="00AA1F4F" w:rsidP="00397B4C">
            <w:pPr>
              <w:jc w:val="center"/>
              <w:rPr>
                <w:rFonts w:asciiTheme="majorHAnsi" w:hAnsiTheme="majorHAnsi" w:cstheme="majorHAnsi"/>
                <w:b/>
                <w:sz w:val="18"/>
                <w:szCs w:val="18"/>
              </w:rPr>
            </w:pPr>
          </w:p>
        </w:tc>
        <w:tc>
          <w:tcPr>
            <w:tcW w:w="1968" w:type="dxa"/>
            <w:vMerge/>
          </w:tcPr>
          <w:p w:rsidR="00AA1F4F" w:rsidRPr="00785290" w:rsidRDefault="00AA1F4F" w:rsidP="00397B4C">
            <w:pPr>
              <w:jc w:val="center"/>
              <w:rPr>
                <w:rFonts w:asciiTheme="majorHAnsi" w:hAnsiTheme="majorHAnsi" w:cstheme="majorHAnsi"/>
                <w:b/>
                <w:sz w:val="18"/>
                <w:szCs w:val="18"/>
              </w:rPr>
            </w:pPr>
          </w:p>
        </w:tc>
        <w:tc>
          <w:tcPr>
            <w:tcW w:w="900" w:type="dxa"/>
            <w:vMerge/>
          </w:tcPr>
          <w:p w:rsidR="00AA1F4F" w:rsidRPr="00785290" w:rsidRDefault="00AA1F4F" w:rsidP="00397B4C">
            <w:pPr>
              <w:jc w:val="center"/>
              <w:rPr>
                <w:rFonts w:asciiTheme="majorHAnsi" w:hAnsiTheme="majorHAnsi" w:cstheme="majorHAnsi"/>
                <w:b/>
                <w:sz w:val="18"/>
                <w:szCs w:val="18"/>
              </w:rPr>
            </w:pPr>
          </w:p>
        </w:tc>
        <w:tc>
          <w:tcPr>
            <w:tcW w:w="923" w:type="dxa"/>
            <w:vMerge/>
          </w:tcPr>
          <w:p w:rsidR="00AA1F4F" w:rsidRPr="00785290" w:rsidRDefault="00AA1F4F" w:rsidP="00397B4C">
            <w:pPr>
              <w:jc w:val="center"/>
              <w:rPr>
                <w:rFonts w:asciiTheme="majorHAnsi" w:hAnsiTheme="majorHAnsi" w:cstheme="majorHAnsi"/>
                <w:b/>
                <w:sz w:val="18"/>
                <w:szCs w:val="18"/>
              </w:rPr>
            </w:pPr>
          </w:p>
        </w:tc>
        <w:tc>
          <w:tcPr>
            <w:tcW w:w="924" w:type="dxa"/>
            <w:vMerge/>
          </w:tcPr>
          <w:p w:rsidR="00AA1F4F" w:rsidRPr="00785290" w:rsidRDefault="00AA1F4F" w:rsidP="00397B4C">
            <w:pPr>
              <w:jc w:val="center"/>
              <w:rPr>
                <w:rFonts w:asciiTheme="majorHAnsi" w:hAnsiTheme="majorHAnsi" w:cstheme="majorHAnsi"/>
                <w:b/>
                <w:sz w:val="18"/>
                <w:szCs w:val="18"/>
              </w:rPr>
            </w:pPr>
          </w:p>
        </w:tc>
        <w:tc>
          <w:tcPr>
            <w:tcW w:w="969"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plăți de bază</w:t>
            </w:r>
          </w:p>
        </w:tc>
        <w:tc>
          <w:tcPr>
            <w:tcW w:w="1212"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majorări de întârziere</w:t>
            </w:r>
          </w:p>
        </w:tc>
        <w:tc>
          <w:tcPr>
            <w:tcW w:w="998"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sancțiuni</w:t>
            </w:r>
          </w:p>
        </w:tc>
        <w:tc>
          <w:tcPr>
            <w:tcW w:w="934" w:type="dxa"/>
            <w:vMerge/>
          </w:tcPr>
          <w:p w:rsidR="00AA1F4F" w:rsidRPr="00785290" w:rsidRDefault="00AA1F4F" w:rsidP="00397B4C">
            <w:pPr>
              <w:jc w:val="center"/>
              <w:rPr>
                <w:rFonts w:asciiTheme="majorHAnsi" w:hAnsiTheme="majorHAnsi" w:cstheme="majorHAnsi"/>
                <w:b/>
                <w:sz w:val="18"/>
                <w:szCs w:val="18"/>
              </w:rPr>
            </w:pPr>
          </w:p>
        </w:tc>
        <w:tc>
          <w:tcPr>
            <w:tcW w:w="992" w:type="dxa"/>
          </w:tcPr>
          <w:p w:rsidR="00AA1F4F" w:rsidRPr="00785290" w:rsidRDefault="007867DD" w:rsidP="00397B4C">
            <w:pPr>
              <w:jc w:val="center"/>
              <w:rPr>
                <w:rFonts w:asciiTheme="majorHAnsi" w:hAnsiTheme="majorHAnsi" w:cstheme="majorHAnsi"/>
                <w:b/>
                <w:sz w:val="18"/>
                <w:szCs w:val="18"/>
              </w:rPr>
            </w:pPr>
            <w:r>
              <w:rPr>
                <w:rFonts w:asciiTheme="majorHAnsi" w:hAnsiTheme="majorHAnsi" w:cstheme="majorHAnsi"/>
                <w:b/>
                <w:sz w:val="18"/>
                <w:szCs w:val="18"/>
              </w:rPr>
              <w:t>p</w:t>
            </w:r>
            <w:r w:rsidR="00AA1F4F" w:rsidRPr="00785290">
              <w:rPr>
                <w:rFonts w:asciiTheme="majorHAnsi" w:hAnsiTheme="majorHAnsi" w:cstheme="majorHAnsi"/>
                <w:b/>
                <w:sz w:val="18"/>
                <w:szCs w:val="18"/>
              </w:rPr>
              <w:t>lăți de bază</w:t>
            </w:r>
          </w:p>
        </w:tc>
        <w:tc>
          <w:tcPr>
            <w:tcW w:w="1162" w:type="dxa"/>
          </w:tcPr>
          <w:p w:rsidR="00AA1F4F" w:rsidRPr="00785290" w:rsidRDefault="007867DD" w:rsidP="00397B4C">
            <w:pPr>
              <w:jc w:val="center"/>
              <w:rPr>
                <w:rFonts w:asciiTheme="majorHAnsi" w:hAnsiTheme="majorHAnsi" w:cstheme="majorHAnsi"/>
                <w:b/>
                <w:sz w:val="18"/>
                <w:szCs w:val="18"/>
              </w:rPr>
            </w:pPr>
            <w:r>
              <w:rPr>
                <w:rFonts w:asciiTheme="majorHAnsi" w:hAnsiTheme="majorHAnsi" w:cstheme="majorHAnsi"/>
                <w:b/>
                <w:sz w:val="18"/>
                <w:szCs w:val="18"/>
              </w:rPr>
              <w:t>m</w:t>
            </w:r>
            <w:r w:rsidR="00AA1F4F" w:rsidRPr="00785290">
              <w:rPr>
                <w:rFonts w:asciiTheme="majorHAnsi" w:hAnsiTheme="majorHAnsi" w:cstheme="majorHAnsi"/>
                <w:b/>
                <w:sz w:val="18"/>
                <w:szCs w:val="18"/>
              </w:rPr>
              <w:t>ajorări de întârziere</w:t>
            </w:r>
          </w:p>
        </w:tc>
        <w:tc>
          <w:tcPr>
            <w:tcW w:w="880" w:type="dxa"/>
          </w:tcPr>
          <w:p w:rsidR="00AA1F4F" w:rsidRPr="00785290" w:rsidRDefault="007867DD" w:rsidP="00397B4C">
            <w:pPr>
              <w:jc w:val="center"/>
              <w:rPr>
                <w:rFonts w:asciiTheme="majorHAnsi" w:hAnsiTheme="majorHAnsi" w:cstheme="majorHAnsi"/>
                <w:b/>
                <w:sz w:val="18"/>
                <w:szCs w:val="18"/>
              </w:rPr>
            </w:pPr>
            <w:r w:rsidRPr="00785290">
              <w:rPr>
                <w:rFonts w:asciiTheme="majorHAnsi" w:hAnsiTheme="majorHAnsi" w:cstheme="majorHAnsi"/>
                <w:b/>
                <w:sz w:val="18"/>
                <w:szCs w:val="18"/>
              </w:rPr>
              <w:t>S</w:t>
            </w:r>
            <w:r w:rsidR="00AA1F4F" w:rsidRPr="00785290">
              <w:rPr>
                <w:rFonts w:asciiTheme="majorHAnsi" w:hAnsiTheme="majorHAnsi" w:cstheme="majorHAnsi"/>
                <w:b/>
                <w:sz w:val="18"/>
                <w:szCs w:val="18"/>
              </w:rPr>
              <w:t>ancțiuni</w:t>
            </w:r>
          </w:p>
        </w:tc>
        <w:tc>
          <w:tcPr>
            <w:tcW w:w="924" w:type="dxa"/>
            <w:vMerge/>
            <w:tcBorders>
              <w:bottom w:val="single" w:sz="4" w:space="0" w:color="auto"/>
            </w:tcBorders>
          </w:tcPr>
          <w:p w:rsidR="00AA1F4F" w:rsidRPr="00785290" w:rsidRDefault="00AA1F4F" w:rsidP="00397B4C">
            <w:pPr>
              <w:jc w:val="center"/>
              <w:rPr>
                <w:rFonts w:asciiTheme="majorHAnsi" w:hAnsiTheme="majorHAnsi" w:cstheme="majorHAnsi"/>
                <w:b/>
                <w:sz w:val="18"/>
                <w:szCs w:val="18"/>
              </w:rPr>
            </w:pPr>
          </w:p>
        </w:tc>
      </w:tr>
      <w:tr w:rsidR="00AA1F4F" w:rsidRPr="00785290" w:rsidTr="00397B4C">
        <w:trPr>
          <w:trHeight w:val="605"/>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1</w:t>
            </w:r>
          </w:p>
        </w:tc>
        <w:tc>
          <w:tcPr>
            <w:tcW w:w="1968" w:type="dxa"/>
            <w:tcBorders>
              <w:top w:val="single" w:sz="4" w:space="0" w:color="auto"/>
              <w:bottom w:val="single" w:sz="4" w:space="0" w:color="auto"/>
            </w:tcBorders>
          </w:tcPr>
          <w:p w:rsidR="00AA1F4F" w:rsidRPr="00785290" w:rsidRDefault="00AA1F4F" w:rsidP="00397B4C">
            <w:pPr>
              <w:jc w:val="both"/>
              <w:rPr>
                <w:rFonts w:asciiTheme="majorHAnsi" w:hAnsiTheme="majorHAnsi" w:cstheme="majorHAnsi"/>
                <w:sz w:val="18"/>
                <w:szCs w:val="18"/>
              </w:rPr>
            </w:pPr>
            <w:r w:rsidRPr="00785290">
              <w:rPr>
                <w:rFonts w:asciiTheme="majorHAnsi" w:hAnsiTheme="majorHAnsi" w:cstheme="majorHAnsi"/>
                <w:sz w:val="18"/>
                <w:szCs w:val="18"/>
              </w:rPr>
              <w:t>Numărul persoanelor juridice și fizice supuse controalelor fiscale</w:t>
            </w:r>
          </w:p>
        </w:tc>
        <w:tc>
          <w:tcPr>
            <w:tcW w:w="900"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31412</w:t>
            </w:r>
          </w:p>
        </w:tc>
        <w:tc>
          <w:tcPr>
            <w:tcW w:w="923"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18200</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57,9%</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373755,29</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110350,16</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364160,68</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92898,03</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17875,18</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90041,49</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23,7%</w:t>
            </w:r>
          </w:p>
        </w:tc>
      </w:tr>
      <w:tr w:rsidR="00AA1F4F" w:rsidRPr="00785290" w:rsidTr="00397B4C">
        <w:trPr>
          <w:trHeight w:val="395"/>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2</w:t>
            </w:r>
          </w:p>
        </w:tc>
        <w:tc>
          <w:tcPr>
            <w:tcW w:w="1968" w:type="dxa"/>
            <w:tcBorders>
              <w:top w:val="single" w:sz="4" w:space="0" w:color="auto"/>
            </w:tcBorders>
          </w:tcPr>
          <w:p w:rsidR="00AA1F4F" w:rsidRPr="00785290" w:rsidRDefault="00AA1F4F" w:rsidP="00397B4C">
            <w:pPr>
              <w:jc w:val="both"/>
              <w:rPr>
                <w:rFonts w:asciiTheme="majorHAnsi" w:hAnsiTheme="majorHAnsi" w:cstheme="majorHAnsi"/>
                <w:sz w:val="18"/>
                <w:szCs w:val="18"/>
              </w:rPr>
            </w:pPr>
            <w:r w:rsidRPr="00785290">
              <w:rPr>
                <w:rFonts w:asciiTheme="majorHAnsi" w:hAnsiTheme="majorHAnsi" w:cstheme="majorHAnsi"/>
                <w:sz w:val="18"/>
                <w:szCs w:val="18"/>
              </w:rPr>
              <w:t>Numărul total al controalelor fiscale</w:t>
            </w:r>
          </w:p>
        </w:tc>
        <w:tc>
          <w:tcPr>
            <w:tcW w:w="900" w:type="dxa"/>
            <w:tcBorders>
              <w:top w:val="single" w:sz="4" w:space="0" w:color="auto"/>
            </w:tcBorders>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35314</w:t>
            </w:r>
          </w:p>
        </w:tc>
        <w:tc>
          <w:tcPr>
            <w:tcW w:w="923" w:type="dxa"/>
            <w:tcBorders>
              <w:top w:val="single" w:sz="4" w:space="0" w:color="auto"/>
            </w:tcBorders>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18748</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53,1%</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373755,29</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110350,16</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364160,68</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92898,03</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17875,18</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90041,49</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23,7%</w:t>
            </w:r>
          </w:p>
        </w:tc>
      </w:tr>
      <w:tr w:rsidR="00AA1F4F" w:rsidRPr="00785290" w:rsidTr="00397B4C">
        <w:trPr>
          <w:trHeight w:val="407"/>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3</w:t>
            </w:r>
          </w:p>
        </w:tc>
        <w:tc>
          <w:tcPr>
            <w:tcW w:w="1968" w:type="dxa"/>
          </w:tcPr>
          <w:p w:rsidR="00AA1F4F" w:rsidRPr="00785290" w:rsidRDefault="00AA1F4F" w:rsidP="00397B4C">
            <w:pPr>
              <w:jc w:val="both"/>
              <w:rPr>
                <w:rFonts w:asciiTheme="majorHAnsi" w:hAnsiTheme="majorHAnsi" w:cstheme="majorHAnsi"/>
                <w:b/>
                <w:sz w:val="18"/>
                <w:szCs w:val="18"/>
              </w:rPr>
            </w:pPr>
            <w:r w:rsidRPr="00785290">
              <w:rPr>
                <w:rFonts w:asciiTheme="majorHAnsi" w:hAnsiTheme="majorHAnsi" w:cstheme="majorHAnsi"/>
                <w:sz w:val="18"/>
                <w:szCs w:val="18"/>
              </w:rPr>
              <w:t>Controale fiscale planificate</w:t>
            </w:r>
          </w:p>
        </w:tc>
        <w:tc>
          <w:tcPr>
            <w:tcW w:w="90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1261</w:t>
            </w:r>
          </w:p>
        </w:tc>
        <w:tc>
          <w:tcPr>
            <w:tcW w:w="923"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1151</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91,3%</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116719,91</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37553,41</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70383,65</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52139,65</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11707,64</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22513,13</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38,4%</w:t>
            </w:r>
          </w:p>
        </w:tc>
      </w:tr>
      <w:tr w:rsidR="00AA1F4F" w:rsidRPr="00785290" w:rsidTr="00397B4C">
        <w:trPr>
          <w:trHeight w:val="395"/>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4</w:t>
            </w:r>
          </w:p>
        </w:tc>
        <w:tc>
          <w:tcPr>
            <w:tcW w:w="1968" w:type="dxa"/>
          </w:tcPr>
          <w:p w:rsidR="00AA1F4F" w:rsidRPr="00785290" w:rsidRDefault="00AA1F4F" w:rsidP="00397B4C">
            <w:pPr>
              <w:jc w:val="both"/>
              <w:rPr>
                <w:rFonts w:asciiTheme="majorHAnsi" w:hAnsiTheme="majorHAnsi" w:cstheme="majorHAnsi"/>
                <w:b/>
                <w:sz w:val="18"/>
                <w:szCs w:val="18"/>
              </w:rPr>
            </w:pPr>
            <w:r w:rsidRPr="00785290">
              <w:rPr>
                <w:rFonts w:asciiTheme="majorHAnsi" w:hAnsiTheme="majorHAnsi" w:cstheme="majorHAnsi"/>
                <w:sz w:val="18"/>
                <w:szCs w:val="18"/>
              </w:rPr>
              <w:t>Controale fiscale neplanificate</w:t>
            </w:r>
          </w:p>
        </w:tc>
        <w:tc>
          <w:tcPr>
            <w:tcW w:w="90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34053</w:t>
            </w:r>
          </w:p>
        </w:tc>
        <w:tc>
          <w:tcPr>
            <w:tcW w:w="923"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17597</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51,7%</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257035,38</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72796,75</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293777,03</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40758,39</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6167,54</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67528,36</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18,4%</w:t>
            </w:r>
          </w:p>
        </w:tc>
      </w:tr>
      <w:tr w:rsidR="00AA1F4F" w:rsidRPr="00785290" w:rsidTr="00397B4C">
        <w:trPr>
          <w:trHeight w:val="803"/>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5</w:t>
            </w:r>
          </w:p>
        </w:tc>
        <w:tc>
          <w:tcPr>
            <w:tcW w:w="1968" w:type="dxa"/>
          </w:tcPr>
          <w:p w:rsidR="00AA1F4F" w:rsidRPr="00785290" w:rsidRDefault="00AA1F4F" w:rsidP="00364452">
            <w:pPr>
              <w:jc w:val="both"/>
              <w:rPr>
                <w:rFonts w:asciiTheme="majorHAnsi" w:hAnsiTheme="majorHAnsi" w:cstheme="majorHAnsi"/>
                <w:b/>
                <w:sz w:val="18"/>
                <w:szCs w:val="18"/>
              </w:rPr>
            </w:pPr>
            <w:r w:rsidRPr="00785290">
              <w:rPr>
                <w:rFonts w:asciiTheme="majorHAnsi" w:hAnsiTheme="majorHAnsi" w:cstheme="majorHAnsi"/>
                <w:sz w:val="18"/>
                <w:szCs w:val="18"/>
              </w:rPr>
              <w:t>Numărul controalelor fiscale efectuate la a</w:t>
            </w:r>
            <w:r w:rsidR="00364452">
              <w:rPr>
                <w:rFonts w:asciiTheme="majorHAnsi" w:hAnsiTheme="majorHAnsi" w:cstheme="majorHAnsi"/>
                <w:sz w:val="18"/>
                <w:szCs w:val="18"/>
              </w:rPr>
              <w:t xml:space="preserve">genții </w:t>
            </w:r>
            <w:r w:rsidRPr="00785290">
              <w:rPr>
                <w:rFonts w:asciiTheme="majorHAnsi" w:hAnsiTheme="majorHAnsi" w:cstheme="majorHAnsi"/>
                <w:sz w:val="18"/>
                <w:szCs w:val="18"/>
              </w:rPr>
              <w:t>e</w:t>
            </w:r>
            <w:r w:rsidR="00364452">
              <w:rPr>
                <w:rFonts w:asciiTheme="majorHAnsi" w:hAnsiTheme="majorHAnsi" w:cstheme="majorHAnsi"/>
                <w:sz w:val="18"/>
                <w:szCs w:val="18"/>
              </w:rPr>
              <w:t>conomici</w:t>
            </w:r>
            <w:r w:rsidRPr="00785290">
              <w:rPr>
                <w:rFonts w:asciiTheme="majorHAnsi" w:hAnsiTheme="majorHAnsi" w:cstheme="majorHAnsi"/>
                <w:sz w:val="18"/>
                <w:szCs w:val="18"/>
              </w:rPr>
              <w:t xml:space="preserve"> aflați în procedură de insolvabilitate</w:t>
            </w:r>
          </w:p>
        </w:tc>
        <w:tc>
          <w:tcPr>
            <w:tcW w:w="90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352</w:t>
            </w:r>
          </w:p>
        </w:tc>
        <w:tc>
          <w:tcPr>
            <w:tcW w:w="923"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318</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90,3%</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138186,53</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52168,45</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141281,8</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876,76</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57,30</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250,83</w:t>
            </w:r>
          </w:p>
        </w:tc>
        <w:tc>
          <w:tcPr>
            <w:tcW w:w="924" w:type="dxa"/>
            <w:tcBorders>
              <w:top w:val="single" w:sz="4" w:space="0" w:color="auto"/>
              <w:bottom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0,4%</w:t>
            </w:r>
          </w:p>
        </w:tc>
      </w:tr>
      <w:tr w:rsidR="00AA1F4F" w:rsidRPr="00785290" w:rsidTr="00397B4C">
        <w:trPr>
          <w:trHeight w:val="791"/>
        </w:trPr>
        <w:tc>
          <w:tcPr>
            <w:tcW w:w="535" w:type="dxa"/>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6</w:t>
            </w:r>
          </w:p>
        </w:tc>
        <w:tc>
          <w:tcPr>
            <w:tcW w:w="1968" w:type="dxa"/>
          </w:tcPr>
          <w:p w:rsidR="00AA1F4F" w:rsidRPr="00785290" w:rsidRDefault="00AA1F4F" w:rsidP="007867DD">
            <w:pPr>
              <w:jc w:val="both"/>
              <w:rPr>
                <w:rFonts w:asciiTheme="majorHAnsi" w:hAnsiTheme="majorHAnsi" w:cstheme="majorHAnsi"/>
                <w:b/>
                <w:sz w:val="18"/>
                <w:szCs w:val="18"/>
              </w:rPr>
            </w:pPr>
            <w:r w:rsidRPr="00785290">
              <w:rPr>
                <w:rFonts w:asciiTheme="majorHAnsi" w:hAnsiTheme="majorHAnsi" w:cstheme="majorHAnsi"/>
                <w:sz w:val="18"/>
                <w:szCs w:val="18"/>
              </w:rPr>
              <w:t>Procese</w:t>
            </w:r>
            <w:r w:rsidR="007867DD">
              <w:rPr>
                <w:rFonts w:asciiTheme="majorHAnsi" w:hAnsiTheme="majorHAnsi" w:cstheme="majorHAnsi"/>
                <w:sz w:val="18"/>
                <w:szCs w:val="18"/>
              </w:rPr>
              <w:t>-</w:t>
            </w:r>
            <w:r w:rsidRPr="00785290">
              <w:rPr>
                <w:rFonts w:asciiTheme="majorHAnsi" w:hAnsiTheme="majorHAnsi" w:cstheme="majorHAnsi"/>
                <w:sz w:val="18"/>
                <w:szCs w:val="18"/>
              </w:rPr>
              <w:t xml:space="preserve">verbale contravenționale </w:t>
            </w:r>
            <w:r w:rsidRPr="00785290">
              <w:rPr>
                <w:rFonts w:asciiTheme="majorHAnsi" w:hAnsiTheme="majorHAnsi" w:cstheme="majorHAnsi"/>
                <w:sz w:val="18"/>
                <w:szCs w:val="18"/>
              </w:rPr>
              <w:lastRenderedPageBreak/>
              <w:t>întocmite în cadrul controalelor fiscale</w:t>
            </w:r>
          </w:p>
        </w:tc>
        <w:tc>
          <w:tcPr>
            <w:tcW w:w="90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lastRenderedPageBreak/>
              <w:t>15513</w:t>
            </w:r>
          </w:p>
        </w:tc>
        <w:tc>
          <w:tcPr>
            <w:tcW w:w="923"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15352</w:t>
            </w:r>
          </w:p>
        </w:tc>
        <w:tc>
          <w:tcPr>
            <w:tcW w:w="924" w:type="dxa"/>
            <w:tcBorders>
              <w:top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99,0%</w:t>
            </w:r>
          </w:p>
        </w:tc>
        <w:tc>
          <w:tcPr>
            <w:tcW w:w="969"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121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998"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2150,85</w:t>
            </w:r>
          </w:p>
        </w:tc>
        <w:tc>
          <w:tcPr>
            <w:tcW w:w="934"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14810,4</w:t>
            </w:r>
          </w:p>
        </w:tc>
        <w:tc>
          <w:tcPr>
            <w:tcW w:w="99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1162"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x</w:t>
            </w:r>
          </w:p>
        </w:tc>
        <w:tc>
          <w:tcPr>
            <w:tcW w:w="880" w:type="dxa"/>
          </w:tcPr>
          <w:p w:rsidR="00AA1F4F" w:rsidRPr="00785290" w:rsidRDefault="00AA1F4F" w:rsidP="00397B4C">
            <w:pPr>
              <w:jc w:val="center"/>
              <w:rPr>
                <w:rFonts w:asciiTheme="majorHAnsi" w:hAnsiTheme="majorHAnsi" w:cstheme="majorHAnsi"/>
                <w:sz w:val="18"/>
                <w:szCs w:val="18"/>
              </w:rPr>
            </w:pPr>
            <w:r w:rsidRPr="00785290">
              <w:rPr>
                <w:rFonts w:asciiTheme="majorHAnsi" w:hAnsiTheme="majorHAnsi" w:cstheme="majorHAnsi"/>
                <w:sz w:val="18"/>
                <w:szCs w:val="18"/>
              </w:rPr>
              <w:t>6798,01</w:t>
            </w:r>
          </w:p>
        </w:tc>
        <w:tc>
          <w:tcPr>
            <w:tcW w:w="924" w:type="dxa"/>
            <w:tcBorders>
              <w:top w:val="single" w:sz="4" w:space="0" w:color="auto"/>
            </w:tcBorders>
          </w:tcPr>
          <w:p w:rsidR="00AA1F4F" w:rsidRPr="00785290" w:rsidRDefault="00AA1F4F" w:rsidP="00397B4C">
            <w:pPr>
              <w:jc w:val="center"/>
              <w:rPr>
                <w:rFonts w:asciiTheme="majorHAnsi" w:hAnsiTheme="majorHAnsi" w:cstheme="majorHAnsi"/>
                <w:b/>
                <w:sz w:val="18"/>
                <w:szCs w:val="18"/>
              </w:rPr>
            </w:pPr>
            <w:r w:rsidRPr="00785290">
              <w:rPr>
                <w:rFonts w:asciiTheme="majorHAnsi" w:hAnsiTheme="majorHAnsi" w:cstheme="majorHAnsi"/>
                <w:b/>
                <w:sz w:val="18"/>
                <w:szCs w:val="18"/>
              </w:rPr>
              <w:t>40,1%</w:t>
            </w:r>
          </w:p>
        </w:tc>
      </w:tr>
    </w:tbl>
    <w:p w:rsidR="00AA1F4F" w:rsidRPr="007815BE" w:rsidRDefault="00AA1F4F" w:rsidP="00AA1F4F">
      <w:pPr>
        <w:jc w:val="both"/>
        <w:rPr>
          <w:rFonts w:asciiTheme="majorHAnsi" w:hAnsiTheme="majorHAnsi" w:cstheme="majorHAnsi"/>
          <w:b/>
          <w:i/>
          <w:sz w:val="20"/>
          <w:szCs w:val="20"/>
        </w:rPr>
      </w:pPr>
      <w:r w:rsidRPr="00785290">
        <w:rPr>
          <w:rFonts w:asciiTheme="majorHAnsi" w:hAnsiTheme="majorHAnsi" w:cstheme="majorHAnsi"/>
          <w:b/>
          <w:i/>
          <w:sz w:val="20"/>
          <w:szCs w:val="20"/>
        </w:rPr>
        <w:t xml:space="preserve">Sursă: </w:t>
      </w:r>
      <w:r w:rsidRPr="00785290">
        <w:rPr>
          <w:rFonts w:asciiTheme="majorHAnsi" w:hAnsiTheme="majorHAnsi" w:cstheme="majorHAnsi"/>
          <w:i/>
          <w:sz w:val="20"/>
          <w:szCs w:val="20"/>
        </w:rPr>
        <w:t>Darea de seamă cu privire la rezultatele controalelor fiscale efectuate pe parcursul anului 2018 (Forma 4-SF).</w:t>
      </w:r>
    </w:p>
    <w:p w:rsidR="000F2FF1" w:rsidRDefault="000F2FF1" w:rsidP="00AA1F4F">
      <w:pPr>
        <w:spacing w:after="0" w:line="240" w:lineRule="auto"/>
        <w:ind w:left="284"/>
        <w:jc w:val="right"/>
        <w:rPr>
          <w:rFonts w:asciiTheme="majorHAnsi" w:hAnsiTheme="majorHAnsi" w:cstheme="majorHAnsi"/>
          <w:b/>
          <w:sz w:val="24"/>
          <w:szCs w:val="24"/>
        </w:rPr>
      </w:pPr>
    </w:p>
    <w:p w:rsidR="000F2FF1" w:rsidRDefault="000F2FF1" w:rsidP="00AA1F4F">
      <w:pPr>
        <w:spacing w:after="0" w:line="240" w:lineRule="auto"/>
        <w:ind w:left="284"/>
        <w:jc w:val="right"/>
        <w:rPr>
          <w:rFonts w:asciiTheme="majorHAnsi" w:hAnsiTheme="majorHAnsi" w:cstheme="majorHAnsi"/>
          <w:b/>
          <w:sz w:val="24"/>
          <w:szCs w:val="24"/>
        </w:rPr>
      </w:pPr>
    </w:p>
    <w:p w:rsidR="000F2FF1" w:rsidRDefault="000F2FF1" w:rsidP="00AA1F4F">
      <w:pPr>
        <w:spacing w:after="0" w:line="240" w:lineRule="auto"/>
        <w:ind w:left="284"/>
        <w:jc w:val="right"/>
        <w:rPr>
          <w:rFonts w:asciiTheme="majorHAnsi" w:hAnsiTheme="majorHAnsi" w:cstheme="majorHAnsi"/>
          <w:b/>
          <w:sz w:val="24"/>
          <w:szCs w:val="24"/>
        </w:rPr>
      </w:pPr>
    </w:p>
    <w:p w:rsidR="00AA1F4F" w:rsidRDefault="00A776C7" w:rsidP="00AA1F4F">
      <w:pPr>
        <w:spacing w:after="0" w:line="240" w:lineRule="auto"/>
        <w:ind w:left="284"/>
        <w:jc w:val="right"/>
        <w:rPr>
          <w:rFonts w:asciiTheme="majorHAnsi" w:hAnsiTheme="majorHAnsi" w:cstheme="majorHAnsi"/>
          <w:b/>
          <w:sz w:val="24"/>
          <w:szCs w:val="24"/>
        </w:rPr>
      </w:pPr>
      <w:r>
        <w:rPr>
          <w:rFonts w:asciiTheme="majorHAnsi" w:hAnsiTheme="majorHAnsi" w:cstheme="majorHAnsi"/>
          <w:b/>
          <w:sz w:val="24"/>
          <w:szCs w:val="24"/>
        </w:rPr>
        <w:t>Anexa nr.11</w:t>
      </w:r>
    </w:p>
    <w:p w:rsidR="00AA1F4F" w:rsidRPr="00785290" w:rsidRDefault="00AA1F4F" w:rsidP="00AA1F4F">
      <w:pPr>
        <w:spacing w:after="0" w:line="240" w:lineRule="auto"/>
        <w:ind w:left="284"/>
        <w:jc w:val="right"/>
        <w:rPr>
          <w:rFonts w:asciiTheme="majorHAnsi" w:hAnsiTheme="majorHAnsi" w:cstheme="majorHAnsi"/>
          <w:b/>
          <w:sz w:val="24"/>
          <w:szCs w:val="24"/>
        </w:rPr>
      </w:pPr>
      <w:r w:rsidRPr="00785290">
        <w:rPr>
          <w:rFonts w:asciiTheme="majorHAnsi" w:hAnsiTheme="majorHAnsi" w:cstheme="majorHAnsi"/>
          <w:b/>
          <w:sz w:val="24"/>
          <w:szCs w:val="24"/>
        </w:rPr>
        <w:t xml:space="preserve"> </w:t>
      </w:r>
    </w:p>
    <w:p w:rsidR="00AA1F4F" w:rsidRPr="00785290" w:rsidRDefault="00AA1F4F" w:rsidP="00AA1F4F">
      <w:pPr>
        <w:spacing w:after="0"/>
        <w:jc w:val="center"/>
        <w:rPr>
          <w:rFonts w:asciiTheme="majorHAnsi" w:hAnsiTheme="majorHAnsi" w:cstheme="majorHAnsi"/>
          <w:b/>
          <w:sz w:val="24"/>
          <w:szCs w:val="24"/>
        </w:rPr>
      </w:pPr>
      <w:r w:rsidRPr="00785290">
        <w:rPr>
          <w:rFonts w:asciiTheme="majorHAnsi" w:hAnsiTheme="majorHAnsi" w:cstheme="majorHAnsi"/>
          <w:b/>
          <w:sz w:val="24"/>
          <w:szCs w:val="24"/>
        </w:rPr>
        <w:t>Informația cu privire la rezultatele controalelor post</w:t>
      </w:r>
      <w:r w:rsidR="007867DD">
        <w:rPr>
          <w:rFonts w:asciiTheme="majorHAnsi" w:hAnsiTheme="majorHAnsi" w:cstheme="majorHAnsi"/>
          <w:b/>
          <w:sz w:val="24"/>
          <w:szCs w:val="24"/>
        </w:rPr>
        <w:t>-</w:t>
      </w:r>
      <w:r w:rsidRPr="00785290">
        <w:rPr>
          <w:rFonts w:asciiTheme="majorHAnsi" w:hAnsiTheme="majorHAnsi" w:cstheme="majorHAnsi"/>
          <w:b/>
          <w:sz w:val="24"/>
          <w:szCs w:val="24"/>
        </w:rPr>
        <w:t>vămuire efectuate de S</w:t>
      </w:r>
      <w:r w:rsidR="007867DD">
        <w:rPr>
          <w:rFonts w:asciiTheme="majorHAnsi" w:hAnsiTheme="majorHAnsi" w:cstheme="majorHAnsi"/>
          <w:b/>
          <w:sz w:val="24"/>
          <w:szCs w:val="24"/>
        </w:rPr>
        <w:t xml:space="preserve">erviciul </w:t>
      </w:r>
      <w:r w:rsidRPr="00785290">
        <w:rPr>
          <w:rFonts w:asciiTheme="majorHAnsi" w:hAnsiTheme="majorHAnsi" w:cstheme="majorHAnsi"/>
          <w:b/>
          <w:sz w:val="24"/>
          <w:szCs w:val="24"/>
        </w:rPr>
        <w:t>V</w:t>
      </w:r>
      <w:r w:rsidR="007867DD">
        <w:rPr>
          <w:rFonts w:asciiTheme="majorHAnsi" w:hAnsiTheme="majorHAnsi" w:cstheme="majorHAnsi"/>
          <w:b/>
          <w:sz w:val="24"/>
          <w:szCs w:val="24"/>
        </w:rPr>
        <w:t>amal</w:t>
      </w:r>
      <w:r w:rsidRPr="00785290">
        <w:rPr>
          <w:rFonts w:asciiTheme="majorHAnsi" w:hAnsiTheme="majorHAnsi" w:cstheme="majorHAnsi"/>
          <w:b/>
          <w:sz w:val="24"/>
          <w:szCs w:val="24"/>
        </w:rPr>
        <w:t xml:space="preserve"> pe parcursul anului 2018</w:t>
      </w:r>
    </w:p>
    <w:p w:rsidR="00AA1F4F" w:rsidRPr="00785290" w:rsidRDefault="00AA1F4F" w:rsidP="00AA1F4F">
      <w:pPr>
        <w:spacing w:after="0" w:line="240" w:lineRule="auto"/>
        <w:ind w:left="284" w:right="105"/>
        <w:jc w:val="right"/>
        <w:rPr>
          <w:rFonts w:asciiTheme="majorHAnsi" w:hAnsiTheme="majorHAnsi" w:cstheme="majorHAnsi"/>
          <w:b/>
          <w:sz w:val="24"/>
          <w:szCs w:val="24"/>
        </w:rPr>
      </w:pPr>
      <w:r w:rsidRPr="000628F9">
        <w:rPr>
          <w:rFonts w:asciiTheme="majorHAnsi" w:hAnsiTheme="majorHAnsi" w:cstheme="majorHAnsi"/>
          <w:b/>
          <w:sz w:val="24"/>
          <w:szCs w:val="24"/>
        </w:rPr>
        <w:t xml:space="preserve">(mii </w:t>
      </w:r>
      <w:r w:rsidR="007160B9" w:rsidRPr="000628F9">
        <w:rPr>
          <w:rFonts w:asciiTheme="majorHAnsi" w:hAnsiTheme="majorHAnsi" w:cstheme="majorHAnsi"/>
          <w:b/>
          <w:sz w:val="24"/>
          <w:szCs w:val="24"/>
        </w:rPr>
        <w:t>MDL</w:t>
      </w:r>
      <w:r w:rsidRPr="00785290">
        <w:rPr>
          <w:rFonts w:asciiTheme="majorHAnsi" w:hAnsiTheme="majorHAnsi" w:cstheme="majorHAnsi"/>
          <w:b/>
          <w:sz w:val="24"/>
          <w:szCs w:val="24"/>
        </w:rPr>
        <w:t>)</w:t>
      </w:r>
    </w:p>
    <w:tbl>
      <w:tblPr>
        <w:tblStyle w:val="TableGrid"/>
        <w:tblW w:w="0" w:type="auto"/>
        <w:jc w:val="center"/>
        <w:tblLook w:val="04A0" w:firstRow="1" w:lastRow="0" w:firstColumn="1" w:lastColumn="0" w:noHBand="0" w:noVBand="1"/>
      </w:tblPr>
      <w:tblGrid>
        <w:gridCol w:w="1528"/>
        <w:gridCol w:w="2153"/>
        <w:gridCol w:w="2691"/>
        <w:gridCol w:w="2104"/>
        <w:gridCol w:w="1834"/>
        <w:gridCol w:w="2828"/>
      </w:tblGrid>
      <w:tr w:rsidR="00AA1F4F" w:rsidRPr="00785290" w:rsidTr="00397B4C">
        <w:trPr>
          <w:jc w:val="center"/>
        </w:trPr>
        <w:tc>
          <w:tcPr>
            <w:tcW w:w="1528" w:type="dxa"/>
            <w:vMerge w:val="restart"/>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Numărul total de controale</w:t>
            </w:r>
          </w:p>
        </w:tc>
        <w:tc>
          <w:tcPr>
            <w:tcW w:w="2153" w:type="dxa"/>
            <w:vMerge w:val="restart"/>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Numărul de controale rezultative</w:t>
            </w:r>
          </w:p>
        </w:tc>
        <w:tc>
          <w:tcPr>
            <w:tcW w:w="2691" w:type="dxa"/>
            <w:vMerge w:val="restart"/>
            <w:tcBorders>
              <w:right w:val="single" w:sz="18" w:space="0" w:color="auto"/>
            </w:tcBorders>
          </w:tcPr>
          <w:p w:rsidR="00AA1F4F" w:rsidRPr="00785290" w:rsidRDefault="00AA1F4F" w:rsidP="007867DD">
            <w:pPr>
              <w:spacing w:line="276" w:lineRule="auto"/>
              <w:jc w:val="center"/>
              <w:rPr>
                <w:rFonts w:asciiTheme="majorHAnsi" w:hAnsiTheme="majorHAnsi" w:cstheme="majorHAnsi"/>
                <w:sz w:val="24"/>
                <w:szCs w:val="24"/>
              </w:rPr>
            </w:pPr>
            <w:r w:rsidRPr="00785290">
              <w:rPr>
                <w:rFonts w:asciiTheme="majorHAnsi" w:hAnsiTheme="majorHAnsi" w:cstheme="majorHAnsi"/>
                <w:b/>
                <w:sz w:val="24"/>
                <w:szCs w:val="24"/>
              </w:rPr>
              <w:t xml:space="preserve">Ponderea controalelor rezultative </w:t>
            </w:r>
            <w:r w:rsidR="007867DD">
              <w:rPr>
                <w:rFonts w:asciiTheme="majorHAnsi" w:hAnsiTheme="majorHAnsi" w:cstheme="majorHAnsi"/>
                <w:b/>
                <w:sz w:val="24"/>
                <w:szCs w:val="24"/>
              </w:rPr>
              <w:t>î</w:t>
            </w:r>
            <w:r w:rsidRPr="00785290">
              <w:rPr>
                <w:rFonts w:asciiTheme="majorHAnsi" w:hAnsiTheme="majorHAnsi" w:cstheme="majorHAnsi"/>
                <w:b/>
                <w:sz w:val="24"/>
                <w:szCs w:val="24"/>
              </w:rPr>
              <w:t>n total</w:t>
            </w:r>
            <w:r w:rsidR="007867DD">
              <w:rPr>
                <w:rFonts w:asciiTheme="majorHAnsi" w:hAnsiTheme="majorHAnsi" w:cstheme="majorHAnsi"/>
                <w:b/>
                <w:sz w:val="24"/>
                <w:szCs w:val="24"/>
              </w:rPr>
              <w:t>ul celor</w:t>
            </w:r>
            <w:r w:rsidRPr="00785290">
              <w:rPr>
                <w:rFonts w:asciiTheme="majorHAnsi" w:hAnsiTheme="majorHAnsi" w:cstheme="majorHAnsi"/>
                <w:b/>
                <w:sz w:val="24"/>
                <w:szCs w:val="24"/>
              </w:rPr>
              <w:t xml:space="preserve"> efectuate</w:t>
            </w:r>
          </w:p>
        </w:tc>
        <w:tc>
          <w:tcPr>
            <w:tcW w:w="3938" w:type="dxa"/>
            <w:gridSpan w:val="2"/>
            <w:tcBorders>
              <w:left w:val="single" w:sz="18" w:space="0" w:color="auto"/>
            </w:tcBorders>
            <w:vAlign w:val="center"/>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Obligații vamale</w:t>
            </w:r>
          </w:p>
        </w:tc>
        <w:tc>
          <w:tcPr>
            <w:tcW w:w="2828" w:type="dxa"/>
            <w:vMerge w:val="restart"/>
          </w:tcPr>
          <w:p w:rsidR="00AA1F4F" w:rsidRPr="00785290" w:rsidRDefault="00AA1F4F" w:rsidP="007867DD">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 xml:space="preserve">Ponderea sumelor încasate </w:t>
            </w:r>
            <w:r w:rsidR="007867DD">
              <w:rPr>
                <w:rFonts w:asciiTheme="majorHAnsi" w:hAnsiTheme="majorHAnsi" w:cstheme="majorHAnsi"/>
                <w:b/>
                <w:sz w:val="24"/>
                <w:szCs w:val="24"/>
              </w:rPr>
              <w:t>î</w:t>
            </w:r>
            <w:r w:rsidRPr="00785290">
              <w:rPr>
                <w:rFonts w:asciiTheme="majorHAnsi" w:hAnsiTheme="majorHAnsi" w:cstheme="majorHAnsi"/>
                <w:b/>
                <w:sz w:val="24"/>
                <w:szCs w:val="24"/>
              </w:rPr>
              <w:t>n total</w:t>
            </w:r>
            <w:r w:rsidR="007867DD">
              <w:rPr>
                <w:rFonts w:asciiTheme="majorHAnsi" w:hAnsiTheme="majorHAnsi" w:cstheme="majorHAnsi"/>
                <w:b/>
                <w:sz w:val="24"/>
                <w:szCs w:val="24"/>
              </w:rPr>
              <w:t>ul celor</w:t>
            </w:r>
            <w:r w:rsidRPr="00785290">
              <w:rPr>
                <w:rFonts w:asciiTheme="majorHAnsi" w:hAnsiTheme="majorHAnsi" w:cstheme="majorHAnsi"/>
                <w:b/>
                <w:sz w:val="24"/>
                <w:szCs w:val="24"/>
              </w:rPr>
              <w:t xml:space="preserve"> calculate</w:t>
            </w:r>
          </w:p>
        </w:tc>
      </w:tr>
      <w:tr w:rsidR="00AA1F4F" w:rsidRPr="00785290" w:rsidTr="00397B4C">
        <w:trPr>
          <w:trHeight w:val="337"/>
          <w:jc w:val="center"/>
        </w:trPr>
        <w:tc>
          <w:tcPr>
            <w:tcW w:w="1528" w:type="dxa"/>
            <w:vMerge/>
          </w:tcPr>
          <w:p w:rsidR="00AA1F4F" w:rsidRPr="00785290" w:rsidRDefault="00AA1F4F" w:rsidP="00397B4C">
            <w:pPr>
              <w:spacing w:line="276" w:lineRule="auto"/>
              <w:jc w:val="both"/>
              <w:rPr>
                <w:rFonts w:asciiTheme="majorHAnsi" w:hAnsiTheme="majorHAnsi" w:cstheme="majorHAnsi"/>
                <w:sz w:val="24"/>
                <w:szCs w:val="24"/>
              </w:rPr>
            </w:pPr>
          </w:p>
        </w:tc>
        <w:tc>
          <w:tcPr>
            <w:tcW w:w="2153" w:type="dxa"/>
            <w:vMerge/>
          </w:tcPr>
          <w:p w:rsidR="00AA1F4F" w:rsidRPr="00785290" w:rsidRDefault="00AA1F4F" w:rsidP="00397B4C">
            <w:pPr>
              <w:spacing w:line="276" w:lineRule="auto"/>
              <w:jc w:val="both"/>
              <w:rPr>
                <w:rFonts w:asciiTheme="majorHAnsi" w:hAnsiTheme="majorHAnsi" w:cstheme="majorHAnsi"/>
                <w:sz w:val="24"/>
                <w:szCs w:val="24"/>
              </w:rPr>
            </w:pPr>
          </w:p>
        </w:tc>
        <w:tc>
          <w:tcPr>
            <w:tcW w:w="2691" w:type="dxa"/>
            <w:vMerge/>
            <w:tcBorders>
              <w:right w:val="single" w:sz="18" w:space="0" w:color="auto"/>
            </w:tcBorders>
          </w:tcPr>
          <w:p w:rsidR="00AA1F4F" w:rsidRPr="00785290" w:rsidRDefault="00AA1F4F" w:rsidP="00397B4C">
            <w:pPr>
              <w:spacing w:line="276" w:lineRule="auto"/>
              <w:jc w:val="both"/>
              <w:rPr>
                <w:rFonts w:asciiTheme="majorHAnsi" w:hAnsiTheme="majorHAnsi" w:cstheme="majorHAnsi"/>
                <w:sz w:val="24"/>
                <w:szCs w:val="24"/>
              </w:rPr>
            </w:pPr>
          </w:p>
        </w:tc>
        <w:tc>
          <w:tcPr>
            <w:tcW w:w="2104" w:type="dxa"/>
            <w:vMerge w:val="restart"/>
            <w:tcBorders>
              <w:left w:val="single" w:sz="18" w:space="0" w:color="auto"/>
            </w:tcBorders>
            <w:vAlign w:val="center"/>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calculate</w:t>
            </w:r>
          </w:p>
        </w:tc>
        <w:tc>
          <w:tcPr>
            <w:tcW w:w="1834" w:type="dxa"/>
            <w:vMerge w:val="restart"/>
            <w:vAlign w:val="center"/>
          </w:tcPr>
          <w:p w:rsidR="00AA1F4F" w:rsidRPr="00785290" w:rsidRDefault="00AA1F4F" w:rsidP="00397B4C">
            <w:pPr>
              <w:spacing w:line="276" w:lineRule="auto"/>
              <w:jc w:val="center"/>
              <w:rPr>
                <w:rFonts w:asciiTheme="majorHAnsi" w:hAnsiTheme="majorHAnsi" w:cstheme="majorHAnsi"/>
                <w:sz w:val="24"/>
                <w:szCs w:val="24"/>
              </w:rPr>
            </w:pPr>
            <w:r w:rsidRPr="00785290">
              <w:rPr>
                <w:rFonts w:asciiTheme="majorHAnsi" w:hAnsiTheme="majorHAnsi" w:cstheme="majorHAnsi"/>
                <w:b/>
                <w:sz w:val="24"/>
                <w:szCs w:val="24"/>
              </w:rPr>
              <w:t>încasate</w:t>
            </w:r>
          </w:p>
        </w:tc>
        <w:tc>
          <w:tcPr>
            <w:tcW w:w="2828" w:type="dxa"/>
            <w:vMerge/>
          </w:tcPr>
          <w:p w:rsidR="00AA1F4F" w:rsidRPr="00785290" w:rsidRDefault="00AA1F4F" w:rsidP="00397B4C">
            <w:pPr>
              <w:spacing w:line="276" w:lineRule="auto"/>
              <w:jc w:val="center"/>
              <w:rPr>
                <w:rFonts w:asciiTheme="majorHAnsi" w:hAnsiTheme="majorHAnsi" w:cstheme="majorHAnsi"/>
                <w:sz w:val="24"/>
                <w:szCs w:val="24"/>
              </w:rPr>
            </w:pPr>
          </w:p>
        </w:tc>
      </w:tr>
      <w:tr w:rsidR="00AA1F4F" w:rsidRPr="00785290" w:rsidTr="00397B4C">
        <w:trPr>
          <w:trHeight w:val="337"/>
          <w:jc w:val="center"/>
        </w:trPr>
        <w:tc>
          <w:tcPr>
            <w:tcW w:w="1528" w:type="dxa"/>
            <w:vMerge/>
            <w:tcBorders>
              <w:bottom w:val="single" w:sz="18" w:space="0" w:color="auto"/>
            </w:tcBorders>
          </w:tcPr>
          <w:p w:rsidR="00AA1F4F" w:rsidRPr="00785290" w:rsidRDefault="00AA1F4F" w:rsidP="00397B4C">
            <w:pPr>
              <w:spacing w:line="276" w:lineRule="auto"/>
              <w:jc w:val="both"/>
              <w:rPr>
                <w:rFonts w:asciiTheme="majorHAnsi" w:hAnsiTheme="majorHAnsi" w:cstheme="majorHAnsi"/>
                <w:sz w:val="24"/>
                <w:szCs w:val="24"/>
              </w:rPr>
            </w:pPr>
          </w:p>
        </w:tc>
        <w:tc>
          <w:tcPr>
            <w:tcW w:w="2153" w:type="dxa"/>
            <w:vMerge/>
            <w:tcBorders>
              <w:bottom w:val="single" w:sz="18" w:space="0" w:color="auto"/>
            </w:tcBorders>
          </w:tcPr>
          <w:p w:rsidR="00AA1F4F" w:rsidRPr="00785290" w:rsidRDefault="00AA1F4F" w:rsidP="00397B4C">
            <w:pPr>
              <w:spacing w:line="276" w:lineRule="auto"/>
              <w:jc w:val="both"/>
              <w:rPr>
                <w:rFonts w:asciiTheme="majorHAnsi" w:hAnsiTheme="majorHAnsi" w:cstheme="majorHAnsi"/>
                <w:sz w:val="24"/>
                <w:szCs w:val="24"/>
              </w:rPr>
            </w:pPr>
          </w:p>
        </w:tc>
        <w:tc>
          <w:tcPr>
            <w:tcW w:w="2691" w:type="dxa"/>
            <w:vMerge/>
            <w:tcBorders>
              <w:bottom w:val="single" w:sz="18" w:space="0" w:color="auto"/>
              <w:right w:val="single" w:sz="18" w:space="0" w:color="auto"/>
            </w:tcBorders>
          </w:tcPr>
          <w:p w:rsidR="00AA1F4F" w:rsidRPr="00785290" w:rsidRDefault="00AA1F4F" w:rsidP="00397B4C">
            <w:pPr>
              <w:spacing w:line="276" w:lineRule="auto"/>
              <w:jc w:val="both"/>
              <w:rPr>
                <w:rFonts w:asciiTheme="majorHAnsi" w:hAnsiTheme="majorHAnsi" w:cstheme="majorHAnsi"/>
                <w:sz w:val="24"/>
                <w:szCs w:val="24"/>
              </w:rPr>
            </w:pPr>
          </w:p>
        </w:tc>
        <w:tc>
          <w:tcPr>
            <w:tcW w:w="2104" w:type="dxa"/>
            <w:vMerge/>
            <w:tcBorders>
              <w:left w:val="single" w:sz="18" w:space="0" w:color="auto"/>
              <w:bottom w:val="single" w:sz="18" w:space="0" w:color="auto"/>
            </w:tcBorders>
          </w:tcPr>
          <w:p w:rsidR="00AA1F4F" w:rsidRPr="00785290" w:rsidRDefault="00AA1F4F" w:rsidP="00397B4C">
            <w:pPr>
              <w:spacing w:line="276" w:lineRule="auto"/>
              <w:jc w:val="both"/>
              <w:rPr>
                <w:rFonts w:asciiTheme="majorHAnsi" w:hAnsiTheme="majorHAnsi" w:cstheme="majorHAnsi"/>
                <w:b/>
                <w:sz w:val="24"/>
                <w:szCs w:val="24"/>
              </w:rPr>
            </w:pPr>
          </w:p>
        </w:tc>
        <w:tc>
          <w:tcPr>
            <w:tcW w:w="1834" w:type="dxa"/>
            <w:vMerge/>
            <w:tcBorders>
              <w:bottom w:val="single" w:sz="18" w:space="0" w:color="auto"/>
            </w:tcBorders>
          </w:tcPr>
          <w:p w:rsidR="00AA1F4F" w:rsidRPr="00785290" w:rsidRDefault="00AA1F4F" w:rsidP="00397B4C">
            <w:pPr>
              <w:spacing w:line="276" w:lineRule="auto"/>
              <w:jc w:val="center"/>
              <w:rPr>
                <w:rFonts w:asciiTheme="majorHAnsi" w:hAnsiTheme="majorHAnsi" w:cstheme="majorHAnsi"/>
                <w:sz w:val="24"/>
                <w:szCs w:val="24"/>
              </w:rPr>
            </w:pPr>
          </w:p>
        </w:tc>
        <w:tc>
          <w:tcPr>
            <w:tcW w:w="2828" w:type="dxa"/>
            <w:vMerge/>
            <w:tcBorders>
              <w:bottom w:val="single" w:sz="18" w:space="0" w:color="auto"/>
            </w:tcBorders>
          </w:tcPr>
          <w:p w:rsidR="00AA1F4F" w:rsidRPr="00785290" w:rsidRDefault="00AA1F4F" w:rsidP="00397B4C">
            <w:pPr>
              <w:spacing w:line="276" w:lineRule="auto"/>
              <w:jc w:val="center"/>
              <w:rPr>
                <w:rFonts w:asciiTheme="majorHAnsi" w:hAnsiTheme="majorHAnsi" w:cstheme="majorHAnsi"/>
                <w:sz w:val="24"/>
                <w:szCs w:val="24"/>
              </w:rPr>
            </w:pPr>
          </w:p>
        </w:tc>
      </w:tr>
      <w:tr w:rsidR="00AA1F4F" w:rsidRPr="00785290" w:rsidTr="00397B4C">
        <w:trPr>
          <w:jc w:val="center"/>
        </w:trPr>
        <w:tc>
          <w:tcPr>
            <w:tcW w:w="1528" w:type="dxa"/>
            <w:tcBorders>
              <w:top w:val="single" w:sz="18" w:space="0" w:color="auto"/>
            </w:tcBorders>
          </w:tcPr>
          <w:p w:rsidR="00AA1F4F" w:rsidRPr="00785290" w:rsidRDefault="00AA1F4F" w:rsidP="00397B4C">
            <w:pPr>
              <w:spacing w:line="276" w:lineRule="auto"/>
              <w:jc w:val="center"/>
              <w:rPr>
                <w:rFonts w:asciiTheme="majorHAnsi" w:hAnsiTheme="majorHAnsi" w:cstheme="majorHAnsi"/>
                <w:sz w:val="24"/>
                <w:szCs w:val="24"/>
              </w:rPr>
            </w:pPr>
            <w:r w:rsidRPr="00785290">
              <w:rPr>
                <w:rFonts w:asciiTheme="majorHAnsi" w:hAnsiTheme="majorHAnsi" w:cstheme="majorHAnsi"/>
                <w:sz w:val="24"/>
                <w:szCs w:val="24"/>
              </w:rPr>
              <w:t>184</w:t>
            </w:r>
          </w:p>
        </w:tc>
        <w:tc>
          <w:tcPr>
            <w:tcW w:w="2153" w:type="dxa"/>
            <w:tcBorders>
              <w:top w:val="single" w:sz="18" w:space="0" w:color="auto"/>
            </w:tcBorders>
          </w:tcPr>
          <w:p w:rsidR="00AA1F4F" w:rsidRPr="00785290" w:rsidRDefault="00AA1F4F" w:rsidP="00397B4C">
            <w:pPr>
              <w:spacing w:line="276" w:lineRule="auto"/>
              <w:jc w:val="center"/>
              <w:rPr>
                <w:rFonts w:asciiTheme="majorHAnsi" w:hAnsiTheme="majorHAnsi" w:cstheme="majorHAnsi"/>
                <w:sz w:val="24"/>
                <w:szCs w:val="24"/>
              </w:rPr>
            </w:pPr>
            <w:r w:rsidRPr="00785290">
              <w:rPr>
                <w:rFonts w:asciiTheme="majorHAnsi" w:hAnsiTheme="majorHAnsi" w:cstheme="majorHAnsi"/>
                <w:sz w:val="24"/>
                <w:szCs w:val="24"/>
              </w:rPr>
              <w:t>150</w:t>
            </w:r>
          </w:p>
        </w:tc>
        <w:tc>
          <w:tcPr>
            <w:tcW w:w="2691" w:type="dxa"/>
            <w:tcBorders>
              <w:top w:val="single" w:sz="18" w:space="0" w:color="auto"/>
              <w:right w:val="single" w:sz="18" w:space="0" w:color="auto"/>
            </w:tcBorders>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81,5%</w:t>
            </w:r>
          </w:p>
        </w:tc>
        <w:tc>
          <w:tcPr>
            <w:tcW w:w="2104" w:type="dxa"/>
            <w:tcBorders>
              <w:top w:val="single" w:sz="18" w:space="0" w:color="auto"/>
              <w:left w:val="single" w:sz="18" w:space="0" w:color="auto"/>
            </w:tcBorders>
          </w:tcPr>
          <w:p w:rsidR="00AA1F4F" w:rsidRPr="00785290" w:rsidRDefault="00AA1F4F" w:rsidP="00364452">
            <w:pPr>
              <w:spacing w:line="276" w:lineRule="auto"/>
              <w:rPr>
                <w:rFonts w:asciiTheme="majorHAnsi" w:hAnsiTheme="majorHAnsi" w:cstheme="majorHAnsi"/>
                <w:sz w:val="24"/>
                <w:szCs w:val="24"/>
              </w:rPr>
            </w:pPr>
            <w:r w:rsidRPr="00785290">
              <w:rPr>
                <w:rFonts w:asciiTheme="majorHAnsi" w:hAnsiTheme="majorHAnsi" w:cstheme="majorHAnsi"/>
                <w:sz w:val="24"/>
                <w:szCs w:val="24"/>
              </w:rPr>
              <w:t>104111,8</w:t>
            </w:r>
          </w:p>
        </w:tc>
        <w:tc>
          <w:tcPr>
            <w:tcW w:w="1834" w:type="dxa"/>
            <w:tcBorders>
              <w:top w:val="single" w:sz="18" w:space="0" w:color="auto"/>
            </w:tcBorders>
          </w:tcPr>
          <w:p w:rsidR="00AA1F4F" w:rsidRPr="00785290" w:rsidRDefault="00AA1F4F" w:rsidP="00397B4C">
            <w:pPr>
              <w:spacing w:line="276" w:lineRule="auto"/>
              <w:jc w:val="center"/>
              <w:rPr>
                <w:rFonts w:asciiTheme="majorHAnsi" w:hAnsiTheme="majorHAnsi" w:cstheme="majorHAnsi"/>
                <w:sz w:val="24"/>
                <w:szCs w:val="24"/>
              </w:rPr>
            </w:pPr>
            <w:r w:rsidRPr="00785290">
              <w:rPr>
                <w:rFonts w:asciiTheme="majorHAnsi" w:hAnsiTheme="majorHAnsi" w:cstheme="majorHAnsi"/>
                <w:sz w:val="24"/>
                <w:szCs w:val="24"/>
              </w:rPr>
              <w:t>8805,6</w:t>
            </w:r>
          </w:p>
        </w:tc>
        <w:tc>
          <w:tcPr>
            <w:tcW w:w="2828" w:type="dxa"/>
            <w:tcBorders>
              <w:top w:val="single" w:sz="18" w:space="0" w:color="auto"/>
            </w:tcBorders>
          </w:tcPr>
          <w:p w:rsidR="00AA1F4F" w:rsidRPr="00785290" w:rsidRDefault="00AA1F4F" w:rsidP="00397B4C">
            <w:pPr>
              <w:spacing w:line="276" w:lineRule="auto"/>
              <w:jc w:val="center"/>
              <w:rPr>
                <w:rFonts w:asciiTheme="majorHAnsi" w:hAnsiTheme="majorHAnsi" w:cstheme="majorHAnsi"/>
                <w:b/>
                <w:sz w:val="24"/>
                <w:szCs w:val="24"/>
              </w:rPr>
            </w:pPr>
            <w:r w:rsidRPr="00785290">
              <w:rPr>
                <w:rFonts w:asciiTheme="majorHAnsi" w:hAnsiTheme="majorHAnsi" w:cstheme="majorHAnsi"/>
                <w:b/>
                <w:sz w:val="24"/>
                <w:szCs w:val="24"/>
              </w:rPr>
              <w:t>8,5%</w:t>
            </w:r>
          </w:p>
        </w:tc>
      </w:tr>
    </w:tbl>
    <w:p w:rsidR="00C10251" w:rsidRPr="00B12610" w:rsidRDefault="00AA1F4F" w:rsidP="00B12610">
      <w:pPr>
        <w:tabs>
          <w:tab w:val="left" w:pos="720"/>
        </w:tabs>
        <w:spacing w:after="0" w:line="276" w:lineRule="auto"/>
        <w:rPr>
          <w:rFonts w:asciiTheme="majorHAnsi" w:eastAsia="Times New Roman" w:hAnsiTheme="majorHAnsi" w:cstheme="majorHAnsi"/>
          <w:b/>
          <w:bCs/>
          <w:i/>
          <w:sz w:val="20"/>
          <w:szCs w:val="20"/>
          <w:lang w:val="ro-MD"/>
        </w:rPr>
      </w:pPr>
      <w:r w:rsidRPr="007815BE">
        <w:rPr>
          <w:rFonts w:asciiTheme="majorHAnsi" w:eastAsia="Times New Roman" w:hAnsiTheme="majorHAnsi" w:cstheme="majorHAnsi"/>
          <w:b/>
          <w:bCs/>
          <w:i/>
          <w:sz w:val="20"/>
          <w:szCs w:val="20"/>
          <w:lang w:val="ro-MD"/>
        </w:rPr>
        <w:t>Sursă:</w:t>
      </w:r>
      <w:r>
        <w:rPr>
          <w:rFonts w:asciiTheme="majorHAnsi" w:eastAsia="Times New Roman" w:hAnsiTheme="majorHAnsi" w:cstheme="majorHAnsi"/>
          <w:b/>
          <w:bCs/>
          <w:i/>
          <w:sz w:val="20"/>
          <w:szCs w:val="20"/>
          <w:lang w:val="ro-MD"/>
        </w:rPr>
        <w:t xml:space="preserve"> </w:t>
      </w:r>
      <w:r w:rsidRPr="007815BE">
        <w:rPr>
          <w:rFonts w:asciiTheme="majorHAnsi" w:eastAsia="Times New Roman" w:hAnsiTheme="majorHAnsi" w:cstheme="majorHAnsi"/>
          <w:bCs/>
          <w:i/>
          <w:sz w:val="20"/>
          <w:szCs w:val="20"/>
          <w:lang w:val="ro-MD"/>
        </w:rPr>
        <w:t>Informație prezentată echipei de audit de către persoanele responsabile din cadrul S</w:t>
      </w:r>
      <w:r w:rsidR="00364452">
        <w:rPr>
          <w:rFonts w:asciiTheme="majorHAnsi" w:eastAsia="Times New Roman" w:hAnsiTheme="majorHAnsi" w:cstheme="majorHAnsi"/>
          <w:bCs/>
          <w:i/>
          <w:sz w:val="20"/>
          <w:szCs w:val="20"/>
          <w:lang w:val="ro-MD"/>
        </w:rPr>
        <w:t xml:space="preserve">erviciului </w:t>
      </w:r>
      <w:r w:rsidRPr="007815BE">
        <w:rPr>
          <w:rFonts w:asciiTheme="majorHAnsi" w:eastAsia="Times New Roman" w:hAnsiTheme="majorHAnsi" w:cstheme="majorHAnsi"/>
          <w:bCs/>
          <w:i/>
          <w:sz w:val="20"/>
          <w:szCs w:val="20"/>
          <w:lang w:val="ro-MD"/>
        </w:rPr>
        <w:t>V</w:t>
      </w:r>
      <w:r w:rsidR="00364452">
        <w:rPr>
          <w:rFonts w:asciiTheme="majorHAnsi" w:eastAsia="Times New Roman" w:hAnsiTheme="majorHAnsi" w:cstheme="majorHAnsi"/>
          <w:bCs/>
          <w:i/>
          <w:sz w:val="20"/>
          <w:szCs w:val="20"/>
          <w:lang w:val="ro-MD"/>
        </w:rPr>
        <w:t>amal</w:t>
      </w:r>
      <w:r w:rsidRPr="007815BE">
        <w:rPr>
          <w:rFonts w:asciiTheme="majorHAnsi" w:eastAsia="Times New Roman" w:hAnsiTheme="majorHAnsi" w:cstheme="majorHAnsi"/>
          <w:bCs/>
          <w:i/>
          <w:sz w:val="20"/>
          <w:szCs w:val="20"/>
          <w:lang w:val="ro-MD"/>
        </w:rPr>
        <w:t>.</w:t>
      </w:r>
    </w:p>
    <w:p w:rsidR="00B95415" w:rsidRPr="00793C62" w:rsidRDefault="00B95415" w:rsidP="00C72510">
      <w:pPr>
        <w:tabs>
          <w:tab w:val="left" w:pos="993"/>
        </w:tabs>
        <w:spacing w:after="0" w:line="276" w:lineRule="auto"/>
        <w:jc w:val="right"/>
        <w:rPr>
          <w:rFonts w:asciiTheme="majorHAnsi" w:hAnsiTheme="majorHAnsi" w:cstheme="majorHAnsi"/>
          <w:b/>
          <w:sz w:val="24"/>
          <w:szCs w:val="24"/>
          <w:lang w:val="ro-MD"/>
        </w:rPr>
      </w:pPr>
    </w:p>
    <w:p w:rsidR="00B95415" w:rsidRDefault="00B95415" w:rsidP="00C72510">
      <w:pPr>
        <w:tabs>
          <w:tab w:val="left" w:pos="993"/>
        </w:tabs>
        <w:spacing w:after="0" w:line="276" w:lineRule="auto"/>
        <w:jc w:val="right"/>
        <w:rPr>
          <w:rFonts w:asciiTheme="majorHAnsi" w:hAnsiTheme="majorHAnsi" w:cstheme="majorHAnsi"/>
          <w:b/>
          <w:sz w:val="24"/>
          <w:szCs w:val="24"/>
          <w:lang w:val="ro-MD"/>
        </w:rPr>
      </w:pPr>
    </w:p>
    <w:p w:rsidR="00B95415" w:rsidRDefault="00C031AB" w:rsidP="00C72510">
      <w:pPr>
        <w:tabs>
          <w:tab w:val="left" w:pos="993"/>
        </w:tabs>
        <w:spacing w:after="0" w:line="276" w:lineRule="auto"/>
        <w:jc w:val="right"/>
        <w:rPr>
          <w:rFonts w:asciiTheme="majorHAnsi" w:hAnsiTheme="majorHAnsi" w:cstheme="majorHAnsi"/>
          <w:b/>
          <w:sz w:val="24"/>
          <w:szCs w:val="24"/>
          <w:lang w:val="ro-MD"/>
        </w:rPr>
      </w:pPr>
      <w:r>
        <w:rPr>
          <w:rFonts w:asciiTheme="majorHAnsi" w:hAnsiTheme="majorHAnsi" w:cstheme="majorHAnsi"/>
          <w:b/>
          <w:sz w:val="24"/>
          <w:szCs w:val="24"/>
          <w:lang w:val="ro-MD"/>
        </w:rPr>
        <w:t>Anexa nr.12</w:t>
      </w:r>
    </w:p>
    <w:p w:rsidR="00C72510" w:rsidRPr="00C72510" w:rsidRDefault="00C72510" w:rsidP="00C72510">
      <w:pPr>
        <w:jc w:val="center"/>
        <w:rPr>
          <w:rFonts w:asciiTheme="majorHAnsi" w:eastAsia="Times New Roman" w:hAnsiTheme="majorHAnsi" w:cstheme="majorHAnsi"/>
          <w:b/>
          <w:bCs/>
          <w:iCs/>
          <w:sz w:val="24"/>
          <w:szCs w:val="24"/>
          <w:lang w:eastAsia="ru-RU"/>
        </w:rPr>
      </w:pPr>
      <w:r w:rsidRPr="00C72510">
        <w:rPr>
          <w:rFonts w:asciiTheme="majorHAnsi" w:eastAsia="Times New Roman" w:hAnsiTheme="majorHAnsi" w:cstheme="majorHAnsi"/>
          <w:b/>
          <w:bCs/>
          <w:iCs/>
          <w:sz w:val="24"/>
          <w:szCs w:val="24"/>
          <w:lang w:eastAsia="ru-RU"/>
        </w:rPr>
        <w:t>Implementarea cerințelor și recomandărilor expuse în Hotărârile anterioare ale Curții de Conturi</w:t>
      </w:r>
    </w:p>
    <w:tbl>
      <w:tblPr>
        <w:tblW w:w="13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46"/>
        <w:gridCol w:w="992"/>
        <w:gridCol w:w="992"/>
        <w:gridCol w:w="993"/>
      </w:tblGrid>
      <w:tr w:rsidR="00EF0D9A" w:rsidRPr="00A63813" w:rsidTr="00491562">
        <w:trPr>
          <w:trHeight w:val="390"/>
        </w:trPr>
        <w:tc>
          <w:tcPr>
            <w:tcW w:w="4820" w:type="dxa"/>
            <w:vMerge w:val="restart"/>
            <w:shd w:val="clear" w:color="auto" w:fill="auto"/>
            <w:vAlign w:val="center"/>
          </w:tcPr>
          <w:p w:rsidR="00EF0D9A" w:rsidRPr="00A63813" w:rsidRDefault="00EF0D9A" w:rsidP="00397B4C">
            <w:pPr>
              <w:tabs>
                <w:tab w:val="left" w:pos="720"/>
              </w:tabs>
              <w:jc w:val="center"/>
              <w:rPr>
                <w:rFonts w:asciiTheme="majorHAnsi" w:hAnsiTheme="majorHAnsi" w:cstheme="majorHAnsi"/>
                <w:b/>
                <w:sz w:val="24"/>
                <w:szCs w:val="24"/>
              </w:rPr>
            </w:pPr>
            <w:r w:rsidRPr="00A63813">
              <w:rPr>
                <w:rFonts w:asciiTheme="majorHAnsi" w:hAnsiTheme="majorHAnsi" w:cstheme="majorHAnsi"/>
                <w:b/>
                <w:sz w:val="24"/>
                <w:szCs w:val="24"/>
              </w:rPr>
              <w:t>Cerința/recomandarea</w:t>
            </w:r>
          </w:p>
        </w:tc>
        <w:tc>
          <w:tcPr>
            <w:tcW w:w="5646" w:type="dxa"/>
            <w:vMerge w:val="restart"/>
            <w:shd w:val="clear" w:color="auto" w:fill="auto"/>
            <w:vAlign w:val="center"/>
          </w:tcPr>
          <w:p w:rsidR="00EF0D9A" w:rsidRPr="00A63813" w:rsidRDefault="00EF0D9A" w:rsidP="00397B4C">
            <w:pPr>
              <w:tabs>
                <w:tab w:val="left" w:pos="720"/>
              </w:tabs>
              <w:jc w:val="center"/>
              <w:rPr>
                <w:rFonts w:asciiTheme="majorHAnsi" w:hAnsiTheme="majorHAnsi" w:cstheme="majorHAnsi"/>
                <w:b/>
                <w:sz w:val="24"/>
                <w:szCs w:val="24"/>
              </w:rPr>
            </w:pPr>
            <w:r w:rsidRPr="00A63813">
              <w:rPr>
                <w:rFonts w:asciiTheme="majorHAnsi" w:hAnsiTheme="majorHAnsi" w:cstheme="majorHAnsi"/>
                <w:b/>
                <w:sz w:val="24"/>
                <w:szCs w:val="24"/>
              </w:rPr>
              <w:t>Măsurile întreprinse</w:t>
            </w:r>
          </w:p>
        </w:tc>
        <w:tc>
          <w:tcPr>
            <w:tcW w:w="2977" w:type="dxa"/>
            <w:gridSpan w:val="3"/>
            <w:shd w:val="clear" w:color="auto" w:fill="auto"/>
            <w:vAlign w:val="center"/>
          </w:tcPr>
          <w:p w:rsidR="00EF0D9A" w:rsidRPr="00A63813" w:rsidRDefault="00EF0D9A" w:rsidP="00397B4C">
            <w:pPr>
              <w:spacing w:line="240" w:lineRule="auto"/>
              <w:ind w:left="-106" w:right="-111"/>
              <w:jc w:val="center"/>
              <w:rPr>
                <w:rFonts w:asciiTheme="majorHAnsi" w:hAnsiTheme="majorHAnsi" w:cstheme="majorHAnsi"/>
                <w:b/>
                <w:sz w:val="24"/>
                <w:szCs w:val="24"/>
              </w:rPr>
            </w:pPr>
            <w:r w:rsidRPr="00A63813">
              <w:rPr>
                <w:rFonts w:asciiTheme="majorHAnsi" w:hAnsiTheme="majorHAnsi" w:cstheme="majorHAnsi"/>
                <w:b/>
                <w:sz w:val="24"/>
                <w:szCs w:val="24"/>
              </w:rPr>
              <w:t>Statutul implementării cerinței/recomandării</w:t>
            </w:r>
          </w:p>
        </w:tc>
      </w:tr>
      <w:tr w:rsidR="00EF0D9A" w:rsidRPr="00A63813" w:rsidTr="00491562">
        <w:trPr>
          <w:trHeight w:val="565"/>
        </w:trPr>
        <w:tc>
          <w:tcPr>
            <w:tcW w:w="4820" w:type="dxa"/>
            <w:vMerge/>
            <w:shd w:val="clear" w:color="auto" w:fill="auto"/>
            <w:vAlign w:val="center"/>
          </w:tcPr>
          <w:p w:rsidR="00EF0D9A" w:rsidRPr="00A63813" w:rsidRDefault="00EF0D9A" w:rsidP="00397B4C">
            <w:pPr>
              <w:tabs>
                <w:tab w:val="left" w:pos="720"/>
              </w:tabs>
              <w:jc w:val="center"/>
              <w:rPr>
                <w:rFonts w:asciiTheme="majorHAnsi" w:hAnsiTheme="majorHAnsi" w:cstheme="majorHAnsi"/>
                <w:b/>
                <w:sz w:val="24"/>
                <w:szCs w:val="24"/>
              </w:rPr>
            </w:pPr>
          </w:p>
        </w:tc>
        <w:tc>
          <w:tcPr>
            <w:tcW w:w="5646" w:type="dxa"/>
            <w:vMerge/>
            <w:shd w:val="clear" w:color="auto" w:fill="auto"/>
            <w:vAlign w:val="center"/>
          </w:tcPr>
          <w:p w:rsidR="00EF0D9A" w:rsidRPr="00A63813" w:rsidRDefault="00EF0D9A" w:rsidP="00397B4C">
            <w:pPr>
              <w:tabs>
                <w:tab w:val="left" w:pos="720"/>
              </w:tabs>
              <w:jc w:val="center"/>
              <w:rPr>
                <w:rFonts w:asciiTheme="majorHAnsi" w:hAnsiTheme="majorHAnsi" w:cstheme="majorHAnsi"/>
                <w:b/>
                <w:sz w:val="24"/>
                <w:szCs w:val="24"/>
              </w:rPr>
            </w:pPr>
          </w:p>
        </w:tc>
        <w:tc>
          <w:tcPr>
            <w:tcW w:w="992" w:type="dxa"/>
            <w:shd w:val="clear" w:color="auto" w:fill="auto"/>
            <w:vAlign w:val="center"/>
          </w:tcPr>
          <w:p w:rsidR="00EF0D9A" w:rsidRPr="00A63813" w:rsidRDefault="00EF0D9A" w:rsidP="00397B4C">
            <w:pPr>
              <w:tabs>
                <w:tab w:val="left" w:pos="720"/>
              </w:tabs>
              <w:jc w:val="center"/>
              <w:rPr>
                <w:rFonts w:asciiTheme="majorHAnsi" w:hAnsiTheme="majorHAnsi" w:cstheme="majorHAnsi"/>
                <w:b/>
                <w:sz w:val="24"/>
                <w:szCs w:val="24"/>
              </w:rPr>
            </w:pPr>
            <w:r w:rsidRPr="00A63813">
              <w:rPr>
                <w:rFonts w:asciiTheme="majorHAnsi" w:hAnsiTheme="majorHAnsi" w:cstheme="majorHAnsi"/>
                <w:b/>
                <w:sz w:val="24"/>
                <w:szCs w:val="24"/>
              </w:rPr>
              <w:t>realizat</w:t>
            </w:r>
          </w:p>
        </w:tc>
        <w:tc>
          <w:tcPr>
            <w:tcW w:w="992" w:type="dxa"/>
            <w:shd w:val="clear" w:color="auto" w:fill="auto"/>
            <w:vAlign w:val="center"/>
          </w:tcPr>
          <w:p w:rsidR="00EF0D9A" w:rsidRPr="00A63813" w:rsidRDefault="00EF0D9A" w:rsidP="00397B4C">
            <w:pPr>
              <w:tabs>
                <w:tab w:val="left" w:pos="720"/>
              </w:tabs>
              <w:spacing w:after="0"/>
              <w:jc w:val="center"/>
              <w:rPr>
                <w:rFonts w:asciiTheme="majorHAnsi" w:hAnsiTheme="majorHAnsi" w:cstheme="majorHAnsi"/>
                <w:b/>
                <w:sz w:val="24"/>
                <w:szCs w:val="24"/>
              </w:rPr>
            </w:pPr>
            <w:r w:rsidRPr="00A63813">
              <w:rPr>
                <w:rFonts w:asciiTheme="majorHAnsi" w:hAnsiTheme="majorHAnsi" w:cstheme="majorHAnsi"/>
                <w:b/>
                <w:sz w:val="24"/>
                <w:szCs w:val="24"/>
              </w:rPr>
              <w:t>parțial realizat</w:t>
            </w:r>
          </w:p>
        </w:tc>
        <w:tc>
          <w:tcPr>
            <w:tcW w:w="993" w:type="dxa"/>
            <w:shd w:val="clear" w:color="auto" w:fill="auto"/>
            <w:vAlign w:val="center"/>
          </w:tcPr>
          <w:p w:rsidR="00EF0D9A" w:rsidRPr="00A63813" w:rsidRDefault="00EF0D9A" w:rsidP="00397B4C">
            <w:pPr>
              <w:tabs>
                <w:tab w:val="left" w:pos="720"/>
              </w:tabs>
              <w:ind w:left="-145" w:right="-105" w:firstLine="39"/>
              <w:jc w:val="center"/>
              <w:rPr>
                <w:rFonts w:asciiTheme="majorHAnsi" w:hAnsiTheme="majorHAnsi" w:cstheme="majorHAnsi"/>
                <w:b/>
                <w:sz w:val="24"/>
                <w:szCs w:val="24"/>
              </w:rPr>
            </w:pPr>
            <w:r w:rsidRPr="00A63813">
              <w:rPr>
                <w:rFonts w:asciiTheme="majorHAnsi" w:hAnsiTheme="majorHAnsi" w:cstheme="majorHAnsi"/>
                <w:b/>
                <w:sz w:val="24"/>
                <w:szCs w:val="24"/>
              </w:rPr>
              <w:t>nerealizat</w:t>
            </w:r>
          </w:p>
        </w:tc>
      </w:tr>
      <w:tr w:rsidR="003C6197" w:rsidRPr="003C6197" w:rsidTr="00491562">
        <w:tc>
          <w:tcPr>
            <w:tcW w:w="4820" w:type="dxa"/>
          </w:tcPr>
          <w:p w:rsidR="003C6197" w:rsidRPr="003C6197" w:rsidRDefault="003C6197" w:rsidP="008356B2">
            <w:pPr>
              <w:spacing w:after="0" w:line="240" w:lineRule="auto"/>
              <w:jc w:val="both"/>
              <w:rPr>
                <w:rFonts w:asciiTheme="majorHAnsi" w:hAnsiTheme="majorHAnsi" w:cstheme="majorHAnsi"/>
                <w:sz w:val="24"/>
                <w:szCs w:val="24"/>
                <w:lang w:val="ro-MD"/>
              </w:rPr>
            </w:pPr>
            <w:r w:rsidRPr="003C6197">
              <w:rPr>
                <w:rFonts w:asciiTheme="majorHAnsi" w:eastAsia="Times New Roman" w:hAnsiTheme="majorHAnsi" w:cstheme="majorHAnsi"/>
                <w:b/>
                <w:i/>
                <w:sz w:val="24"/>
                <w:szCs w:val="24"/>
                <w:lang w:val="ro-MD"/>
              </w:rPr>
              <w:t xml:space="preserve">Cerința </w:t>
            </w:r>
            <w:r w:rsidRPr="000628F9">
              <w:rPr>
                <w:rFonts w:asciiTheme="majorHAnsi" w:eastAsia="Times New Roman" w:hAnsiTheme="majorHAnsi" w:cstheme="majorHAnsi"/>
                <w:b/>
                <w:i/>
                <w:sz w:val="24"/>
                <w:szCs w:val="24"/>
                <w:lang w:val="ro-MD"/>
              </w:rPr>
              <w:t>nr. 2.1.1.</w:t>
            </w:r>
            <w:r w:rsidRPr="000628F9">
              <w:rPr>
                <w:rFonts w:asciiTheme="majorHAnsi" w:eastAsia="Times New Roman" w:hAnsiTheme="majorHAnsi" w:cstheme="majorHAnsi"/>
                <w:b/>
                <w:sz w:val="24"/>
                <w:szCs w:val="24"/>
                <w:lang w:val="ro-MD"/>
              </w:rPr>
              <w:t xml:space="preserve"> </w:t>
            </w:r>
            <w:r w:rsidRPr="000628F9">
              <w:rPr>
                <w:rFonts w:asciiTheme="majorHAnsi" w:eastAsia="Times New Roman" w:hAnsiTheme="majorHAnsi" w:cstheme="majorHAnsi"/>
                <w:sz w:val="24"/>
                <w:szCs w:val="24"/>
                <w:lang w:val="ro-MD"/>
              </w:rPr>
              <w:t>Examinarea</w:t>
            </w:r>
            <w:r w:rsidRPr="003C6197">
              <w:rPr>
                <w:rFonts w:asciiTheme="majorHAnsi" w:eastAsia="Times New Roman" w:hAnsiTheme="majorHAnsi" w:cstheme="majorHAnsi"/>
                <w:sz w:val="24"/>
                <w:szCs w:val="24"/>
                <w:lang w:val="ro-MD"/>
              </w:rPr>
              <w:t xml:space="preserve"> rezultatelor auditului financiar al Raportului Guvernului privind executarea bugetului de stat pe anul 2017 în cadrul Colegiului ministerial, cu aprobarea unui plan de măsuri de remediere a </w:t>
            </w:r>
            <w:r w:rsidRPr="003C6197">
              <w:rPr>
                <w:rFonts w:asciiTheme="majorHAnsi" w:eastAsia="Times New Roman" w:hAnsiTheme="majorHAnsi" w:cstheme="majorHAnsi"/>
                <w:sz w:val="24"/>
                <w:szCs w:val="24"/>
                <w:lang w:val="ro-MD"/>
              </w:rPr>
              <w:lastRenderedPageBreak/>
              <w:t xml:space="preserve">situațiilor constatate și a recomandărilor cuprinse în Raportul de audit. </w:t>
            </w:r>
          </w:p>
        </w:tc>
        <w:tc>
          <w:tcPr>
            <w:tcW w:w="5646" w:type="dxa"/>
          </w:tcPr>
          <w:p w:rsidR="003C6197" w:rsidRPr="00F112F1" w:rsidRDefault="00584FB6" w:rsidP="0025512A">
            <w:pPr>
              <w:pStyle w:val="ListParagraph"/>
              <w:tabs>
                <w:tab w:val="left" w:pos="317"/>
              </w:tabs>
              <w:spacing w:after="0" w:line="240" w:lineRule="auto"/>
              <w:ind w:left="34"/>
              <w:jc w:val="both"/>
              <w:rPr>
                <w:rFonts w:asciiTheme="majorHAnsi" w:eastAsia="Times New Roman" w:hAnsiTheme="majorHAnsi" w:cstheme="majorHAnsi"/>
                <w:sz w:val="24"/>
                <w:szCs w:val="24"/>
                <w:lang w:eastAsia="ru-RU"/>
              </w:rPr>
            </w:pPr>
            <w:r w:rsidRPr="00F112F1">
              <w:rPr>
                <w:rFonts w:asciiTheme="majorHAnsi" w:eastAsia="Times New Roman" w:hAnsiTheme="majorHAnsi" w:cstheme="majorHAnsi"/>
                <w:sz w:val="24"/>
                <w:szCs w:val="24"/>
                <w:lang w:val="ro-MD"/>
              </w:rPr>
              <w:lastRenderedPageBreak/>
              <w:t xml:space="preserve">Prin </w:t>
            </w:r>
            <w:r w:rsidRPr="00F112F1">
              <w:rPr>
                <w:rFonts w:asciiTheme="majorHAnsi" w:eastAsia="Times New Roman" w:hAnsiTheme="majorHAnsi" w:cstheme="majorHAnsi"/>
                <w:b/>
                <w:sz w:val="24"/>
                <w:szCs w:val="24"/>
                <w:lang w:val="ro-MD"/>
              </w:rPr>
              <w:t>Ordinul ministrului finanțelor</w:t>
            </w:r>
            <w:r w:rsidR="00793C62">
              <w:rPr>
                <w:rFonts w:asciiTheme="majorHAnsi" w:eastAsia="Times New Roman" w:hAnsiTheme="majorHAnsi" w:cstheme="majorHAnsi"/>
                <w:b/>
                <w:sz w:val="24"/>
                <w:szCs w:val="24"/>
                <w:lang w:val="ro-MD"/>
              </w:rPr>
              <w:t xml:space="preserve"> </w:t>
            </w:r>
            <w:r w:rsidRPr="00F112F1">
              <w:rPr>
                <w:rFonts w:asciiTheme="majorHAnsi" w:eastAsia="Times New Roman" w:hAnsiTheme="majorHAnsi" w:cstheme="majorHAnsi"/>
                <w:b/>
                <w:sz w:val="24"/>
                <w:szCs w:val="24"/>
                <w:lang w:val="ro-MD"/>
              </w:rPr>
              <w:t>nr. 188 din 8 noiembrie 2018</w:t>
            </w:r>
            <w:r w:rsidRPr="00F112F1">
              <w:rPr>
                <w:rFonts w:asciiTheme="majorHAnsi" w:eastAsia="Times New Roman" w:hAnsiTheme="majorHAnsi" w:cstheme="majorHAnsi"/>
                <w:sz w:val="24"/>
                <w:szCs w:val="24"/>
                <w:lang w:val="ro-MD"/>
              </w:rPr>
              <w:t xml:space="preserve"> a fost aprobat Planul de măsuri privind implementarea recomandărilor</w:t>
            </w:r>
            <w:r w:rsidR="00793C62">
              <w:rPr>
                <w:rFonts w:asciiTheme="majorHAnsi" w:eastAsia="Times New Roman" w:hAnsiTheme="majorHAnsi" w:cstheme="majorHAnsi"/>
                <w:sz w:val="24"/>
                <w:szCs w:val="24"/>
                <w:lang w:val="ro-MD"/>
              </w:rPr>
              <w:t xml:space="preserve"> </w:t>
            </w:r>
            <w:r w:rsidRPr="00F112F1">
              <w:rPr>
                <w:rFonts w:asciiTheme="majorHAnsi" w:eastAsia="Times New Roman" w:hAnsiTheme="majorHAnsi" w:cstheme="majorHAnsi"/>
                <w:sz w:val="24"/>
                <w:szCs w:val="24"/>
                <w:lang w:val="ro-MD"/>
              </w:rPr>
              <w:t>Curții de Conturi</w:t>
            </w:r>
            <w:r w:rsidR="00793C62">
              <w:rPr>
                <w:rFonts w:asciiTheme="majorHAnsi" w:eastAsia="Times New Roman" w:hAnsiTheme="majorHAnsi" w:cstheme="majorHAnsi"/>
                <w:sz w:val="24"/>
                <w:szCs w:val="24"/>
                <w:lang w:val="ro-MD"/>
              </w:rPr>
              <w:t xml:space="preserve"> </w:t>
            </w:r>
            <w:r w:rsidRPr="00F112F1">
              <w:rPr>
                <w:rFonts w:asciiTheme="majorHAnsi" w:eastAsia="Times New Roman" w:hAnsiTheme="majorHAnsi" w:cstheme="majorHAnsi"/>
                <w:sz w:val="24"/>
                <w:szCs w:val="24"/>
                <w:lang w:val="ro-MD"/>
              </w:rPr>
              <w:t xml:space="preserve">din Hotărârea nr. 24 din 28 mai 2018 </w:t>
            </w:r>
            <w:r w:rsidR="007867DD">
              <w:rPr>
                <w:rFonts w:asciiTheme="majorHAnsi" w:eastAsia="Times New Roman" w:hAnsiTheme="majorHAnsi" w:cstheme="majorHAnsi"/>
                <w:sz w:val="24"/>
                <w:szCs w:val="24"/>
                <w:lang w:val="ro-MD"/>
              </w:rPr>
              <w:t>„</w:t>
            </w:r>
            <w:r w:rsidRPr="00F112F1">
              <w:rPr>
                <w:rFonts w:asciiTheme="majorHAnsi" w:eastAsia="Times New Roman" w:hAnsiTheme="majorHAnsi" w:cstheme="majorHAnsi"/>
                <w:sz w:val="24"/>
                <w:szCs w:val="24"/>
                <w:lang w:val="ro-MD"/>
              </w:rPr>
              <w:t>Cu privire la Raportul auditului financiar al Raportului Guvernului privind executarea</w:t>
            </w:r>
            <w:r w:rsidR="0025512A">
              <w:rPr>
                <w:rFonts w:asciiTheme="majorHAnsi" w:eastAsia="Times New Roman" w:hAnsiTheme="majorHAnsi" w:cstheme="majorHAnsi"/>
                <w:sz w:val="24"/>
                <w:szCs w:val="24"/>
                <w:lang w:val="ro-MD"/>
              </w:rPr>
              <w:t xml:space="preserve"> bugetului de stat pe anul 2017</w:t>
            </w:r>
            <w:r w:rsidR="007867DD">
              <w:rPr>
                <w:rFonts w:asciiTheme="majorHAnsi" w:eastAsia="Times New Roman" w:hAnsiTheme="majorHAnsi" w:cstheme="majorHAnsi"/>
                <w:sz w:val="24"/>
                <w:szCs w:val="24"/>
                <w:lang w:val="ro-MD"/>
              </w:rPr>
              <w:t>”</w:t>
            </w:r>
            <w:r w:rsidR="0025512A">
              <w:rPr>
                <w:rFonts w:asciiTheme="majorHAnsi" w:eastAsia="Times New Roman" w:hAnsiTheme="majorHAnsi" w:cstheme="majorHAnsi"/>
                <w:sz w:val="24"/>
                <w:szCs w:val="24"/>
                <w:lang w:val="ro-MD"/>
              </w:rPr>
              <w:t>.</w:t>
            </w:r>
          </w:p>
        </w:tc>
        <w:tc>
          <w:tcPr>
            <w:tcW w:w="992" w:type="dxa"/>
          </w:tcPr>
          <w:p w:rsidR="003C6197" w:rsidRPr="003C6197" w:rsidRDefault="00584FB6" w:rsidP="004F06EE">
            <w:pPr>
              <w:pStyle w:val="ListParagraph"/>
              <w:tabs>
                <w:tab w:val="left" w:pos="138"/>
                <w:tab w:val="left" w:pos="280"/>
              </w:tabs>
              <w:spacing w:after="0"/>
              <w:ind w:left="-3" w:right="-108"/>
              <w:jc w:val="center"/>
              <w:rPr>
                <w:rFonts w:asciiTheme="majorHAnsi" w:hAnsiTheme="majorHAnsi" w:cstheme="majorHAnsi"/>
                <w:b/>
                <w:color w:val="000000"/>
                <w:sz w:val="24"/>
                <w:szCs w:val="24"/>
              </w:rPr>
            </w:pPr>
            <w:r>
              <w:rPr>
                <w:rFonts w:asciiTheme="majorHAnsi" w:hAnsiTheme="majorHAnsi" w:cstheme="majorHAnsi"/>
                <w:b/>
                <w:color w:val="000000"/>
                <w:sz w:val="24"/>
                <w:szCs w:val="24"/>
              </w:rPr>
              <w:t>v</w:t>
            </w:r>
          </w:p>
        </w:tc>
        <w:tc>
          <w:tcPr>
            <w:tcW w:w="992" w:type="dxa"/>
          </w:tcPr>
          <w:p w:rsidR="003C6197" w:rsidRPr="003C6197" w:rsidRDefault="003C6197" w:rsidP="004F06EE">
            <w:pPr>
              <w:spacing w:after="0"/>
              <w:ind w:right="-108"/>
              <w:jc w:val="center"/>
              <w:rPr>
                <w:rFonts w:asciiTheme="majorHAnsi" w:hAnsiTheme="majorHAnsi" w:cstheme="majorHAnsi"/>
                <w:b/>
                <w:color w:val="000000"/>
                <w:sz w:val="24"/>
                <w:szCs w:val="24"/>
              </w:rPr>
            </w:pPr>
          </w:p>
        </w:tc>
        <w:tc>
          <w:tcPr>
            <w:tcW w:w="993" w:type="dxa"/>
          </w:tcPr>
          <w:p w:rsidR="003C6197" w:rsidRPr="003C6197" w:rsidRDefault="003C6197" w:rsidP="004F06EE">
            <w:pPr>
              <w:pStyle w:val="ListParagraph"/>
              <w:tabs>
                <w:tab w:val="left" w:pos="138"/>
                <w:tab w:val="left" w:pos="280"/>
              </w:tabs>
              <w:spacing w:after="0"/>
              <w:ind w:left="-3" w:right="-108"/>
              <w:jc w:val="center"/>
              <w:rPr>
                <w:rFonts w:asciiTheme="majorHAnsi" w:hAnsiTheme="majorHAnsi" w:cstheme="majorHAnsi"/>
                <w:b/>
                <w:color w:val="000000"/>
                <w:sz w:val="24"/>
                <w:szCs w:val="24"/>
              </w:rPr>
            </w:pPr>
          </w:p>
        </w:tc>
      </w:tr>
      <w:tr w:rsidR="003C6197" w:rsidRPr="003C6197" w:rsidTr="00491562">
        <w:trPr>
          <w:trHeight w:val="1091"/>
        </w:trPr>
        <w:tc>
          <w:tcPr>
            <w:tcW w:w="4820" w:type="dxa"/>
          </w:tcPr>
          <w:p w:rsidR="003C6197" w:rsidRPr="003C6197" w:rsidRDefault="003C6197" w:rsidP="003C6197">
            <w:pPr>
              <w:spacing w:line="240" w:lineRule="auto"/>
              <w:jc w:val="both"/>
              <w:rPr>
                <w:rFonts w:asciiTheme="majorHAnsi" w:hAnsiTheme="majorHAnsi" w:cstheme="majorHAnsi"/>
                <w:b/>
                <w:sz w:val="24"/>
                <w:szCs w:val="24"/>
                <w:lang w:val="ro-MD"/>
              </w:rPr>
            </w:pPr>
            <w:r w:rsidRPr="003C6197">
              <w:rPr>
                <w:rFonts w:asciiTheme="majorHAnsi" w:eastAsia="Times New Roman" w:hAnsiTheme="majorHAnsi" w:cstheme="majorHAnsi"/>
                <w:b/>
                <w:i/>
                <w:sz w:val="24"/>
                <w:szCs w:val="24"/>
                <w:lang w:val="ro-MD"/>
              </w:rPr>
              <w:t>Cerința nr. 2.1.2.</w:t>
            </w:r>
            <w:r w:rsidRPr="003C6197">
              <w:rPr>
                <w:rFonts w:asciiTheme="majorHAnsi" w:eastAsia="Times New Roman" w:hAnsiTheme="majorHAnsi" w:cstheme="majorHAnsi"/>
                <w:b/>
                <w:sz w:val="24"/>
                <w:szCs w:val="24"/>
                <w:lang w:val="ro-MD"/>
              </w:rPr>
              <w:t xml:space="preserve"> </w:t>
            </w:r>
            <w:r w:rsidRPr="003C6197">
              <w:rPr>
                <w:rFonts w:asciiTheme="majorHAnsi" w:eastAsia="Times New Roman" w:hAnsiTheme="majorHAnsi" w:cstheme="majorHAnsi"/>
                <w:sz w:val="24"/>
                <w:szCs w:val="24"/>
                <w:lang w:val="ro-MD"/>
              </w:rPr>
              <w:t>Asigurarea funcționalității grupului de lucru pentru investiții capitale, în vederea respectării procesului de includere și monitorizare a obiectelor de investiții capitale.</w:t>
            </w:r>
          </w:p>
        </w:tc>
        <w:tc>
          <w:tcPr>
            <w:tcW w:w="5646" w:type="dxa"/>
          </w:tcPr>
          <w:p w:rsidR="003C6197" w:rsidRPr="00F112F1" w:rsidRDefault="00584FB6" w:rsidP="00F112F1">
            <w:pPr>
              <w:tabs>
                <w:tab w:val="left" w:pos="317"/>
              </w:tabs>
              <w:spacing w:after="0" w:line="240" w:lineRule="auto"/>
              <w:jc w:val="both"/>
              <w:rPr>
                <w:rFonts w:asciiTheme="majorHAnsi" w:eastAsia="Times New Roman" w:hAnsiTheme="majorHAnsi" w:cstheme="majorHAnsi"/>
                <w:sz w:val="24"/>
                <w:szCs w:val="24"/>
                <w:lang w:eastAsia="ru-RU"/>
              </w:rPr>
            </w:pPr>
            <w:r w:rsidRPr="00F112F1">
              <w:rPr>
                <w:rFonts w:asciiTheme="majorHAnsi" w:eastAsia="Times New Roman" w:hAnsiTheme="majorHAnsi" w:cstheme="majorHAnsi"/>
                <w:sz w:val="24"/>
                <w:szCs w:val="24"/>
                <w:lang w:val="ro-MD"/>
              </w:rPr>
              <w:t>La etapa de elaborare a CBTM 2020-2022, conform calendarului bugetar, vor fi întreprinse măsuri în vederea convocării Grupului de lucru pentru investiții capitale.</w:t>
            </w:r>
          </w:p>
        </w:tc>
        <w:tc>
          <w:tcPr>
            <w:tcW w:w="992" w:type="dxa"/>
          </w:tcPr>
          <w:p w:rsidR="003C6197" w:rsidRPr="003C6197" w:rsidRDefault="003C6197" w:rsidP="004F06EE">
            <w:pPr>
              <w:spacing w:after="0"/>
              <w:jc w:val="center"/>
              <w:rPr>
                <w:rFonts w:asciiTheme="majorHAnsi" w:hAnsiTheme="majorHAnsi" w:cstheme="majorHAnsi"/>
                <w:sz w:val="24"/>
                <w:szCs w:val="24"/>
              </w:rPr>
            </w:pPr>
          </w:p>
        </w:tc>
        <w:tc>
          <w:tcPr>
            <w:tcW w:w="992" w:type="dxa"/>
          </w:tcPr>
          <w:p w:rsidR="003C6197" w:rsidRPr="003C6197" w:rsidRDefault="003C6197" w:rsidP="004F06EE">
            <w:pPr>
              <w:pStyle w:val="ListParagraph"/>
              <w:tabs>
                <w:tab w:val="left" w:pos="138"/>
                <w:tab w:val="left" w:pos="280"/>
              </w:tabs>
              <w:spacing w:after="0"/>
              <w:ind w:left="-3" w:right="-108"/>
              <w:jc w:val="center"/>
              <w:rPr>
                <w:rFonts w:asciiTheme="majorHAnsi" w:hAnsiTheme="majorHAnsi" w:cstheme="majorHAnsi"/>
                <w:b/>
                <w:color w:val="000000"/>
                <w:sz w:val="24"/>
                <w:szCs w:val="24"/>
              </w:rPr>
            </w:pPr>
          </w:p>
        </w:tc>
        <w:tc>
          <w:tcPr>
            <w:tcW w:w="993" w:type="dxa"/>
          </w:tcPr>
          <w:p w:rsidR="003C6197" w:rsidRPr="002D3EE9" w:rsidRDefault="00364452" w:rsidP="004F06EE">
            <w:pPr>
              <w:spacing w:after="0"/>
              <w:ind w:right="-104"/>
              <w:jc w:val="center"/>
              <w:rPr>
                <w:rFonts w:asciiTheme="majorHAnsi" w:hAnsiTheme="majorHAnsi" w:cstheme="majorHAnsi"/>
                <w:b/>
                <w:sz w:val="24"/>
                <w:szCs w:val="24"/>
              </w:rPr>
            </w:pPr>
            <w:r w:rsidRPr="002D3EE9">
              <w:rPr>
                <w:rFonts w:asciiTheme="majorHAnsi" w:hAnsiTheme="majorHAnsi" w:cstheme="majorHAnsi"/>
                <w:b/>
                <w:sz w:val="24"/>
                <w:szCs w:val="24"/>
              </w:rPr>
              <w:t>V</w:t>
            </w:r>
          </w:p>
        </w:tc>
      </w:tr>
      <w:tr w:rsidR="003C6197" w:rsidRPr="003C6197" w:rsidTr="00491562">
        <w:trPr>
          <w:trHeight w:val="305"/>
        </w:trPr>
        <w:tc>
          <w:tcPr>
            <w:tcW w:w="4820" w:type="dxa"/>
          </w:tcPr>
          <w:p w:rsidR="003C6197" w:rsidRPr="003C6197" w:rsidRDefault="003C6197" w:rsidP="003C6197">
            <w:pPr>
              <w:spacing w:line="240" w:lineRule="auto"/>
              <w:ind w:right="108"/>
              <w:jc w:val="both"/>
              <w:rPr>
                <w:rFonts w:asciiTheme="majorHAnsi" w:hAnsiTheme="majorHAnsi" w:cstheme="majorHAnsi"/>
                <w:sz w:val="24"/>
                <w:szCs w:val="24"/>
                <w:lang w:val="ro-MD"/>
              </w:rPr>
            </w:pPr>
            <w:r w:rsidRPr="003C6197">
              <w:rPr>
                <w:rFonts w:asciiTheme="majorHAnsi" w:eastAsia="Times New Roman" w:hAnsiTheme="majorHAnsi" w:cstheme="majorHAnsi"/>
                <w:b/>
                <w:i/>
                <w:sz w:val="24"/>
                <w:szCs w:val="24"/>
                <w:lang w:val="ro-MD"/>
              </w:rPr>
              <w:t>Cerința nr. 2.1.3.</w:t>
            </w:r>
            <w:r w:rsidRPr="003C6197">
              <w:rPr>
                <w:rFonts w:asciiTheme="majorHAnsi" w:eastAsia="Times New Roman" w:hAnsiTheme="majorHAnsi" w:cstheme="majorHAnsi"/>
                <w:b/>
                <w:sz w:val="24"/>
                <w:szCs w:val="24"/>
                <w:lang w:val="ro-MD"/>
              </w:rPr>
              <w:t xml:space="preserve"> </w:t>
            </w:r>
            <w:r w:rsidRPr="003C6197">
              <w:rPr>
                <w:rFonts w:asciiTheme="majorHAnsi" w:eastAsia="Times New Roman" w:hAnsiTheme="majorHAnsi" w:cstheme="majorHAnsi"/>
                <w:sz w:val="24"/>
                <w:szCs w:val="24"/>
                <w:lang w:val="ro-MD"/>
              </w:rPr>
              <w:t>Luarea de atitudine față de autoritățile/instituțiile bugetare care nu respectă calendarul bugetar, prin prezentarea rapoartelor financiare în modul și termenele stabilite.</w:t>
            </w:r>
          </w:p>
        </w:tc>
        <w:tc>
          <w:tcPr>
            <w:tcW w:w="5646" w:type="dxa"/>
          </w:tcPr>
          <w:p w:rsidR="003C6197" w:rsidRPr="00F112F1" w:rsidRDefault="00584FB6" w:rsidP="00F112F1">
            <w:pPr>
              <w:spacing w:after="0" w:line="240" w:lineRule="auto"/>
              <w:jc w:val="both"/>
              <w:rPr>
                <w:rFonts w:asciiTheme="majorHAnsi" w:hAnsiTheme="majorHAnsi" w:cstheme="majorHAnsi"/>
                <w:sz w:val="24"/>
                <w:szCs w:val="24"/>
              </w:rPr>
            </w:pPr>
            <w:r w:rsidRPr="00F112F1">
              <w:rPr>
                <w:rFonts w:asciiTheme="majorHAnsi" w:eastAsia="Times New Roman" w:hAnsiTheme="majorHAnsi" w:cstheme="majorHAnsi"/>
                <w:sz w:val="24"/>
                <w:szCs w:val="24"/>
                <w:lang w:val="ro-MD"/>
              </w:rPr>
              <w:t xml:space="preserve">Mecanismul de aplicare a măsurilor restrictive cu caracter temporar în procesul de finanțare de la bugetul de stat a autorităților/instituțiilor bugetare și alți beneficiari de mijloace bugetare a fost elaborat și aprobat prin </w:t>
            </w:r>
            <w:r w:rsidRPr="00F112F1">
              <w:rPr>
                <w:rFonts w:asciiTheme="majorHAnsi" w:eastAsia="Times New Roman" w:hAnsiTheme="majorHAnsi" w:cstheme="majorHAnsi"/>
                <w:b/>
                <w:sz w:val="24"/>
                <w:szCs w:val="24"/>
                <w:lang w:val="ro-MD"/>
              </w:rPr>
              <w:t>Ordinul ministrului finanțelor nr.215 din 28 decembrie 2018</w:t>
            </w:r>
            <w:r w:rsidR="0025512A">
              <w:rPr>
                <w:rFonts w:asciiTheme="majorHAnsi" w:eastAsia="Times New Roman" w:hAnsiTheme="majorHAnsi" w:cstheme="majorHAnsi"/>
                <w:sz w:val="24"/>
                <w:szCs w:val="24"/>
                <w:lang w:val="ro-MD"/>
              </w:rPr>
              <w:t>.</w:t>
            </w:r>
          </w:p>
        </w:tc>
        <w:tc>
          <w:tcPr>
            <w:tcW w:w="992" w:type="dxa"/>
          </w:tcPr>
          <w:p w:rsidR="003C6197" w:rsidRPr="003C6197" w:rsidRDefault="00584FB6" w:rsidP="004F06EE">
            <w:pPr>
              <w:tabs>
                <w:tab w:val="left" w:pos="0"/>
                <w:tab w:val="left" w:pos="138"/>
              </w:tabs>
              <w:spacing w:after="0"/>
              <w:ind w:left="38" w:right="-108" w:hanging="38"/>
              <w:jc w:val="center"/>
              <w:rPr>
                <w:rFonts w:asciiTheme="majorHAnsi" w:hAnsiTheme="majorHAnsi" w:cstheme="majorHAnsi"/>
                <w:b/>
                <w:color w:val="000000"/>
                <w:sz w:val="24"/>
                <w:szCs w:val="24"/>
              </w:rPr>
            </w:pPr>
            <w:r>
              <w:rPr>
                <w:rFonts w:asciiTheme="majorHAnsi" w:hAnsiTheme="majorHAnsi" w:cstheme="majorHAnsi"/>
                <w:b/>
                <w:color w:val="000000"/>
                <w:sz w:val="24"/>
                <w:szCs w:val="24"/>
              </w:rPr>
              <w:t>v</w:t>
            </w:r>
          </w:p>
        </w:tc>
        <w:tc>
          <w:tcPr>
            <w:tcW w:w="992" w:type="dxa"/>
          </w:tcPr>
          <w:p w:rsidR="003C6197" w:rsidRPr="003C6197" w:rsidRDefault="003C6197" w:rsidP="004F06EE">
            <w:pPr>
              <w:spacing w:after="0"/>
              <w:jc w:val="center"/>
              <w:rPr>
                <w:rFonts w:asciiTheme="majorHAnsi" w:hAnsiTheme="majorHAnsi" w:cstheme="majorHAnsi"/>
                <w:b/>
                <w:sz w:val="24"/>
                <w:szCs w:val="24"/>
              </w:rPr>
            </w:pPr>
          </w:p>
        </w:tc>
        <w:tc>
          <w:tcPr>
            <w:tcW w:w="993" w:type="dxa"/>
          </w:tcPr>
          <w:p w:rsidR="003C6197" w:rsidRPr="003C6197" w:rsidRDefault="003C6197" w:rsidP="004F06EE">
            <w:pPr>
              <w:spacing w:after="0"/>
              <w:jc w:val="center"/>
              <w:rPr>
                <w:rFonts w:asciiTheme="majorHAnsi" w:hAnsiTheme="majorHAnsi" w:cstheme="majorHAnsi"/>
                <w:b/>
                <w:sz w:val="24"/>
                <w:szCs w:val="24"/>
              </w:rPr>
            </w:pPr>
          </w:p>
        </w:tc>
      </w:tr>
      <w:tr w:rsidR="003C6197" w:rsidRPr="00FE6074" w:rsidTr="00491562">
        <w:trPr>
          <w:trHeight w:val="1835"/>
        </w:trPr>
        <w:tc>
          <w:tcPr>
            <w:tcW w:w="4820" w:type="dxa"/>
          </w:tcPr>
          <w:p w:rsidR="003C6197" w:rsidRPr="003C6197" w:rsidRDefault="000102E6" w:rsidP="007867DD">
            <w:pPr>
              <w:spacing w:line="240" w:lineRule="auto"/>
              <w:jc w:val="both"/>
              <w:rPr>
                <w:rFonts w:asciiTheme="majorHAnsi" w:hAnsiTheme="majorHAnsi" w:cstheme="majorHAnsi"/>
                <w:b/>
                <w:sz w:val="24"/>
                <w:szCs w:val="24"/>
                <w:lang w:val="ro-MD"/>
              </w:rPr>
            </w:pPr>
            <w:r w:rsidRPr="000628F9">
              <w:rPr>
                <w:rFonts w:asciiTheme="majorHAnsi" w:eastAsia="Times New Roman" w:hAnsiTheme="majorHAnsi" w:cstheme="majorHAnsi"/>
                <w:b/>
                <w:i/>
                <w:sz w:val="24"/>
                <w:szCs w:val="24"/>
                <w:lang w:val="ro-MD"/>
              </w:rPr>
              <w:t>Recomandarea nr.1</w:t>
            </w:r>
            <w:r w:rsidR="003C6197" w:rsidRPr="000628F9">
              <w:rPr>
                <w:rFonts w:asciiTheme="majorHAnsi" w:eastAsia="Times New Roman" w:hAnsiTheme="majorHAnsi" w:cstheme="majorHAnsi"/>
                <w:sz w:val="24"/>
                <w:szCs w:val="24"/>
                <w:lang w:val="ro-MD"/>
              </w:rPr>
              <w:t xml:space="preserve"> Să</w:t>
            </w:r>
            <w:r w:rsidR="003C6197" w:rsidRPr="003C6197">
              <w:rPr>
                <w:rFonts w:asciiTheme="majorHAnsi" w:eastAsia="Times New Roman" w:hAnsiTheme="majorHAnsi" w:cstheme="majorHAnsi"/>
                <w:sz w:val="24"/>
                <w:szCs w:val="24"/>
                <w:lang w:val="ro-MD"/>
              </w:rPr>
              <w:t xml:space="preserve"> asigure efectuarea verificărilor reciproce în aspectul tipurilor de venituri administrate de Serviciul Fiscal de Stat, inclusiv</w:t>
            </w:r>
            <w:r w:rsidR="007867DD">
              <w:rPr>
                <w:rFonts w:asciiTheme="majorHAnsi" w:eastAsia="Times New Roman" w:hAnsiTheme="majorHAnsi" w:cstheme="majorHAnsi"/>
                <w:sz w:val="24"/>
                <w:szCs w:val="24"/>
                <w:lang w:val="ro-MD"/>
              </w:rPr>
              <w:t xml:space="preserve"> „</w:t>
            </w:r>
            <w:r w:rsidR="003C6197" w:rsidRPr="003C6197">
              <w:rPr>
                <w:rFonts w:asciiTheme="majorHAnsi" w:eastAsia="Times New Roman" w:hAnsiTheme="majorHAnsi" w:cstheme="majorHAnsi"/>
                <w:sz w:val="24"/>
                <w:szCs w:val="24"/>
                <w:lang w:val="ro-MD"/>
              </w:rPr>
              <w:t>Plata obligatorie a producătorilor de produse vitivinicole” (cod</w:t>
            </w:r>
            <w:r w:rsidR="007867DD">
              <w:rPr>
                <w:rFonts w:asciiTheme="majorHAnsi" w:eastAsia="Times New Roman" w:hAnsiTheme="majorHAnsi" w:cstheme="majorHAnsi"/>
                <w:sz w:val="24"/>
                <w:szCs w:val="24"/>
                <w:lang w:val="ro-MD"/>
              </w:rPr>
              <w:t xml:space="preserve"> </w:t>
            </w:r>
            <w:r w:rsidR="003C6197" w:rsidRPr="003C6197">
              <w:rPr>
                <w:rFonts w:asciiTheme="majorHAnsi" w:eastAsia="Times New Roman" w:hAnsiTheme="majorHAnsi" w:cstheme="majorHAnsi"/>
                <w:sz w:val="24"/>
                <w:szCs w:val="24"/>
                <w:lang w:val="ro-MD"/>
              </w:rPr>
              <w:t>114640).</w:t>
            </w:r>
          </w:p>
        </w:tc>
        <w:tc>
          <w:tcPr>
            <w:tcW w:w="5646" w:type="dxa"/>
          </w:tcPr>
          <w:p w:rsidR="003C6197" w:rsidRPr="00FE6074" w:rsidRDefault="005C58CE" w:rsidP="00FE6074">
            <w:pPr>
              <w:pStyle w:val="ListParagraph"/>
              <w:tabs>
                <w:tab w:val="left" w:pos="317"/>
              </w:tabs>
              <w:spacing w:after="0" w:line="240" w:lineRule="auto"/>
              <w:ind w:left="34"/>
              <w:jc w:val="both"/>
              <w:rPr>
                <w:rFonts w:asciiTheme="majorHAnsi" w:eastAsia="Times New Roman" w:hAnsiTheme="majorHAnsi" w:cstheme="majorHAnsi"/>
                <w:sz w:val="24"/>
                <w:szCs w:val="24"/>
                <w:lang w:eastAsia="ru-RU"/>
              </w:rPr>
            </w:pPr>
            <w:r w:rsidRPr="00FE6074">
              <w:rPr>
                <w:rFonts w:asciiTheme="majorHAnsi" w:eastAsia="Times New Roman" w:hAnsiTheme="majorHAnsi" w:cstheme="majorHAnsi"/>
                <w:sz w:val="24"/>
                <w:szCs w:val="24"/>
                <w:lang w:val="ro-MD"/>
              </w:rPr>
              <w:t>Începând cu anul 2019, Direcția Trezoreria de Stat va transmite Serviciului Fiscal de Stat informația privind Plata obligatorie a producătorilor de produse vitivinicole (cod</w:t>
            </w:r>
            <w:r w:rsidR="007867DD">
              <w:rPr>
                <w:rFonts w:asciiTheme="majorHAnsi" w:eastAsia="Times New Roman" w:hAnsiTheme="majorHAnsi" w:cstheme="majorHAnsi"/>
                <w:sz w:val="24"/>
                <w:szCs w:val="24"/>
                <w:lang w:val="ro-MD"/>
              </w:rPr>
              <w:t xml:space="preserve"> </w:t>
            </w:r>
            <w:r w:rsidRPr="00FE6074">
              <w:rPr>
                <w:rFonts w:asciiTheme="majorHAnsi" w:eastAsia="Times New Roman" w:hAnsiTheme="majorHAnsi" w:cstheme="majorHAnsi"/>
                <w:sz w:val="24"/>
                <w:szCs w:val="24"/>
                <w:lang w:val="ro-MD"/>
              </w:rPr>
              <w:t>114640).</w:t>
            </w:r>
          </w:p>
        </w:tc>
        <w:tc>
          <w:tcPr>
            <w:tcW w:w="992" w:type="dxa"/>
          </w:tcPr>
          <w:p w:rsidR="003C6197" w:rsidRPr="00FE6074" w:rsidRDefault="003C6197" w:rsidP="0009398C">
            <w:pPr>
              <w:spacing w:after="0" w:line="240" w:lineRule="auto"/>
              <w:jc w:val="center"/>
              <w:rPr>
                <w:rFonts w:asciiTheme="majorHAnsi" w:hAnsiTheme="majorHAnsi" w:cstheme="majorHAnsi"/>
                <w:sz w:val="24"/>
                <w:szCs w:val="24"/>
              </w:rPr>
            </w:pPr>
          </w:p>
        </w:tc>
        <w:tc>
          <w:tcPr>
            <w:tcW w:w="992" w:type="dxa"/>
          </w:tcPr>
          <w:p w:rsidR="003C6197" w:rsidRPr="00FE6074" w:rsidRDefault="0009398C" w:rsidP="0009398C">
            <w:pPr>
              <w:pStyle w:val="ListParagraph"/>
              <w:tabs>
                <w:tab w:val="left" w:pos="138"/>
                <w:tab w:val="left" w:pos="280"/>
              </w:tabs>
              <w:spacing w:after="0"/>
              <w:ind w:left="-3" w:right="-108"/>
              <w:jc w:val="center"/>
              <w:rPr>
                <w:rFonts w:asciiTheme="majorHAnsi" w:hAnsiTheme="majorHAnsi" w:cstheme="majorHAnsi"/>
                <w:b/>
                <w:color w:val="000000"/>
                <w:sz w:val="24"/>
                <w:szCs w:val="24"/>
              </w:rPr>
            </w:pPr>
            <w:r>
              <w:rPr>
                <w:rFonts w:asciiTheme="majorHAnsi" w:hAnsiTheme="majorHAnsi" w:cstheme="majorHAnsi"/>
                <w:b/>
                <w:color w:val="000000"/>
                <w:sz w:val="24"/>
                <w:szCs w:val="24"/>
              </w:rPr>
              <w:t>v</w:t>
            </w:r>
          </w:p>
        </w:tc>
        <w:tc>
          <w:tcPr>
            <w:tcW w:w="993" w:type="dxa"/>
          </w:tcPr>
          <w:p w:rsidR="003C6197" w:rsidRPr="00FE6074" w:rsidRDefault="003C6197" w:rsidP="0009398C">
            <w:pPr>
              <w:spacing w:after="0"/>
              <w:ind w:right="-104"/>
              <w:jc w:val="center"/>
              <w:rPr>
                <w:rFonts w:asciiTheme="majorHAnsi" w:hAnsiTheme="majorHAnsi" w:cstheme="majorHAnsi"/>
                <w:i/>
                <w:sz w:val="24"/>
                <w:szCs w:val="24"/>
              </w:rPr>
            </w:pPr>
          </w:p>
        </w:tc>
      </w:tr>
      <w:tr w:rsidR="003C6197" w:rsidRPr="00FE6074" w:rsidTr="00491562">
        <w:trPr>
          <w:trHeight w:val="305"/>
        </w:trPr>
        <w:tc>
          <w:tcPr>
            <w:tcW w:w="4820" w:type="dxa"/>
          </w:tcPr>
          <w:p w:rsidR="003C6197" w:rsidRPr="003C6197" w:rsidRDefault="003C6197" w:rsidP="003C6197">
            <w:pPr>
              <w:spacing w:line="240" w:lineRule="auto"/>
              <w:jc w:val="both"/>
              <w:rPr>
                <w:rFonts w:asciiTheme="majorHAnsi" w:hAnsiTheme="majorHAnsi" w:cstheme="majorHAnsi"/>
                <w:b/>
                <w:sz w:val="24"/>
                <w:szCs w:val="24"/>
                <w:lang w:val="ro-MD"/>
              </w:rPr>
            </w:pPr>
            <w:r w:rsidRPr="003C6197">
              <w:rPr>
                <w:rFonts w:asciiTheme="majorHAnsi" w:eastAsia="Times New Roman" w:hAnsiTheme="majorHAnsi" w:cstheme="majorHAnsi"/>
                <w:b/>
                <w:i/>
                <w:sz w:val="24"/>
                <w:szCs w:val="24"/>
                <w:lang w:val="ro-MD"/>
              </w:rPr>
              <w:t xml:space="preserve">Recomandarea </w:t>
            </w:r>
            <w:r w:rsidR="000102E6">
              <w:rPr>
                <w:rFonts w:asciiTheme="majorHAnsi" w:eastAsia="Times New Roman" w:hAnsiTheme="majorHAnsi" w:cstheme="majorHAnsi"/>
                <w:b/>
                <w:i/>
                <w:sz w:val="24"/>
                <w:szCs w:val="24"/>
                <w:lang w:val="ro-MD"/>
              </w:rPr>
              <w:t>nr.2</w:t>
            </w:r>
            <w:r w:rsidRPr="003C6197">
              <w:rPr>
                <w:rFonts w:asciiTheme="majorHAnsi" w:eastAsia="Times New Roman" w:hAnsiTheme="majorHAnsi" w:cstheme="majorHAnsi"/>
                <w:sz w:val="24"/>
                <w:szCs w:val="24"/>
                <w:lang w:val="ro-MD"/>
              </w:rPr>
              <w:t xml:space="preserve"> Să conformeze efectuarea restituirilor TVA la rigorile Codului fiscal, fiind excluse restituirile efectuate persoanelor juridice și fizice secundare.</w:t>
            </w:r>
          </w:p>
        </w:tc>
        <w:tc>
          <w:tcPr>
            <w:tcW w:w="5646" w:type="dxa"/>
          </w:tcPr>
          <w:p w:rsidR="005C58CE" w:rsidRPr="005C58CE" w:rsidRDefault="005C58CE" w:rsidP="0025512A">
            <w:pPr>
              <w:spacing w:after="0" w:line="276" w:lineRule="auto"/>
              <w:ind w:right="108"/>
              <w:jc w:val="both"/>
              <w:rPr>
                <w:rFonts w:asciiTheme="majorHAnsi" w:eastAsia="Calibri" w:hAnsiTheme="majorHAnsi" w:cstheme="majorHAnsi"/>
                <w:color w:val="000000"/>
                <w:sz w:val="24"/>
                <w:szCs w:val="24"/>
                <w:lang w:val="ro-MD"/>
              </w:rPr>
            </w:pPr>
            <w:r w:rsidRPr="005C58CE">
              <w:rPr>
                <w:rFonts w:asciiTheme="majorHAnsi" w:eastAsia="Times New Roman" w:hAnsiTheme="majorHAnsi" w:cstheme="majorHAnsi"/>
                <w:color w:val="000000"/>
                <w:sz w:val="24"/>
                <w:szCs w:val="24"/>
                <w:lang w:val="ro-MD"/>
              </w:rPr>
              <w:t xml:space="preserve">A fost elaborat Proiectul de ordin privind completarea Normelor metodologice privind executarea de casă a bugetelor componente ale bugetului public național și a mijloacelor extrabugetare prin sistemul </w:t>
            </w:r>
            <w:proofErr w:type="spellStart"/>
            <w:r w:rsidRPr="005C58CE">
              <w:rPr>
                <w:rFonts w:asciiTheme="majorHAnsi" w:eastAsia="Times New Roman" w:hAnsiTheme="majorHAnsi" w:cstheme="majorHAnsi"/>
                <w:color w:val="000000"/>
                <w:sz w:val="24"/>
                <w:szCs w:val="24"/>
                <w:lang w:val="ro-MD"/>
              </w:rPr>
              <w:t>trezorerial</w:t>
            </w:r>
            <w:proofErr w:type="spellEnd"/>
            <w:r w:rsidRPr="005C58CE">
              <w:rPr>
                <w:rFonts w:asciiTheme="majorHAnsi" w:eastAsia="Times New Roman" w:hAnsiTheme="majorHAnsi" w:cstheme="majorHAnsi"/>
                <w:color w:val="000000"/>
                <w:sz w:val="24"/>
                <w:szCs w:val="24"/>
                <w:lang w:val="ro-MD"/>
              </w:rPr>
              <w:t xml:space="preserve"> al Ministerului Finanțelor, aproba</w:t>
            </w:r>
            <w:r w:rsidR="0025512A">
              <w:rPr>
                <w:rFonts w:asciiTheme="majorHAnsi" w:eastAsia="Times New Roman" w:hAnsiTheme="majorHAnsi" w:cstheme="majorHAnsi"/>
                <w:color w:val="000000"/>
                <w:sz w:val="24"/>
                <w:szCs w:val="24"/>
                <w:lang w:val="ro-MD"/>
              </w:rPr>
              <w:t>te prin ordinul nr.</w:t>
            </w:r>
            <w:r w:rsidRPr="005C58CE">
              <w:rPr>
                <w:rFonts w:asciiTheme="majorHAnsi" w:eastAsia="Times New Roman" w:hAnsiTheme="majorHAnsi" w:cstheme="majorHAnsi"/>
                <w:color w:val="000000"/>
                <w:sz w:val="24"/>
                <w:szCs w:val="24"/>
                <w:lang w:val="ro-MD"/>
              </w:rPr>
              <w:t xml:space="preserve">215 /2015. </w:t>
            </w:r>
          </w:p>
          <w:p w:rsidR="003C6197" w:rsidRPr="00FE6074" w:rsidRDefault="005C58CE" w:rsidP="0025512A">
            <w:pPr>
              <w:pStyle w:val="ListParagraph"/>
              <w:tabs>
                <w:tab w:val="left" w:pos="317"/>
              </w:tabs>
              <w:spacing w:after="0" w:line="240" w:lineRule="auto"/>
              <w:ind w:left="34"/>
              <w:jc w:val="both"/>
              <w:rPr>
                <w:rFonts w:asciiTheme="majorHAnsi" w:eastAsia="Times New Roman" w:hAnsiTheme="majorHAnsi" w:cstheme="majorHAnsi"/>
                <w:sz w:val="24"/>
                <w:szCs w:val="24"/>
                <w:lang w:eastAsia="ru-RU"/>
              </w:rPr>
            </w:pPr>
            <w:r w:rsidRPr="00FE6074">
              <w:rPr>
                <w:rFonts w:asciiTheme="majorHAnsi" w:eastAsia="Times New Roman" w:hAnsiTheme="majorHAnsi" w:cstheme="majorHAnsi"/>
                <w:color w:val="000000"/>
                <w:sz w:val="24"/>
                <w:szCs w:val="24"/>
                <w:lang w:val="ro-MD"/>
              </w:rPr>
              <w:t>La moment, acest proiect se află în proces de consultare.</w:t>
            </w:r>
          </w:p>
        </w:tc>
        <w:tc>
          <w:tcPr>
            <w:tcW w:w="992" w:type="dxa"/>
          </w:tcPr>
          <w:p w:rsidR="003C6197" w:rsidRPr="00FE6074" w:rsidRDefault="0009398C" w:rsidP="0009398C">
            <w:pPr>
              <w:pStyle w:val="ListParagraph"/>
              <w:tabs>
                <w:tab w:val="left" w:pos="138"/>
                <w:tab w:val="left" w:pos="280"/>
              </w:tabs>
              <w:spacing w:after="0"/>
              <w:ind w:left="-3" w:right="-108"/>
              <w:jc w:val="center"/>
              <w:rPr>
                <w:rFonts w:asciiTheme="majorHAnsi" w:hAnsiTheme="majorHAnsi" w:cstheme="majorHAnsi"/>
                <w:b/>
                <w:color w:val="000000"/>
                <w:sz w:val="24"/>
                <w:szCs w:val="24"/>
              </w:rPr>
            </w:pPr>
            <w:r>
              <w:rPr>
                <w:rFonts w:asciiTheme="majorHAnsi" w:hAnsiTheme="majorHAnsi" w:cstheme="majorHAnsi"/>
                <w:b/>
                <w:color w:val="000000"/>
                <w:sz w:val="24"/>
                <w:szCs w:val="24"/>
              </w:rPr>
              <w:t>v</w:t>
            </w:r>
          </w:p>
        </w:tc>
        <w:tc>
          <w:tcPr>
            <w:tcW w:w="992" w:type="dxa"/>
          </w:tcPr>
          <w:p w:rsidR="003C6197" w:rsidRPr="00FE6074" w:rsidRDefault="003C6197" w:rsidP="0009398C">
            <w:pPr>
              <w:spacing w:after="0"/>
              <w:jc w:val="center"/>
              <w:rPr>
                <w:rFonts w:asciiTheme="majorHAnsi" w:hAnsiTheme="majorHAnsi" w:cstheme="majorHAnsi"/>
                <w:b/>
                <w:sz w:val="24"/>
                <w:szCs w:val="24"/>
              </w:rPr>
            </w:pPr>
          </w:p>
        </w:tc>
        <w:tc>
          <w:tcPr>
            <w:tcW w:w="993" w:type="dxa"/>
          </w:tcPr>
          <w:p w:rsidR="003C6197" w:rsidRPr="00FE6074" w:rsidRDefault="003C6197" w:rsidP="0009398C">
            <w:pPr>
              <w:spacing w:after="0"/>
              <w:jc w:val="center"/>
              <w:rPr>
                <w:rFonts w:asciiTheme="majorHAnsi" w:hAnsiTheme="majorHAnsi" w:cstheme="majorHAnsi"/>
                <w:b/>
                <w:sz w:val="24"/>
                <w:szCs w:val="24"/>
              </w:rPr>
            </w:pPr>
          </w:p>
        </w:tc>
      </w:tr>
      <w:tr w:rsidR="003C6197" w:rsidRPr="00FE6074" w:rsidTr="00491562">
        <w:trPr>
          <w:trHeight w:val="305"/>
        </w:trPr>
        <w:tc>
          <w:tcPr>
            <w:tcW w:w="4820" w:type="dxa"/>
          </w:tcPr>
          <w:p w:rsidR="003C6197" w:rsidRPr="003C6197" w:rsidRDefault="000102E6" w:rsidP="003C6197">
            <w:pPr>
              <w:spacing w:line="240" w:lineRule="auto"/>
              <w:jc w:val="both"/>
              <w:rPr>
                <w:rFonts w:asciiTheme="majorHAnsi" w:hAnsiTheme="majorHAnsi" w:cstheme="majorHAnsi"/>
                <w:b/>
                <w:sz w:val="24"/>
                <w:szCs w:val="24"/>
                <w:lang w:val="ro-MD"/>
              </w:rPr>
            </w:pPr>
            <w:r>
              <w:rPr>
                <w:rFonts w:asciiTheme="majorHAnsi" w:eastAsia="Times New Roman" w:hAnsiTheme="majorHAnsi" w:cstheme="majorHAnsi"/>
                <w:b/>
                <w:i/>
                <w:sz w:val="24"/>
                <w:szCs w:val="24"/>
                <w:lang w:val="ro-MD"/>
              </w:rPr>
              <w:t>Recomandarea nr.3</w:t>
            </w:r>
            <w:r w:rsidR="003C6197" w:rsidRPr="003C6197">
              <w:rPr>
                <w:rFonts w:asciiTheme="majorHAnsi" w:eastAsia="Times New Roman" w:hAnsiTheme="majorHAnsi" w:cstheme="majorHAnsi"/>
                <w:sz w:val="24"/>
                <w:szCs w:val="24"/>
                <w:lang w:val="ro-MD"/>
              </w:rPr>
              <w:t xml:space="preserve"> Să continue realizarea acțiunilor privind consolidarea bazei de venituri locale proprii ale administrațiilor APL, prevăzute în documentele strategice naționale.</w:t>
            </w:r>
          </w:p>
        </w:tc>
        <w:tc>
          <w:tcPr>
            <w:tcW w:w="5646" w:type="dxa"/>
          </w:tcPr>
          <w:p w:rsidR="003C6197" w:rsidRPr="00FE6074" w:rsidRDefault="003C6197" w:rsidP="003C6197">
            <w:pPr>
              <w:spacing w:after="0" w:line="240" w:lineRule="auto"/>
              <w:ind w:firstLine="319"/>
              <w:jc w:val="both"/>
              <w:rPr>
                <w:rFonts w:asciiTheme="majorHAnsi" w:hAnsiTheme="majorHAnsi" w:cstheme="majorHAnsi"/>
                <w:sz w:val="24"/>
                <w:szCs w:val="24"/>
                <w:u w:val="single"/>
              </w:rPr>
            </w:pPr>
          </w:p>
        </w:tc>
        <w:tc>
          <w:tcPr>
            <w:tcW w:w="992" w:type="dxa"/>
          </w:tcPr>
          <w:p w:rsidR="003C6197" w:rsidRPr="002D3EE9" w:rsidRDefault="002D3EE9" w:rsidP="002D3EE9">
            <w:pPr>
              <w:spacing w:after="0" w:line="240" w:lineRule="auto"/>
              <w:jc w:val="center"/>
              <w:rPr>
                <w:rFonts w:asciiTheme="majorHAnsi" w:hAnsiTheme="majorHAnsi" w:cstheme="majorHAnsi"/>
                <w:b/>
                <w:sz w:val="24"/>
                <w:szCs w:val="24"/>
              </w:rPr>
            </w:pPr>
            <w:r w:rsidRPr="002D3EE9">
              <w:rPr>
                <w:rFonts w:asciiTheme="majorHAnsi" w:hAnsiTheme="majorHAnsi" w:cstheme="majorHAnsi"/>
                <w:b/>
                <w:sz w:val="24"/>
                <w:szCs w:val="24"/>
              </w:rPr>
              <w:t>v</w:t>
            </w:r>
          </w:p>
        </w:tc>
        <w:tc>
          <w:tcPr>
            <w:tcW w:w="992" w:type="dxa"/>
          </w:tcPr>
          <w:p w:rsidR="003C6197" w:rsidRPr="00FE6074" w:rsidRDefault="003C6197" w:rsidP="003C6197">
            <w:pPr>
              <w:spacing w:after="0"/>
              <w:ind w:right="-104"/>
              <w:rPr>
                <w:rFonts w:asciiTheme="majorHAnsi" w:hAnsiTheme="majorHAnsi" w:cstheme="majorHAnsi"/>
                <w:b/>
                <w:sz w:val="24"/>
                <w:szCs w:val="24"/>
              </w:rPr>
            </w:pPr>
          </w:p>
        </w:tc>
        <w:tc>
          <w:tcPr>
            <w:tcW w:w="993" w:type="dxa"/>
          </w:tcPr>
          <w:p w:rsidR="003C6197" w:rsidRPr="00FE6074" w:rsidRDefault="003C6197" w:rsidP="003C6197">
            <w:pPr>
              <w:pStyle w:val="ListParagraph"/>
              <w:tabs>
                <w:tab w:val="left" w:pos="138"/>
                <w:tab w:val="left" w:pos="280"/>
              </w:tabs>
              <w:spacing w:after="0"/>
              <w:ind w:left="-3" w:right="-108"/>
              <w:rPr>
                <w:rFonts w:asciiTheme="majorHAnsi" w:hAnsiTheme="majorHAnsi" w:cstheme="majorHAnsi"/>
                <w:b/>
                <w:color w:val="000000"/>
                <w:sz w:val="24"/>
                <w:szCs w:val="24"/>
              </w:rPr>
            </w:pPr>
          </w:p>
        </w:tc>
      </w:tr>
      <w:tr w:rsidR="003C6197" w:rsidRPr="00FE6074" w:rsidTr="00491562">
        <w:trPr>
          <w:trHeight w:val="305"/>
        </w:trPr>
        <w:tc>
          <w:tcPr>
            <w:tcW w:w="4820" w:type="dxa"/>
          </w:tcPr>
          <w:p w:rsidR="003C6197" w:rsidRPr="003C6197" w:rsidRDefault="000102E6" w:rsidP="003C6197">
            <w:pPr>
              <w:spacing w:line="240" w:lineRule="auto"/>
              <w:jc w:val="both"/>
              <w:rPr>
                <w:rFonts w:asciiTheme="majorHAnsi" w:hAnsiTheme="majorHAnsi" w:cstheme="majorHAnsi"/>
                <w:b/>
                <w:sz w:val="24"/>
                <w:szCs w:val="24"/>
                <w:lang w:val="ro-MD"/>
              </w:rPr>
            </w:pPr>
            <w:r>
              <w:rPr>
                <w:rFonts w:asciiTheme="majorHAnsi" w:eastAsia="Times New Roman" w:hAnsiTheme="majorHAnsi" w:cstheme="majorHAnsi"/>
                <w:b/>
                <w:i/>
                <w:sz w:val="24"/>
                <w:szCs w:val="24"/>
                <w:lang w:val="ro-MD"/>
              </w:rPr>
              <w:lastRenderedPageBreak/>
              <w:t>Recomandarea nr.4</w:t>
            </w:r>
            <w:r w:rsidR="003C6197" w:rsidRPr="003C6197">
              <w:rPr>
                <w:rFonts w:asciiTheme="majorHAnsi" w:eastAsia="Times New Roman" w:hAnsiTheme="majorHAnsi" w:cstheme="majorHAnsi"/>
                <w:sz w:val="24"/>
                <w:szCs w:val="24"/>
                <w:lang w:val="ro-MD"/>
              </w:rPr>
              <w:t xml:space="preserve"> Să asigure respectarea principiului transparenței în relațiile dintre bugetul de stat și bugetele locale, prin aplicarea procedurilor de modificare a legilor bugetare anuale pentru încorporarea în acestea a tuturor transferurilor.</w:t>
            </w:r>
          </w:p>
        </w:tc>
        <w:tc>
          <w:tcPr>
            <w:tcW w:w="5646" w:type="dxa"/>
          </w:tcPr>
          <w:p w:rsidR="003C6197" w:rsidRPr="00FE6074" w:rsidRDefault="005C58CE" w:rsidP="007867DD">
            <w:pPr>
              <w:spacing w:after="0" w:line="240" w:lineRule="auto"/>
              <w:jc w:val="both"/>
              <w:rPr>
                <w:rFonts w:asciiTheme="majorHAnsi" w:hAnsiTheme="majorHAnsi" w:cstheme="majorHAnsi"/>
                <w:sz w:val="24"/>
                <w:szCs w:val="24"/>
              </w:rPr>
            </w:pPr>
            <w:r w:rsidRPr="00FE6074">
              <w:rPr>
                <w:rFonts w:asciiTheme="majorHAnsi" w:eastAsia="Times New Roman" w:hAnsiTheme="majorHAnsi" w:cstheme="majorHAnsi"/>
                <w:sz w:val="24"/>
                <w:szCs w:val="24"/>
                <w:lang w:val="ro-MD"/>
              </w:rPr>
              <w:t xml:space="preserve">Măsură realizată prin încorporarea în Anexa nr.7 </w:t>
            </w:r>
            <w:r w:rsidR="007867DD">
              <w:rPr>
                <w:rFonts w:asciiTheme="majorHAnsi" w:eastAsia="Times New Roman" w:hAnsiTheme="majorHAnsi" w:cstheme="majorHAnsi"/>
                <w:sz w:val="24"/>
                <w:szCs w:val="24"/>
                <w:lang w:val="ro-MD"/>
              </w:rPr>
              <w:t>„</w:t>
            </w:r>
            <w:r w:rsidRPr="00FE6074">
              <w:rPr>
                <w:rFonts w:asciiTheme="majorHAnsi" w:eastAsia="Times New Roman" w:hAnsiTheme="majorHAnsi" w:cstheme="majorHAnsi"/>
                <w:sz w:val="24"/>
                <w:szCs w:val="24"/>
                <w:lang w:val="ro-MD"/>
              </w:rPr>
              <w:t>Volumul transferurilor de la bugetul de stat către bugetele locale” la Legea bugetului de stat pentru anul 2019 nr.303 din 30 noiembrie 2018.</w:t>
            </w:r>
          </w:p>
        </w:tc>
        <w:tc>
          <w:tcPr>
            <w:tcW w:w="992" w:type="dxa"/>
          </w:tcPr>
          <w:p w:rsidR="003C6197" w:rsidRPr="002D3EE9" w:rsidRDefault="002D3EE9" w:rsidP="002D3EE9">
            <w:pPr>
              <w:spacing w:after="0" w:line="240" w:lineRule="auto"/>
              <w:jc w:val="center"/>
              <w:rPr>
                <w:rFonts w:asciiTheme="majorHAnsi" w:hAnsiTheme="majorHAnsi" w:cstheme="majorHAnsi"/>
                <w:b/>
                <w:sz w:val="24"/>
                <w:szCs w:val="24"/>
              </w:rPr>
            </w:pPr>
            <w:r w:rsidRPr="002D3EE9">
              <w:rPr>
                <w:rFonts w:asciiTheme="majorHAnsi" w:hAnsiTheme="majorHAnsi" w:cstheme="majorHAnsi"/>
                <w:b/>
                <w:sz w:val="24"/>
                <w:szCs w:val="24"/>
              </w:rPr>
              <w:t>v</w:t>
            </w:r>
          </w:p>
        </w:tc>
        <w:tc>
          <w:tcPr>
            <w:tcW w:w="992" w:type="dxa"/>
          </w:tcPr>
          <w:p w:rsidR="003C6197" w:rsidRPr="00FE6074" w:rsidRDefault="003C6197" w:rsidP="003C6197">
            <w:pPr>
              <w:pStyle w:val="ListParagraph"/>
              <w:tabs>
                <w:tab w:val="left" w:pos="138"/>
                <w:tab w:val="left" w:pos="280"/>
              </w:tabs>
              <w:spacing w:after="0"/>
              <w:ind w:left="-3" w:right="-108"/>
              <w:rPr>
                <w:rFonts w:asciiTheme="majorHAnsi" w:hAnsiTheme="majorHAnsi" w:cstheme="majorHAnsi"/>
                <w:b/>
                <w:color w:val="000000"/>
                <w:sz w:val="24"/>
                <w:szCs w:val="24"/>
              </w:rPr>
            </w:pPr>
          </w:p>
        </w:tc>
        <w:tc>
          <w:tcPr>
            <w:tcW w:w="993" w:type="dxa"/>
          </w:tcPr>
          <w:p w:rsidR="003C6197" w:rsidRPr="00FE6074" w:rsidRDefault="003C6197" w:rsidP="003C6197">
            <w:pPr>
              <w:pStyle w:val="ListParagraph"/>
              <w:tabs>
                <w:tab w:val="left" w:pos="138"/>
                <w:tab w:val="left" w:pos="280"/>
              </w:tabs>
              <w:spacing w:after="0"/>
              <w:ind w:left="-3" w:right="-108"/>
              <w:rPr>
                <w:rFonts w:asciiTheme="majorHAnsi" w:hAnsiTheme="majorHAnsi" w:cstheme="majorHAnsi"/>
                <w:b/>
                <w:color w:val="000000"/>
                <w:sz w:val="24"/>
                <w:szCs w:val="24"/>
              </w:rPr>
            </w:pPr>
          </w:p>
        </w:tc>
      </w:tr>
      <w:tr w:rsidR="003C6197" w:rsidRPr="00FE6074" w:rsidTr="00491562">
        <w:trPr>
          <w:trHeight w:val="305"/>
        </w:trPr>
        <w:tc>
          <w:tcPr>
            <w:tcW w:w="4820" w:type="dxa"/>
            <w:tcBorders>
              <w:top w:val="single" w:sz="4" w:space="0" w:color="000000"/>
              <w:left w:val="single" w:sz="4" w:space="0" w:color="000000"/>
              <w:bottom w:val="single" w:sz="4" w:space="0" w:color="000000"/>
              <w:right w:val="single" w:sz="4" w:space="0" w:color="000000"/>
            </w:tcBorders>
          </w:tcPr>
          <w:p w:rsidR="003C6197" w:rsidRPr="003C6197" w:rsidRDefault="000102E6" w:rsidP="003C6197">
            <w:pPr>
              <w:spacing w:line="240" w:lineRule="auto"/>
              <w:ind w:right="111"/>
              <w:jc w:val="both"/>
              <w:rPr>
                <w:rFonts w:asciiTheme="majorHAnsi" w:hAnsiTheme="majorHAnsi" w:cstheme="majorHAnsi"/>
                <w:sz w:val="24"/>
                <w:szCs w:val="24"/>
                <w:lang w:val="ro-MD"/>
              </w:rPr>
            </w:pPr>
            <w:r>
              <w:rPr>
                <w:rFonts w:asciiTheme="majorHAnsi" w:eastAsia="Times New Roman" w:hAnsiTheme="majorHAnsi" w:cstheme="majorHAnsi"/>
                <w:b/>
                <w:i/>
                <w:sz w:val="24"/>
                <w:szCs w:val="24"/>
                <w:lang w:val="ro-MD"/>
              </w:rPr>
              <w:t>Recomandarea nr.5</w:t>
            </w:r>
            <w:r w:rsidR="003C6197" w:rsidRPr="003C6197">
              <w:rPr>
                <w:rFonts w:asciiTheme="majorHAnsi" w:eastAsia="Times New Roman" w:hAnsiTheme="majorHAnsi" w:cstheme="majorHAnsi"/>
                <w:sz w:val="24"/>
                <w:szCs w:val="24"/>
                <w:lang w:val="ro-MD"/>
              </w:rPr>
              <w:t xml:space="preserve"> Să asigure respectarea prevederilor regulamentare privind procesul de examinare și de confirmare a eligibilității propunerilor de proiecte pentru investiții capitale, respectând principiile de </w:t>
            </w:r>
            <w:proofErr w:type="spellStart"/>
            <w:r w:rsidR="003C6197" w:rsidRPr="003C6197">
              <w:rPr>
                <w:rFonts w:asciiTheme="majorHAnsi" w:eastAsia="Times New Roman" w:hAnsiTheme="majorHAnsi" w:cstheme="majorHAnsi"/>
                <w:sz w:val="24"/>
                <w:szCs w:val="24"/>
                <w:lang w:val="ro-MD"/>
              </w:rPr>
              <w:t>prioritizare</w:t>
            </w:r>
            <w:proofErr w:type="spellEnd"/>
            <w:r w:rsidR="003C6197" w:rsidRPr="003C6197">
              <w:rPr>
                <w:rFonts w:asciiTheme="majorHAnsi" w:eastAsia="Times New Roman" w:hAnsiTheme="majorHAnsi" w:cstheme="majorHAnsi"/>
                <w:sz w:val="24"/>
                <w:szCs w:val="24"/>
                <w:lang w:val="ro-MD"/>
              </w:rPr>
              <w:t xml:space="preserve"> și de conformitate ale acestora cu documentele de planificare strategică națională și sectorială. </w:t>
            </w:r>
          </w:p>
        </w:tc>
        <w:tc>
          <w:tcPr>
            <w:tcW w:w="5646" w:type="dxa"/>
          </w:tcPr>
          <w:p w:rsidR="003C6197" w:rsidRPr="00FE6074" w:rsidRDefault="005C58CE" w:rsidP="00FE6074">
            <w:pPr>
              <w:spacing w:after="0" w:line="240" w:lineRule="auto"/>
              <w:jc w:val="both"/>
              <w:rPr>
                <w:rFonts w:asciiTheme="majorHAnsi" w:hAnsiTheme="majorHAnsi" w:cstheme="majorHAnsi"/>
                <w:sz w:val="24"/>
                <w:szCs w:val="24"/>
              </w:rPr>
            </w:pPr>
            <w:r w:rsidRPr="00FE6074">
              <w:rPr>
                <w:rFonts w:asciiTheme="majorHAnsi" w:eastAsia="Times New Roman" w:hAnsiTheme="majorHAnsi" w:cstheme="majorHAnsi"/>
                <w:sz w:val="24"/>
                <w:szCs w:val="24"/>
                <w:lang w:val="ro-MD"/>
              </w:rPr>
              <w:t>La etapa de elaborare a bugetului de stat pe anul 2020, Grupului de lucru pentru investiții capitale vor fi prezentate spre examinare propunerile de proiecte noi de investiții capitale publice și portofoliul proiectelor în curs de execuție.</w:t>
            </w:r>
          </w:p>
        </w:tc>
        <w:tc>
          <w:tcPr>
            <w:tcW w:w="992" w:type="dxa"/>
          </w:tcPr>
          <w:p w:rsidR="003C6197" w:rsidRPr="00FE6074" w:rsidRDefault="003C6197" w:rsidP="003C6197">
            <w:pPr>
              <w:spacing w:after="0" w:line="240" w:lineRule="auto"/>
              <w:jc w:val="both"/>
              <w:rPr>
                <w:rFonts w:asciiTheme="majorHAnsi" w:hAnsiTheme="majorHAnsi" w:cstheme="majorHAnsi"/>
                <w:sz w:val="24"/>
                <w:szCs w:val="24"/>
                <w:u w:val="single"/>
              </w:rPr>
            </w:pPr>
          </w:p>
        </w:tc>
        <w:tc>
          <w:tcPr>
            <w:tcW w:w="992" w:type="dxa"/>
          </w:tcPr>
          <w:p w:rsidR="003C6197" w:rsidRPr="00FE6074" w:rsidRDefault="003C6197" w:rsidP="003C6197">
            <w:pPr>
              <w:spacing w:after="0"/>
              <w:ind w:right="-104"/>
              <w:rPr>
                <w:rFonts w:asciiTheme="majorHAnsi" w:hAnsiTheme="majorHAnsi" w:cstheme="majorHAnsi"/>
                <w:b/>
                <w:sz w:val="24"/>
                <w:szCs w:val="24"/>
              </w:rPr>
            </w:pPr>
          </w:p>
        </w:tc>
        <w:tc>
          <w:tcPr>
            <w:tcW w:w="993" w:type="dxa"/>
          </w:tcPr>
          <w:p w:rsidR="003C6197" w:rsidRPr="00FE6074" w:rsidRDefault="002D3EE9" w:rsidP="002D3EE9">
            <w:pPr>
              <w:pStyle w:val="ListParagraph"/>
              <w:tabs>
                <w:tab w:val="left" w:pos="138"/>
                <w:tab w:val="left" w:pos="280"/>
              </w:tabs>
              <w:spacing w:after="0"/>
              <w:ind w:left="-3" w:right="-108"/>
              <w:jc w:val="center"/>
              <w:rPr>
                <w:rFonts w:asciiTheme="majorHAnsi" w:hAnsiTheme="majorHAnsi" w:cstheme="majorHAnsi"/>
                <w:b/>
                <w:color w:val="000000"/>
                <w:sz w:val="24"/>
                <w:szCs w:val="24"/>
              </w:rPr>
            </w:pPr>
            <w:r>
              <w:rPr>
                <w:rFonts w:asciiTheme="majorHAnsi" w:hAnsiTheme="majorHAnsi" w:cstheme="majorHAnsi"/>
                <w:b/>
                <w:color w:val="000000"/>
                <w:sz w:val="24"/>
                <w:szCs w:val="24"/>
              </w:rPr>
              <w:t>v</w:t>
            </w:r>
          </w:p>
        </w:tc>
      </w:tr>
      <w:tr w:rsidR="003C6197" w:rsidRPr="00FE6074" w:rsidTr="00491562">
        <w:trPr>
          <w:trHeight w:val="305"/>
        </w:trPr>
        <w:tc>
          <w:tcPr>
            <w:tcW w:w="4820" w:type="dxa"/>
            <w:tcBorders>
              <w:top w:val="single" w:sz="4" w:space="0" w:color="000000"/>
              <w:left w:val="single" w:sz="4" w:space="0" w:color="000000"/>
              <w:bottom w:val="single" w:sz="4" w:space="0" w:color="000000"/>
              <w:right w:val="single" w:sz="4" w:space="0" w:color="000000"/>
            </w:tcBorders>
          </w:tcPr>
          <w:p w:rsidR="003C6197" w:rsidRPr="003C6197" w:rsidRDefault="000102E6" w:rsidP="007867DD">
            <w:pPr>
              <w:spacing w:after="46" w:line="240" w:lineRule="auto"/>
              <w:ind w:right="109"/>
              <w:jc w:val="both"/>
              <w:rPr>
                <w:rFonts w:asciiTheme="majorHAnsi" w:hAnsiTheme="majorHAnsi" w:cstheme="majorHAnsi"/>
                <w:sz w:val="24"/>
                <w:szCs w:val="24"/>
                <w:lang w:val="ro-MD"/>
              </w:rPr>
            </w:pPr>
            <w:r>
              <w:rPr>
                <w:rFonts w:asciiTheme="majorHAnsi" w:eastAsia="Times New Roman" w:hAnsiTheme="majorHAnsi" w:cstheme="majorHAnsi"/>
                <w:b/>
                <w:i/>
                <w:sz w:val="24"/>
                <w:szCs w:val="24"/>
                <w:lang w:val="ro-MD"/>
              </w:rPr>
              <w:t>Recomandarea nr.6</w:t>
            </w:r>
            <w:r w:rsidR="003C6197" w:rsidRPr="003C6197">
              <w:rPr>
                <w:rFonts w:asciiTheme="majorHAnsi" w:eastAsia="Times New Roman" w:hAnsiTheme="majorHAnsi" w:cstheme="majorHAnsi"/>
                <w:sz w:val="24"/>
                <w:szCs w:val="24"/>
                <w:lang w:val="ro-MD"/>
              </w:rPr>
              <w:t xml:space="preserve"> Să asigure includerea și prezentarea în componența și formatul formularelor Raportului anual privind executarea bugetului de stat a informației consolidate aferente rapoartelor financiare ale APC și UAT, în special situațiile patrimoniale reflectate în </w:t>
            </w:r>
            <w:r w:rsidR="007867DD">
              <w:rPr>
                <w:rFonts w:asciiTheme="majorHAnsi" w:eastAsia="Times New Roman" w:hAnsiTheme="majorHAnsi" w:cstheme="majorHAnsi"/>
                <w:sz w:val="24"/>
                <w:szCs w:val="24"/>
                <w:lang w:val="ro-MD"/>
              </w:rPr>
              <w:t>„</w:t>
            </w:r>
            <w:r w:rsidR="00D13A07">
              <w:rPr>
                <w:rFonts w:asciiTheme="majorHAnsi" w:eastAsia="Times New Roman" w:hAnsiTheme="majorHAnsi" w:cstheme="majorHAnsi"/>
                <w:sz w:val="24"/>
                <w:szCs w:val="24"/>
                <w:lang w:val="ro-MD"/>
              </w:rPr>
              <w:t>Bilanțul contabil” (F</w:t>
            </w:r>
            <w:r w:rsidR="003C6197" w:rsidRPr="003C6197">
              <w:rPr>
                <w:rFonts w:asciiTheme="majorHAnsi" w:eastAsia="Times New Roman" w:hAnsiTheme="majorHAnsi" w:cstheme="majorHAnsi"/>
                <w:sz w:val="24"/>
                <w:szCs w:val="24"/>
                <w:lang w:val="ro-MD"/>
              </w:rPr>
              <w:t>orma FD</w:t>
            </w:r>
            <w:r w:rsidR="00D13A07">
              <w:rPr>
                <w:rFonts w:asciiTheme="majorHAnsi" w:eastAsia="Times New Roman" w:hAnsiTheme="majorHAnsi" w:cstheme="majorHAnsi"/>
                <w:sz w:val="24"/>
                <w:szCs w:val="24"/>
                <w:lang w:val="ro-MD"/>
              </w:rPr>
              <w:t>-</w:t>
            </w:r>
            <w:r w:rsidR="003C6197" w:rsidRPr="003C6197">
              <w:rPr>
                <w:rFonts w:asciiTheme="majorHAnsi" w:eastAsia="Times New Roman" w:hAnsiTheme="majorHAnsi" w:cstheme="majorHAnsi"/>
                <w:sz w:val="24"/>
                <w:szCs w:val="24"/>
                <w:lang w:val="ro-MD"/>
              </w:rPr>
              <w:t xml:space="preserve">041). </w:t>
            </w:r>
          </w:p>
        </w:tc>
        <w:tc>
          <w:tcPr>
            <w:tcW w:w="5646" w:type="dxa"/>
          </w:tcPr>
          <w:p w:rsidR="003C6197" w:rsidRPr="00FE6074" w:rsidRDefault="005C58CE" w:rsidP="00FE6074">
            <w:pPr>
              <w:spacing w:after="0" w:line="240" w:lineRule="auto"/>
              <w:jc w:val="both"/>
              <w:rPr>
                <w:rFonts w:asciiTheme="majorHAnsi" w:hAnsiTheme="majorHAnsi" w:cstheme="majorHAnsi"/>
                <w:i/>
                <w:sz w:val="24"/>
                <w:szCs w:val="24"/>
                <w:u w:val="single"/>
              </w:rPr>
            </w:pPr>
            <w:r w:rsidRPr="00FE6074">
              <w:rPr>
                <w:rFonts w:asciiTheme="majorHAnsi" w:eastAsia="Times New Roman" w:hAnsiTheme="majorHAnsi" w:cstheme="majorHAnsi"/>
                <w:sz w:val="24"/>
                <w:szCs w:val="24"/>
                <w:lang w:val="ro-MD"/>
              </w:rPr>
              <w:t>În Raportul anual privind executarea bugetului de stat prezentat la Guvern va fi inclusă informația privind activele autorităților publice centrale (mijloace fixe, stocuri de materiale circulante, producție în curs de execuție, terenuri, acțiuni și alte forme de participare în capital în interiorul țării).</w:t>
            </w:r>
          </w:p>
        </w:tc>
        <w:tc>
          <w:tcPr>
            <w:tcW w:w="992" w:type="dxa"/>
          </w:tcPr>
          <w:p w:rsidR="003C6197" w:rsidRPr="002D3EE9" w:rsidRDefault="002D3EE9" w:rsidP="002D3EE9">
            <w:pPr>
              <w:spacing w:after="0" w:line="240" w:lineRule="auto"/>
              <w:jc w:val="center"/>
              <w:rPr>
                <w:rFonts w:asciiTheme="majorHAnsi" w:hAnsiTheme="majorHAnsi" w:cstheme="majorHAnsi"/>
                <w:b/>
                <w:sz w:val="24"/>
                <w:szCs w:val="24"/>
              </w:rPr>
            </w:pPr>
            <w:r w:rsidRPr="002D3EE9">
              <w:rPr>
                <w:rFonts w:asciiTheme="majorHAnsi" w:hAnsiTheme="majorHAnsi" w:cstheme="majorHAnsi"/>
                <w:b/>
                <w:sz w:val="24"/>
                <w:szCs w:val="24"/>
              </w:rPr>
              <w:t>v</w:t>
            </w:r>
          </w:p>
        </w:tc>
        <w:tc>
          <w:tcPr>
            <w:tcW w:w="992" w:type="dxa"/>
          </w:tcPr>
          <w:p w:rsidR="003C6197" w:rsidRPr="00FE6074" w:rsidRDefault="003C6197" w:rsidP="003C6197">
            <w:pPr>
              <w:tabs>
                <w:tab w:val="left" w:pos="138"/>
                <w:tab w:val="left" w:pos="280"/>
              </w:tabs>
              <w:spacing w:after="0"/>
              <w:ind w:left="360" w:right="-108"/>
              <w:jc w:val="center"/>
              <w:rPr>
                <w:rFonts w:asciiTheme="majorHAnsi" w:hAnsiTheme="majorHAnsi" w:cstheme="majorHAnsi"/>
                <w:b/>
                <w:color w:val="000000"/>
                <w:sz w:val="24"/>
                <w:szCs w:val="24"/>
              </w:rPr>
            </w:pPr>
          </w:p>
        </w:tc>
        <w:tc>
          <w:tcPr>
            <w:tcW w:w="993" w:type="dxa"/>
          </w:tcPr>
          <w:p w:rsidR="003C6197" w:rsidRPr="00FE6074" w:rsidRDefault="003C6197" w:rsidP="003C6197">
            <w:pPr>
              <w:pStyle w:val="ListParagraph"/>
              <w:tabs>
                <w:tab w:val="left" w:pos="138"/>
                <w:tab w:val="left" w:pos="280"/>
              </w:tabs>
              <w:spacing w:after="0"/>
              <w:ind w:left="-3" w:right="-108"/>
              <w:rPr>
                <w:rFonts w:asciiTheme="majorHAnsi" w:hAnsiTheme="majorHAnsi" w:cstheme="majorHAnsi"/>
                <w:b/>
                <w:color w:val="000000"/>
                <w:sz w:val="24"/>
                <w:szCs w:val="24"/>
              </w:rPr>
            </w:pPr>
          </w:p>
        </w:tc>
      </w:tr>
    </w:tbl>
    <w:p w:rsidR="00C72510" w:rsidRPr="00C72510" w:rsidRDefault="00C72510" w:rsidP="00C72510">
      <w:pPr>
        <w:tabs>
          <w:tab w:val="left" w:pos="993"/>
        </w:tabs>
        <w:spacing w:after="0" w:line="276" w:lineRule="auto"/>
        <w:jc w:val="right"/>
        <w:rPr>
          <w:rFonts w:asciiTheme="majorHAnsi" w:hAnsiTheme="majorHAnsi" w:cstheme="majorHAnsi"/>
          <w:b/>
          <w:sz w:val="24"/>
          <w:szCs w:val="24"/>
        </w:rPr>
      </w:pPr>
    </w:p>
    <w:p w:rsidR="00C72510" w:rsidRPr="00C72510" w:rsidRDefault="00C72510" w:rsidP="00C72510">
      <w:pPr>
        <w:tabs>
          <w:tab w:val="left" w:pos="993"/>
        </w:tabs>
        <w:spacing w:after="0" w:line="276" w:lineRule="auto"/>
        <w:jc w:val="right"/>
        <w:rPr>
          <w:rFonts w:asciiTheme="majorHAnsi" w:hAnsiTheme="majorHAnsi" w:cstheme="majorHAnsi"/>
          <w:b/>
          <w:sz w:val="24"/>
          <w:szCs w:val="24"/>
          <w:lang w:val="ro-MD"/>
        </w:rPr>
        <w:sectPr w:rsidR="00C72510" w:rsidRPr="00C72510" w:rsidSect="00AA1F4F">
          <w:footerReference w:type="default" r:id="rId23"/>
          <w:pgSz w:w="15840" w:h="12240" w:orient="landscape"/>
          <w:pgMar w:top="851" w:right="851" w:bottom="851" w:left="1701" w:header="709" w:footer="709" w:gutter="0"/>
          <w:cols w:space="708"/>
          <w:docGrid w:linePitch="360"/>
        </w:sectPr>
      </w:pPr>
    </w:p>
    <w:p w:rsidR="00817AEB" w:rsidRPr="00785290" w:rsidRDefault="00817AEB" w:rsidP="00AA1F4F">
      <w:pPr>
        <w:tabs>
          <w:tab w:val="left" w:pos="720"/>
        </w:tabs>
        <w:spacing w:after="0" w:line="276" w:lineRule="auto"/>
        <w:rPr>
          <w:rFonts w:asciiTheme="majorHAnsi" w:eastAsia="Times New Roman" w:hAnsiTheme="majorHAnsi" w:cstheme="majorHAnsi"/>
          <w:b/>
          <w:bCs/>
          <w:sz w:val="32"/>
          <w:szCs w:val="32"/>
          <w:lang w:val="ro-MD"/>
        </w:rPr>
      </w:pPr>
    </w:p>
    <w:p w:rsidR="00817AEB" w:rsidRPr="00785290" w:rsidRDefault="00817AEB" w:rsidP="00817AEB">
      <w:pPr>
        <w:tabs>
          <w:tab w:val="left" w:pos="720"/>
        </w:tabs>
        <w:spacing w:after="0" w:line="276" w:lineRule="auto"/>
        <w:rPr>
          <w:rFonts w:asciiTheme="majorHAnsi" w:eastAsia="Times New Roman" w:hAnsiTheme="majorHAnsi" w:cstheme="majorHAnsi"/>
          <w:b/>
          <w:bCs/>
          <w:sz w:val="24"/>
          <w:szCs w:val="24"/>
          <w:lang w:val="ro-MD"/>
        </w:rPr>
      </w:pPr>
    </w:p>
    <w:p w:rsidR="00663798" w:rsidRPr="00817AEB" w:rsidRDefault="00663798">
      <w:pPr>
        <w:rPr>
          <w:lang w:val="ro-MD"/>
        </w:rPr>
      </w:pPr>
    </w:p>
    <w:sectPr w:rsidR="00663798" w:rsidRPr="00817AEB" w:rsidSect="003C3317">
      <w:pgSz w:w="15840" w:h="12240"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3B" w:rsidRDefault="00F9173B" w:rsidP="005814EF">
      <w:pPr>
        <w:spacing w:after="0" w:line="240" w:lineRule="auto"/>
      </w:pPr>
      <w:r>
        <w:separator/>
      </w:r>
    </w:p>
  </w:endnote>
  <w:endnote w:type="continuationSeparator" w:id="0">
    <w:p w:rsidR="00F9173B" w:rsidRDefault="00F9173B" w:rsidP="0058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11462"/>
      <w:docPartObj>
        <w:docPartGallery w:val="Page Numbers (Bottom of Page)"/>
        <w:docPartUnique/>
      </w:docPartObj>
    </w:sdtPr>
    <w:sdtEndPr>
      <w:rPr>
        <w:noProof/>
      </w:rPr>
    </w:sdtEndPr>
    <w:sdtContent>
      <w:p w:rsidR="00524FD8" w:rsidRDefault="00524FD8">
        <w:pPr>
          <w:pStyle w:val="Footer"/>
          <w:jc w:val="right"/>
        </w:pPr>
        <w:r>
          <w:fldChar w:fldCharType="begin"/>
        </w:r>
        <w:r>
          <w:instrText xml:space="preserve"> PAGE   \* MERGEFORMAT </w:instrText>
        </w:r>
        <w:r>
          <w:fldChar w:fldCharType="separate"/>
        </w:r>
        <w:r w:rsidR="00957B79">
          <w:rPr>
            <w:noProof/>
          </w:rPr>
          <w:t>44</w:t>
        </w:r>
        <w:r>
          <w:rPr>
            <w:noProof/>
          </w:rPr>
          <w:fldChar w:fldCharType="end"/>
        </w:r>
      </w:p>
    </w:sdtContent>
  </w:sdt>
  <w:p w:rsidR="00524FD8" w:rsidRDefault="00524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79007"/>
      <w:docPartObj>
        <w:docPartGallery w:val="Page Numbers (Bottom of Page)"/>
        <w:docPartUnique/>
      </w:docPartObj>
    </w:sdtPr>
    <w:sdtEndPr>
      <w:rPr>
        <w:noProof/>
      </w:rPr>
    </w:sdtEndPr>
    <w:sdtContent>
      <w:p w:rsidR="00524FD8" w:rsidRDefault="00524FD8">
        <w:pPr>
          <w:pStyle w:val="NormalWeb"/>
          <w:jc w:val="right"/>
        </w:pPr>
        <w:r>
          <w:fldChar w:fldCharType="begin"/>
        </w:r>
        <w:r>
          <w:instrText xml:space="preserve"> PAGE   \* MERGEFORMAT </w:instrText>
        </w:r>
        <w:r>
          <w:fldChar w:fldCharType="separate"/>
        </w:r>
        <w:r w:rsidR="00957B79">
          <w:rPr>
            <w:noProof/>
          </w:rPr>
          <w:t>54</w:t>
        </w:r>
        <w:r>
          <w:rPr>
            <w:noProof/>
          </w:rPr>
          <w:fldChar w:fldCharType="end"/>
        </w:r>
      </w:p>
    </w:sdtContent>
  </w:sdt>
  <w:p w:rsidR="00524FD8" w:rsidRDefault="00524FD8">
    <w:pPr>
      <w:pStyle w:val="NormalWe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3B" w:rsidRDefault="00F9173B" w:rsidP="005814EF">
      <w:pPr>
        <w:spacing w:after="0" w:line="240" w:lineRule="auto"/>
      </w:pPr>
      <w:r>
        <w:separator/>
      </w:r>
    </w:p>
  </w:footnote>
  <w:footnote w:type="continuationSeparator" w:id="0">
    <w:p w:rsidR="00F9173B" w:rsidRDefault="00F9173B" w:rsidP="005814EF">
      <w:pPr>
        <w:spacing w:after="0" w:line="240" w:lineRule="auto"/>
      </w:pPr>
      <w:r>
        <w:continuationSeparator/>
      </w:r>
    </w:p>
  </w:footnote>
  <w:footnote w:id="1">
    <w:p w:rsidR="00524FD8" w:rsidRPr="00222F03" w:rsidRDefault="00524FD8" w:rsidP="00E91BDB">
      <w:pPr>
        <w:pStyle w:val="FootnoteText"/>
        <w:jc w:val="both"/>
        <w:rPr>
          <w:rFonts w:asciiTheme="majorHAnsi" w:hAnsiTheme="majorHAnsi"/>
          <w:sz w:val="16"/>
          <w:szCs w:val="16"/>
          <w:lang w:val="ro-RO"/>
        </w:rPr>
      </w:pPr>
      <w:r w:rsidRPr="00222F03">
        <w:rPr>
          <w:rStyle w:val="FootnoteReference"/>
          <w:rFonts w:asciiTheme="majorHAnsi" w:hAnsiTheme="majorHAnsi"/>
          <w:sz w:val="16"/>
          <w:szCs w:val="16"/>
          <w:lang w:val="ro-RO"/>
        </w:rPr>
        <w:footnoteRef/>
      </w:r>
      <w:r w:rsidRPr="00222F03">
        <w:rPr>
          <w:rFonts w:asciiTheme="majorHAnsi" w:hAnsiTheme="majorHAnsi"/>
          <w:sz w:val="16"/>
          <w:szCs w:val="16"/>
          <w:lang w:val="ro-RO"/>
        </w:rPr>
        <w:t xml:space="preserve"> </w:t>
      </w:r>
      <w:r w:rsidRPr="00524FD8">
        <w:rPr>
          <w:rFonts w:asciiTheme="majorHAnsi" w:hAnsiTheme="majorHAnsi" w:cstheme="majorHAnsi"/>
          <w:sz w:val="16"/>
          <w:szCs w:val="16"/>
          <w:lang w:val="ro-RO"/>
        </w:rPr>
        <w:t>Art.31 din Legea finanțelor publice și responsabilității bugetar-fiscale nr.181 din 25.07.2014</w:t>
      </w:r>
      <w:r w:rsidR="007C4CFA">
        <w:rPr>
          <w:rFonts w:asciiTheme="majorHAnsi" w:hAnsiTheme="majorHAnsi" w:cstheme="majorHAnsi"/>
          <w:sz w:val="16"/>
          <w:szCs w:val="16"/>
          <w:lang w:val="ro-RO"/>
        </w:rPr>
        <w:t xml:space="preserve"> (în continuare – </w:t>
      </w:r>
      <w:r w:rsidR="007C4CFA" w:rsidRPr="00524FD8">
        <w:rPr>
          <w:rFonts w:asciiTheme="majorHAnsi" w:hAnsiTheme="majorHAnsi" w:cstheme="majorHAnsi"/>
          <w:sz w:val="16"/>
          <w:szCs w:val="16"/>
          <w:lang w:val="ro-RO"/>
        </w:rPr>
        <w:t>Legea nr.181 din 25.07.2014</w:t>
      </w:r>
      <w:r w:rsidR="007C4CFA">
        <w:rPr>
          <w:rFonts w:asciiTheme="majorHAnsi" w:hAnsiTheme="majorHAnsi" w:cstheme="majorHAnsi"/>
          <w:sz w:val="16"/>
          <w:szCs w:val="16"/>
          <w:lang w:val="ro-RO"/>
        </w:rPr>
        <w:t>)</w:t>
      </w:r>
      <w:r w:rsidRPr="00524FD8">
        <w:rPr>
          <w:rFonts w:asciiTheme="majorHAnsi" w:hAnsiTheme="majorHAnsi" w:cstheme="majorHAnsi"/>
          <w:sz w:val="16"/>
          <w:szCs w:val="16"/>
          <w:lang w:val="ro-RO"/>
        </w:rPr>
        <w:t>.</w:t>
      </w:r>
    </w:p>
  </w:footnote>
  <w:footnote w:id="2">
    <w:p w:rsidR="00524FD8" w:rsidRPr="00222F03" w:rsidRDefault="00524FD8" w:rsidP="00E91BDB">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222F03">
        <w:rPr>
          <w:rFonts w:asciiTheme="majorHAnsi" w:hAnsiTheme="majorHAnsi" w:cstheme="majorHAnsi"/>
          <w:sz w:val="16"/>
          <w:szCs w:val="16"/>
          <w:lang w:val="ro-RO"/>
        </w:rPr>
        <w:t xml:space="preserve"> </w:t>
      </w:r>
      <w:r w:rsidRPr="00524FD8">
        <w:rPr>
          <w:rFonts w:asciiTheme="majorHAnsi" w:hAnsiTheme="majorHAnsi" w:cstheme="majorHAnsi"/>
          <w:sz w:val="16"/>
          <w:szCs w:val="16"/>
          <w:lang w:val="ro-RO"/>
        </w:rPr>
        <w:t>HCC nr.60 din 11.12.2013 „Cu privire la aplicarea Standardelor Internaționale de Audit ale Instituțiilor Supreme de Audit de nivelul 3 – ISSAI 100, ISSAI 200, ISSAI 300, ISSAI 400 în cadrul misiunilor de audit ale Curții de Conturi”; HCC nr.7 din 10.03.2014 „Cu privire la aplicarea Liniilor Directoare de Audit (ISSAI 1000-9999)”.</w:t>
      </w:r>
    </w:p>
  </w:footnote>
  <w:footnote w:id="3">
    <w:p w:rsidR="00524FD8" w:rsidRPr="00524FD8" w:rsidRDefault="00524FD8" w:rsidP="00E91BDB">
      <w:pPr>
        <w:pStyle w:val="FootnoteText"/>
        <w:jc w:val="both"/>
        <w:rPr>
          <w:rFonts w:asciiTheme="majorHAnsi" w:eastAsia="Calibri" w:hAnsiTheme="majorHAnsi" w:cstheme="majorHAnsi"/>
          <w:sz w:val="16"/>
          <w:szCs w:val="16"/>
          <w:lang w:val="ro-RO"/>
        </w:rPr>
      </w:pPr>
      <w:r w:rsidRPr="00524FD8">
        <w:rPr>
          <w:rStyle w:val="FootnoteReference"/>
          <w:rFonts w:asciiTheme="majorHAnsi" w:eastAsia="Calibri" w:hAnsiTheme="majorHAnsi" w:cstheme="majorHAnsi"/>
          <w:sz w:val="16"/>
          <w:szCs w:val="16"/>
          <w:lang w:val="ro-RO"/>
        </w:rPr>
        <w:footnoteRef/>
      </w:r>
      <w:r w:rsidRPr="00524FD8">
        <w:rPr>
          <w:rFonts w:asciiTheme="majorHAnsi" w:eastAsia="Calibri" w:hAnsiTheme="majorHAnsi" w:cstheme="majorHAnsi"/>
          <w:sz w:val="16"/>
          <w:szCs w:val="16"/>
          <w:lang w:val="ro-RO"/>
        </w:rPr>
        <w:t xml:space="preserve"> HG nr.696 din 30.08.2017 „Cu privire la organizarea și funcționarea Ministerului Finanțelor”.</w:t>
      </w:r>
    </w:p>
  </w:footnote>
  <w:footnote w:id="4">
    <w:p w:rsidR="00524FD8" w:rsidRPr="00524FD8" w:rsidRDefault="00524FD8" w:rsidP="00E91BDB">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222F03">
        <w:rPr>
          <w:rFonts w:asciiTheme="majorHAnsi" w:hAnsiTheme="majorHAnsi" w:cstheme="majorHAnsi"/>
          <w:sz w:val="16"/>
          <w:szCs w:val="16"/>
          <w:lang w:val="ro-RO"/>
        </w:rPr>
        <w:t xml:space="preserve"> </w:t>
      </w:r>
      <w:r w:rsidRPr="00524FD8">
        <w:rPr>
          <w:rFonts w:asciiTheme="majorHAnsi" w:hAnsiTheme="majorHAnsi" w:cstheme="majorHAnsi"/>
          <w:sz w:val="16"/>
          <w:szCs w:val="16"/>
          <w:lang w:val="ro-RO"/>
        </w:rPr>
        <w:t>Art.31 din Legea nr.181 din 25.07.2014.</w:t>
      </w:r>
    </w:p>
  </w:footnote>
  <w:footnote w:id="5">
    <w:p w:rsidR="00524FD8" w:rsidRPr="00524FD8" w:rsidRDefault="00524FD8" w:rsidP="00E91BDB">
      <w:pPr>
        <w:pStyle w:val="FootnoteText"/>
        <w:jc w:val="both"/>
        <w:rPr>
          <w:rFonts w:asciiTheme="majorHAnsi" w:hAnsiTheme="majorHAnsi" w:cs="Times New Roman"/>
          <w:sz w:val="16"/>
          <w:szCs w:val="16"/>
          <w:lang w:val="ro-RO"/>
        </w:rPr>
      </w:pPr>
      <w:r w:rsidRPr="00524FD8">
        <w:rPr>
          <w:rStyle w:val="FootnoteReference"/>
          <w:rFonts w:asciiTheme="majorHAnsi" w:hAnsiTheme="majorHAnsi" w:cstheme="majorHAnsi"/>
          <w:sz w:val="16"/>
          <w:szCs w:val="16"/>
          <w:lang w:val="ro-RO"/>
        </w:rPr>
        <w:footnoteRef/>
      </w:r>
      <w:r w:rsidRPr="00524FD8">
        <w:rPr>
          <w:rFonts w:asciiTheme="majorHAnsi" w:hAnsiTheme="majorHAnsi" w:cstheme="majorHAnsi"/>
          <w:sz w:val="16"/>
          <w:szCs w:val="16"/>
          <w:lang w:val="ro-RO"/>
        </w:rPr>
        <w:t xml:space="preserve"> Art.73 din Legea nr.181 din 25.07.2014.</w:t>
      </w:r>
    </w:p>
  </w:footnote>
  <w:footnote w:id="6">
    <w:p w:rsidR="00524FD8" w:rsidRPr="007B330D" w:rsidRDefault="00524FD8" w:rsidP="00E91BDB">
      <w:pPr>
        <w:pStyle w:val="FootnoteText"/>
        <w:jc w:val="both"/>
        <w:rPr>
          <w:rFonts w:asciiTheme="majorHAnsi" w:hAnsiTheme="majorHAnsi" w:cstheme="majorHAnsi"/>
          <w:sz w:val="16"/>
          <w:szCs w:val="16"/>
          <w:lang w:val="ro-RO"/>
        </w:rPr>
      </w:pPr>
      <w:r w:rsidRPr="00524FD8">
        <w:rPr>
          <w:rStyle w:val="FootnoteReference"/>
          <w:rFonts w:asciiTheme="majorHAnsi" w:hAnsiTheme="majorHAnsi" w:cstheme="majorHAnsi"/>
          <w:sz w:val="16"/>
          <w:szCs w:val="16"/>
          <w:lang w:val="ro-RO"/>
        </w:rPr>
        <w:footnoteRef/>
      </w:r>
      <w:r w:rsidRPr="00524FD8">
        <w:rPr>
          <w:rFonts w:asciiTheme="majorHAnsi" w:hAnsiTheme="majorHAnsi" w:cstheme="majorHAnsi"/>
          <w:sz w:val="16"/>
          <w:szCs w:val="16"/>
          <w:lang w:val="ro-RO"/>
        </w:rPr>
        <w:t xml:space="preserve"> </w:t>
      </w:r>
      <w:r w:rsidRPr="00524FD8">
        <w:rPr>
          <w:rFonts w:asciiTheme="majorHAnsi" w:eastAsia="Calibri" w:hAnsiTheme="majorHAnsi" w:cstheme="majorHAnsi"/>
          <w:sz w:val="16"/>
          <w:szCs w:val="16"/>
          <w:lang w:val="ro-RO"/>
        </w:rPr>
        <w:t xml:space="preserve">Ordinul ministrului finanțelor nr.32 din 19.02.2019 „Cu privire la modificarea Ordinului nr.44 din 12.02.2018 „Cu privire la structura, componența și formatul formularelor la Raportul anual privind executarea bugetului de stat” </w:t>
      </w:r>
      <w:r w:rsidRPr="007B330D">
        <w:rPr>
          <w:rFonts w:asciiTheme="majorHAnsi" w:hAnsiTheme="majorHAnsi" w:cstheme="majorHAnsi"/>
          <w:sz w:val="16"/>
          <w:szCs w:val="16"/>
          <w:lang w:val="ro-RO"/>
        </w:rPr>
        <w:t>(în continuare – Ordinul MF nr.32 din 19.02.2019)</w:t>
      </w:r>
      <w:r w:rsidRPr="007B330D">
        <w:rPr>
          <w:rFonts w:asciiTheme="majorHAnsi" w:eastAsia="Calibri" w:hAnsiTheme="majorHAnsi" w:cstheme="majorHAnsi"/>
          <w:sz w:val="16"/>
          <w:szCs w:val="16"/>
          <w:lang w:val="ro-RO"/>
        </w:rPr>
        <w:t>.</w:t>
      </w:r>
    </w:p>
  </w:footnote>
  <w:footnote w:id="7">
    <w:p w:rsidR="00524FD8" w:rsidRPr="00FB186A" w:rsidRDefault="00524FD8" w:rsidP="00E91BDB">
      <w:pPr>
        <w:pStyle w:val="FootnoteText"/>
        <w:jc w:val="both"/>
        <w:rPr>
          <w:rFonts w:ascii="Times New Roman" w:hAnsi="Times New Roman" w:cs="Times New Roman"/>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Formularul nr.11 „Raportul privind executarea bugetului public național”, aprobat prin Ordinul MF nr.44 din 12.02.2018.</w:t>
      </w:r>
    </w:p>
  </w:footnote>
  <w:footnote w:id="8">
    <w:p w:rsidR="00524FD8" w:rsidRPr="00FB186A" w:rsidRDefault="00524FD8" w:rsidP="00E91BDB">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Art.47 alin.(1) lit. g) din Legea nr.181 din 25.07.2014 și art.32 alin.(3) din Legea privind organizarea și funcționarea Curții de Conturi a Republicii Moldova nr.260 din 07.12.2017.</w:t>
      </w:r>
    </w:p>
  </w:footnote>
  <w:footnote w:id="9">
    <w:p w:rsidR="00524FD8" w:rsidRPr="00FB186A" w:rsidRDefault="00524FD8" w:rsidP="00E91BDB">
      <w:pPr>
        <w:pStyle w:val="FootnoteText"/>
        <w:jc w:val="both"/>
        <w:rPr>
          <w:rFonts w:ascii="Times New Roman" w:hAnsi="Times New Roman" w:cs="Times New Roman"/>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Ordinul MF nr.32 din 19.02.2019.</w:t>
      </w:r>
    </w:p>
  </w:footnote>
  <w:footnote w:id="10">
    <w:p w:rsidR="00524FD8" w:rsidRPr="00FB186A" w:rsidRDefault="00524FD8" w:rsidP="0077598C">
      <w:pPr>
        <w:pStyle w:val="FootnoteText"/>
        <w:jc w:val="both"/>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Legea bugetului de stat pentru anul 2018 nr.289 din 15.12.2017.</w:t>
      </w:r>
    </w:p>
  </w:footnote>
  <w:footnote w:id="11">
    <w:p w:rsidR="00524FD8" w:rsidRPr="00FB186A" w:rsidRDefault="00524FD8" w:rsidP="001B6909">
      <w:pPr>
        <w:pStyle w:val="FootnoteText"/>
        <w:jc w:val="both"/>
        <w:rPr>
          <w:rFonts w:asciiTheme="majorHAnsi" w:hAnsiTheme="majorHAnsi" w:cstheme="majorHAnsi"/>
          <w:sz w:val="16"/>
          <w:szCs w:val="16"/>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w:t>
      </w:r>
      <w:r w:rsidRPr="00FB186A">
        <w:rPr>
          <w:rFonts w:asciiTheme="majorHAnsi" w:eastAsia="Times New Roman" w:hAnsiTheme="majorHAnsi" w:cstheme="majorHAnsi"/>
          <w:sz w:val="16"/>
          <w:szCs w:val="16"/>
          <w:lang w:val="ro-MD"/>
        </w:rPr>
        <w:t>Legea bugetului de stat pe</w:t>
      </w:r>
      <w:r w:rsidR="00196BD6">
        <w:rPr>
          <w:rFonts w:asciiTheme="majorHAnsi" w:eastAsia="Times New Roman" w:hAnsiTheme="majorHAnsi" w:cstheme="majorHAnsi"/>
          <w:sz w:val="16"/>
          <w:szCs w:val="16"/>
          <w:lang w:val="ro-MD"/>
        </w:rPr>
        <w:t>ntru</w:t>
      </w:r>
      <w:r w:rsidRPr="00FB186A">
        <w:rPr>
          <w:rFonts w:asciiTheme="majorHAnsi" w:eastAsia="Times New Roman" w:hAnsiTheme="majorHAnsi" w:cstheme="majorHAnsi"/>
          <w:sz w:val="16"/>
          <w:szCs w:val="16"/>
          <w:lang w:val="ro-MD"/>
        </w:rPr>
        <w:t xml:space="preserve"> anul 2018 nr.289 din 15.12.2017.</w:t>
      </w:r>
    </w:p>
  </w:footnote>
  <w:footnote w:id="12">
    <w:p w:rsidR="00524FD8" w:rsidRPr="00FB186A" w:rsidRDefault="00524FD8" w:rsidP="00B85CB3">
      <w:pPr>
        <w:pStyle w:val="FootnoteText"/>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Art. 16 alin. (1) din Legea nr.181 din 25.07.2014.</w:t>
      </w:r>
    </w:p>
  </w:footnote>
  <w:footnote w:id="13">
    <w:p w:rsidR="00524FD8" w:rsidRPr="00FB186A" w:rsidRDefault="00524FD8" w:rsidP="008F3BA8">
      <w:pPr>
        <w:pStyle w:val="FootnoteText"/>
        <w:jc w:val="both"/>
        <w:rPr>
          <w:rFonts w:asciiTheme="majorHAnsi" w:hAnsiTheme="majorHAnsi" w:cstheme="majorHAnsi"/>
          <w:bCs/>
          <w:sz w:val="16"/>
          <w:szCs w:val="16"/>
          <w:lang w:val="ro-MD"/>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w:t>
      </w:r>
      <w:r w:rsidRPr="00FB186A">
        <w:rPr>
          <w:rFonts w:asciiTheme="majorHAnsi" w:hAnsiTheme="majorHAnsi" w:cstheme="majorHAnsi"/>
          <w:bCs/>
          <w:sz w:val="16"/>
          <w:szCs w:val="16"/>
          <w:lang w:val="ro-MD"/>
        </w:rPr>
        <w:t>Legea nr.101 din 07.06.2018 cu privire la modificarea și completarea Legii bugetului de stat pentru anul 2018 nr.289/2017.</w:t>
      </w:r>
    </w:p>
  </w:footnote>
  <w:footnote w:id="14">
    <w:p w:rsidR="00524FD8" w:rsidRPr="00FB186A" w:rsidRDefault="00524FD8" w:rsidP="00FB186A">
      <w:pPr>
        <w:pStyle w:val="FootnoteText"/>
        <w:jc w:val="both"/>
        <w:rPr>
          <w:sz w:val="16"/>
          <w:szCs w:val="16"/>
          <w:lang w:val="ro-MD"/>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w:t>
      </w:r>
      <w:r w:rsidRPr="00FB186A">
        <w:rPr>
          <w:rFonts w:asciiTheme="majorHAnsi" w:hAnsiTheme="majorHAnsi" w:cstheme="majorHAnsi"/>
          <w:iCs/>
          <w:sz w:val="16"/>
          <w:szCs w:val="16"/>
          <w:lang w:val="ro-MD"/>
        </w:rPr>
        <w:t>Art.63 din Legea nr.181 din 25.07.2014.</w:t>
      </w:r>
    </w:p>
  </w:footnote>
  <w:footnote w:id="15">
    <w:p w:rsidR="00524FD8" w:rsidRPr="00FB186A" w:rsidRDefault="00524FD8" w:rsidP="0018455F">
      <w:pPr>
        <w:pStyle w:val="FootnoteText"/>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FB186A">
        <w:rPr>
          <w:rFonts w:asciiTheme="majorHAnsi" w:hAnsiTheme="majorHAnsi" w:cstheme="majorHAnsi"/>
          <w:sz w:val="16"/>
          <w:szCs w:val="16"/>
          <w:lang w:val="ro-MD"/>
        </w:rPr>
        <w:t>rt.123 alin.</w:t>
      </w:r>
      <w:r>
        <w:rPr>
          <w:rFonts w:asciiTheme="majorHAnsi" w:hAnsiTheme="majorHAnsi" w:cstheme="majorHAnsi"/>
          <w:sz w:val="16"/>
          <w:szCs w:val="16"/>
          <w:lang w:val="ro-MD"/>
        </w:rPr>
        <w:t>(</w:t>
      </w:r>
      <w:r w:rsidRPr="00FB186A">
        <w:rPr>
          <w:rFonts w:asciiTheme="majorHAnsi" w:hAnsiTheme="majorHAnsi" w:cstheme="majorHAnsi"/>
          <w:sz w:val="16"/>
          <w:szCs w:val="16"/>
          <w:lang w:val="ro-MD"/>
        </w:rPr>
        <w:t>10</w:t>
      </w:r>
      <w:r>
        <w:rPr>
          <w:rFonts w:asciiTheme="majorHAnsi" w:hAnsiTheme="majorHAnsi" w:cstheme="majorHAnsi"/>
          <w:sz w:val="16"/>
          <w:szCs w:val="16"/>
          <w:lang w:val="ro-MD"/>
        </w:rPr>
        <w:t>) din</w:t>
      </w:r>
      <w:r w:rsidRPr="00FB186A">
        <w:rPr>
          <w:rFonts w:asciiTheme="majorHAnsi" w:hAnsiTheme="majorHAnsi" w:cstheme="majorHAnsi"/>
          <w:sz w:val="16"/>
          <w:szCs w:val="16"/>
          <w:lang w:val="ro-MD"/>
        </w:rPr>
        <w:t xml:space="preserve"> Codul fiscal</w:t>
      </w:r>
      <w:r>
        <w:rPr>
          <w:rFonts w:asciiTheme="majorHAnsi" w:hAnsiTheme="majorHAnsi" w:cstheme="majorHAnsi"/>
          <w:sz w:val="16"/>
          <w:szCs w:val="16"/>
          <w:lang w:val="ro-MD"/>
        </w:rPr>
        <w:t xml:space="preserve"> </w:t>
      </w:r>
      <w:r w:rsidRPr="00F95E88">
        <w:rPr>
          <w:rFonts w:asciiTheme="majorHAnsi" w:hAnsiTheme="majorHAnsi" w:cstheme="majorHAnsi"/>
          <w:sz w:val="16"/>
          <w:szCs w:val="16"/>
          <w:lang w:val="ro-MD"/>
        </w:rPr>
        <w:t>nr.1163-XIII din 24.04.1997</w:t>
      </w:r>
      <w:r>
        <w:rPr>
          <w:rFonts w:asciiTheme="majorHAnsi" w:hAnsiTheme="majorHAnsi" w:cstheme="majorHAnsi"/>
          <w:sz w:val="16"/>
          <w:szCs w:val="16"/>
          <w:lang w:val="ro-MD"/>
        </w:rPr>
        <w:t xml:space="preserve"> (în continuare – Codul fiscal)</w:t>
      </w:r>
      <w:r w:rsidRPr="00FB186A">
        <w:rPr>
          <w:rFonts w:asciiTheme="majorHAnsi" w:hAnsiTheme="majorHAnsi" w:cstheme="majorHAnsi"/>
          <w:sz w:val="16"/>
          <w:szCs w:val="16"/>
          <w:lang w:val="ro-MD"/>
        </w:rPr>
        <w:t>.</w:t>
      </w:r>
    </w:p>
  </w:footnote>
  <w:footnote w:id="16">
    <w:p w:rsidR="00524FD8" w:rsidRPr="002300CB" w:rsidRDefault="00524FD8" w:rsidP="0018455F">
      <w:pPr>
        <w:pStyle w:val="FootnoteText"/>
        <w:rPr>
          <w:rFonts w:asciiTheme="majorHAnsi" w:hAnsiTheme="majorHAnsi" w:cstheme="majorHAnsi"/>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FB186A">
        <w:rPr>
          <w:rFonts w:asciiTheme="majorHAnsi" w:hAnsiTheme="majorHAnsi" w:cstheme="majorHAnsi"/>
          <w:sz w:val="16"/>
          <w:szCs w:val="16"/>
          <w:lang w:val="ro-MD"/>
        </w:rPr>
        <w:t>rt.90</w:t>
      </w:r>
      <w:r w:rsidRPr="00FB186A">
        <w:rPr>
          <w:rFonts w:asciiTheme="majorHAnsi" w:hAnsiTheme="majorHAnsi" w:cstheme="majorHAnsi"/>
          <w:sz w:val="16"/>
          <w:szCs w:val="16"/>
          <w:vertAlign w:val="superscript"/>
          <w:lang w:val="ro-MD"/>
        </w:rPr>
        <w:t>1</w:t>
      </w:r>
      <w:r w:rsidRPr="00FB186A">
        <w:rPr>
          <w:rFonts w:asciiTheme="majorHAnsi" w:hAnsiTheme="majorHAnsi" w:cstheme="majorHAnsi"/>
          <w:sz w:val="16"/>
          <w:szCs w:val="16"/>
          <w:lang w:val="ro-MD"/>
        </w:rPr>
        <w:t xml:space="preserve"> alin. (3</w:t>
      </w:r>
      <w:r w:rsidRPr="00FB186A">
        <w:rPr>
          <w:rFonts w:asciiTheme="majorHAnsi" w:hAnsiTheme="majorHAnsi" w:cstheme="majorHAnsi"/>
          <w:sz w:val="16"/>
          <w:szCs w:val="16"/>
          <w:vertAlign w:val="superscript"/>
          <w:lang w:val="ro-MD"/>
        </w:rPr>
        <w:t>5</w:t>
      </w:r>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din </w:t>
      </w:r>
      <w:r w:rsidRPr="00FB186A">
        <w:rPr>
          <w:rFonts w:asciiTheme="majorHAnsi" w:hAnsiTheme="majorHAnsi" w:cstheme="majorHAnsi"/>
          <w:sz w:val="16"/>
          <w:szCs w:val="16"/>
          <w:lang w:val="ro-MD"/>
        </w:rPr>
        <w:t>Codul fiscal.</w:t>
      </w:r>
    </w:p>
  </w:footnote>
  <w:footnote w:id="17">
    <w:p w:rsidR="00524FD8" w:rsidRPr="00FB186A" w:rsidRDefault="00524FD8" w:rsidP="0018455F">
      <w:pPr>
        <w:pStyle w:val="FootnoteText"/>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FB186A">
        <w:rPr>
          <w:rFonts w:asciiTheme="majorHAnsi" w:hAnsiTheme="majorHAnsi" w:cstheme="majorHAnsi"/>
          <w:sz w:val="16"/>
          <w:szCs w:val="16"/>
          <w:lang w:val="ro-MD"/>
        </w:rPr>
        <w:t>rt.54</w:t>
      </w:r>
      <w:r w:rsidRPr="00FB186A">
        <w:rPr>
          <w:rFonts w:asciiTheme="majorHAnsi" w:hAnsiTheme="majorHAnsi" w:cstheme="majorHAnsi"/>
          <w:sz w:val="16"/>
          <w:szCs w:val="16"/>
          <w:vertAlign w:val="superscript"/>
          <w:lang w:val="ro-MD"/>
        </w:rPr>
        <w:t>3</w:t>
      </w:r>
      <w:r w:rsidRPr="00FB186A">
        <w:rPr>
          <w:rFonts w:asciiTheme="majorHAnsi" w:hAnsiTheme="majorHAnsi" w:cstheme="majorHAnsi"/>
          <w:sz w:val="16"/>
          <w:szCs w:val="16"/>
          <w:lang w:val="ro-MD"/>
        </w:rPr>
        <w:t xml:space="preserve"> din Codul fiscal.</w:t>
      </w:r>
    </w:p>
  </w:footnote>
  <w:footnote w:id="18">
    <w:p w:rsidR="00524FD8" w:rsidRPr="00FB186A" w:rsidRDefault="00524FD8" w:rsidP="0018455F">
      <w:pPr>
        <w:pStyle w:val="FootnoteText"/>
        <w:rPr>
          <w:rFonts w:asciiTheme="majorHAnsi" w:hAnsiTheme="majorHAnsi" w:cstheme="majorHAnsi"/>
          <w:sz w:val="16"/>
          <w:szCs w:val="16"/>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A</w:t>
      </w:r>
      <w:r w:rsidRPr="00FB186A">
        <w:rPr>
          <w:rFonts w:asciiTheme="majorHAnsi" w:hAnsiTheme="majorHAnsi" w:cstheme="majorHAnsi"/>
          <w:sz w:val="16"/>
          <w:szCs w:val="16"/>
          <w:lang w:val="ro-MD"/>
        </w:rPr>
        <w:t>rt.95 alin.</w:t>
      </w:r>
      <w:r>
        <w:rPr>
          <w:rFonts w:asciiTheme="majorHAnsi" w:hAnsiTheme="majorHAnsi" w:cstheme="majorHAnsi"/>
          <w:sz w:val="16"/>
          <w:szCs w:val="16"/>
          <w:lang w:val="ro-MD"/>
        </w:rPr>
        <w:t>(</w:t>
      </w:r>
      <w:r w:rsidRPr="00FB186A">
        <w:rPr>
          <w:rFonts w:asciiTheme="majorHAnsi" w:hAnsiTheme="majorHAnsi" w:cstheme="majorHAnsi"/>
          <w:sz w:val="16"/>
          <w:szCs w:val="16"/>
          <w:lang w:val="ro-MD"/>
        </w:rPr>
        <w:t xml:space="preserve">2) </w:t>
      </w:r>
      <w:proofErr w:type="spellStart"/>
      <w:r w:rsidRPr="00FB186A">
        <w:rPr>
          <w:rFonts w:asciiTheme="majorHAnsi" w:hAnsiTheme="majorHAnsi" w:cstheme="majorHAnsi"/>
          <w:sz w:val="16"/>
          <w:szCs w:val="16"/>
          <w:lang w:val="ro-MD"/>
        </w:rPr>
        <w:t>lit.c</w:t>
      </w:r>
      <w:proofErr w:type="spellEnd"/>
      <w:r w:rsidRPr="00FB186A">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din </w:t>
      </w:r>
      <w:r w:rsidRPr="00FB186A">
        <w:rPr>
          <w:rFonts w:asciiTheme="majorHAnsi" w:hAnsiTheme="majorHAnsi" w:cstheme="majorHAnsi"/>
          <w:sz w:val="16"/>
          <w:szCs w:val="16"/>
          <w:lang w:val="ro-MD"/>
        </w:rPr>
        <w:t>Codul fiscal.</w:t>
      </w:r>
    </w:p>
  </w:footnote>
  <w:footnote w:id="19">
    <w:p w:rsidR="00524FD8" w:rsidRPr="00FB186A" w:rsidRDefault="00524FD8" w:rsidP="0018455F">
      <w:pPr>
        <w:pStyle w:val="NormalWeb"/>
        <w:spacing w:after="0" w:line="240" w:lineRule="auto"/>
        <w:jc w:val="both"/>
        <w:rPr>
          <w:rFonts w:asciiTheme="majorHAnsi" w:eastAsia="Times New Roman" w:hAnsiTheme="majorHAnsi" w:cstheme="majorHAnsi"/>
          <w:sz w:val="16"/>
          <w:szCs w:val="16"/>
          <w:lang w:val="en-US"/>
        </w:rPr>
      </w:pPr>
      <w:r w:rsidRPr="00FB186A">
        <w:rPr>
          <w:rStyle w:val="FootnoteReference"/>
          <w:rFonts w:asciiTheme="majorHAnsi" w:hAnsiTheme="majorHAnsi" w:cstheme="majorHAnsi"/>
          <w:sz w:val="16"/>
          <w:szCs w:val="16"/>
          <w:lang w:val="ro-MD"/>
        </w:rPr>
        <w:footnoteRef/>
      </w:r>
      <w:r>
        <w:rPr>
          <w:rFonts w:asciiTheme="majorHAnsi" w:eastAsia="Times New Roman" w:hAnsiTheme="majorHAnsi" w:cstheme="majorHAnsi"/>
          <w:sz w:val="16"/>
          <w:szCs w:val="16"/>
          <w:lang w:val="ro-MD"/>
        </w:rPr>
        <w:t xml:space="preserve"> </w:t>
      </w:r>
      <w:r w:rsidRPr="00FB186A">
        <w:rPr>
          <w:rFonts w:asciiTheme="majorHAnsi" w:eastAsia="Times New Roman" w:hAnsiTheme="majorHAnsi" w:cstheme="majorHAnsi"/>
          <w:sz w:val="16"/>
          <w:szCs w:val="16"/>
          <w:lang w:val="ro-MD"/>
        </w:rPr>
        <w:t xml:space="preserve">HG nr.780 din 04.10.2013 </w:t>
      </w:r>
      <w:r>
        <w:rPr>
          <w:rFonts w:asciiTheme="majorHAnsi" w:eastAsia="Times New Roman" w:hAnsiTheme="majorHAnsi" w:cstheme="majorHAnsi"/>
          <w:sz w:val="16"/>
          <w:szCs w:val="16"/>
          <w:lang w:val="ro-MD"/>
        </w:rPr>
        <w:t>„C</w:t>
      </w:r>
      <w:r w:rsidRPr="00FB186A">
        <w:rPr>
          <w:rFonts w:asciiTheme="majorHAnsi" w:eastAsia="Times New Roman" w:hAnsiTheme="majorHAnsi" w:cstheme="majorHAnsi"/>
          <w:sz w:val="16"/>
          <w:szCs w:val="16"/>
          <w:lang w:val="ro-MD"/>
        </w:rPr>
        <w:t xml:space="preserve">u privire la reconfirmarea aprobării concesionării activelor ÎS </w:t>
      </w:r>
      <w:r>
        <w:rPr>
          <w:rFonts w:asciiTheme="majorHAnsi" w:eastAsia="Times New Roman" w:hAnsiTheme="majorHAnsi" w:cstheme="majorHAnsi"/>
          <w:sz w:val="16"/>
          <w:szCs w:val="16"/>
          <w:lang w:val="ro-MD"/>
        </w:rPr>
        <w:t>„</w:t>
      </w:r>
      <w:r w:rsidRPr="00FB186A">
        <w:rPr>
          <w:rFonts w:asciiTheme="majorHAnsi" w:eastAsia="Times New Roman" w:hAnsiTheme="majorHAnsi" w:cstheme="majorHAnsi"/>
          <w:sz w:val="16"/>
          <w:szCs w:val="16"/>
          <w:lang w:val="ro-MD"/>
        </w:rPr>
        <w:t xml:space="preserve">Aeroportul Internațional Chișinău" și a condițiilor concesionării acestora”, </w:t>
      </w:r>
      <w:r w:rsidRPr="00222F03">
        <w:rPr>
          <w:rFonts w:asciiTheme="majorHAnsi" w:eastAsia="Times New Roman" w:hAnsiTheme="majorHAnsi" w:cstheme="majorHAnsi"/>
          <w:sz w:val="16"/>
          <w:szCs w:val="16"/>
          <w:lang w:val="ro-MD"/>
        </w:rPr>
        <w:t>pct.4.1</w:t>
      </w:r>
      <w:r w:rsidRPr="00196BD6">
        <w:rPr>
          <w:rFonts w:asciiTheme="majorHAnsi" w:hAnsiTheme="majorHAnsi" w:cstheme="majorHAnsi"/>
          <w:sz w:val="16"/>
          <w:szCs w:val="16"/>
          <w:lang w:val="ro-MD"/>
        </w:rPr>
        <w:t xml:space="preserve"> „</w:t>
      </w:r>
      <w:r w:rsidRPr="00FB186A">
        <w:rPr>
          <w:rFonts w:asciiTheme="majorHAnsi" w:eastAsia="Times New Roman" w:hAnsiTheme="majorHAnsi" w:cstheme="majorHAnsi"/>
          <w:sz w:val="16"/>
          <w:szCs w:val="16"/>
          <w:lang w:val="ro-MD"/>
        </w:rPr>
        <w:t xml:space="preserve">Redevența concesionării activelor ÎS </w:t>
      </w:r>
      <w:r>
        <w:rPr>
          <w:rFonts w:asciiTheme="majorHAnsi" w:eastAsia="Times New Roman" w:hAnsiTheme="majorHAnsi" w:cstheme="majorHAnsi"/>
          <w:sz w:val="16"/>
          <w:szCs w:val="16"/>
          <w:lang w:val="ro-MD"/>
        </w:rPr>
        <w:t>„</w:t>
      </w:r>
      <w:r w:rsidRPr="00FB186A">
        <w:rPr>
          <w:rFonts w:asciiTheme="majorHAnsi" w:eastAsia="Times New Roman" w:hAnsiTheme="majorHAnsi" w:cstheme="majorHAnsi"/>
          <w:sz w:val="16"/>
          <w:szCs w:val="16"/>
          <w:lang w:val="ro-MD"/>
        </w:rPr>
        <w:t>Aeroportul Internațional Chișinău” și a terenului aferent acesteia se stabilește în mărime de cel puțin 1,0% din veniturile din vânzări</w:t>
      </w:r>
      <w:r>
        <w:rPr>
          <w:rFonts w:asciiTheme="majorHAnsi" w:eastAsia="Times New Roman" w:hAnsiTheme="majorHAnsi" w:cstheme="majorHAnsi"/>
          <w:sz w:val="16"/>
          <w:szCs w:val="16"/>
          <w:lang w:val="ro-MD"/>
        </w:rPr>
        <w:t>le</w:t>
      </w:r>
      <w:r w:rsidRPr="00FB186A">
        <w:rPr>
          <w:rFonts w:asciiTheme="majorHAnsi" w:eastAsia="Times New Roman" w:hAnsiTheme="majorHAnsi" w:cstheme="majorHAnsi"/>
          <w:sz w:val="16"/>
          <w:szCs w:val="16"/>
          <w:lang w:val="ro-MD"/>
        </w:rPr>
        <w:t xml:space="preserve"> realizate din activitatea întreprinderii concesiona</w:t>
      </w:r>
      <w:r>
        <w:rPr>
          <w:rFonts w:asciiTheme="majorHAnsi" w:eastAsia="Times New Roman" w:hAnsiTheme="majorHAnsi" w:cstheme="majorHAnsi"/>
          <w:sz w:val="16"/>
          <w:szCs w:val="16"/>
          <w:lang w:val="ro-MD"/>
        </w:rPr>
        <w:t>t</w:t>
      </w:r>
      <w:r w:rsidRPr="00FB186A">
        <w:rPr>
          <w:rFonts w:asciiTheme="majorHAnsi" w:eastAsia="Times New Roman" w:hAnsiTheme="majorHAnsi" w:cstheme="majorHAnsi"/>
          <w:sz w:val="16"/>
          <w:szCs w:val="16"/>
          <w:lang w:val="ro-MD"/>
        </w:rPr>
        <w:t xml:space="preserve">e, </w:t>
      </w:r>
      <w:r w:rsidRPr="00FB186A">
        <w:rPr>
          <w:rFonts w:asciiTheme="majorHAnsi" w:eastAsia="Times New Roman" w:hAnsiTheme="majorHAnsi" w:cstheme="majorHAnsi"/>
          <w:i/>
          <w:sz w:val="16"/>
          <w:szCs w:val="16"/>
          <w:lang w:val="ro-MD"/>
        </w:rPr>
        <w:t>cu o perioadă de grație de 5 ani</w:t>
      </w:r>
      <w:r w:rsidRPr="00FB186A">
        <w:rPr>
          <w:rFonts w:asciiTheme="majorHAnsi" w:eastAsia="Times New Roman" w:hAnsiTheme="majorHAnsi" w:cstheme="majorHAnsi"/>
          <w:sz w:val="16"/>
          <w:szCs w:val="16"/>
          <w:lang w:val="ro-MD"/>
        </w:rPr>
        <w:t xml:space="preserve"> din data semnării contractului de concesiune și va fi transferată la bugetul de stat”</w:t>
      </w:r>
      <w:r>
        <w:rPr>
          <w:rFonts w:asciiTheme="majorHAnsi" w:eastAsia="Times New Roman" w:hAnsiTheme="majorHAnsi" w:cstheme="majorHAnsi"/>
          <w:sz w:val="16"/>
          <w:szCs w:val="16"/>
          <w:lang w:val="ro-MD"/>
        </w:rPr>
        <w:t>.</w:t>
      </w:r>
    </w:p>
    <w:p w:rsidR="00524FD8" w:rsidRPr="00FB186A" w:rsidRDefault="00524FD8" w:rsidP="00974C12">
      <w:pPr>
        <w:pStyle w:val="NormalWeb"/>
        <w:jc w:val="both"/>
        <w:rPr>
          <w:rFonts w:asciiTheme="majorHAnsi" w:eastAsia="Times New Roman" w:hAnsiTheme="majorHAnsi" w:cstheme="majorHAnsi"/>
          <w:sz w:val="16"/>
          <w:szCs w:val="16"/>
          <w:lang w:val="ro-MD"/>
        </w:rPr>
      </w:pPr>
      <w:r w:rsidRPr="00FB186A">
        <w:rPr>
          <w:rFonts w:asciiTheme="majorHAnsi" w:eastAsia="Times New Roman" w:hAnsiTheme="majorHAnsi" w:cstheme="majorHAnsi"/>
          <w:sz w:val="16"/>
          <w:szCs w:val="16"/>
          <w:lang w:val="ro-MD"/>
        </w:rPr>
        <w:br/>
      </w:r>
    </w:p>
  </w:footnote>
  <w:footnote w:id="20">
    <w:p w:rsidR="00524FD8" w:rsidRPr="002A41DC" w:rsidRDefault="00524FD8" w:rsidP="002A41DC">
      <w:pPr>
        <w:pStyle w:val="FootnoteText"/>
        <w:jc w:val="both"/>
        <w:rPr>
          <w:rFonts w:asciiTheme="majorHAnsi" w:hAnsiTheme="majorHAnsi" w:cstheme="majorHAnsi"/>
          <w:sz w:val="16"/>
          <w:szCs w:val="16"/>
          <w:lang w:val="ro-MD"/>
        </w:rPr>
      </w:pPr>
      <w:r w:rsidRPr="002A41DC">
        <w:rPr>
          <w:rStyle w:val="FootnoteReference"/>
          <w:rFonts w:asciiTheme="majorHAnsi" w:hAnsiTheme="majorHAnsi" w:cstheme="majorHAnsi"/>
          <w:sz w:val="16"/>
          <w:szCs w:val="16"/>
          <w:lang w:val="ro-MD"/>
        </w:rPr>
        <w:footnoteRef/>
      </w:r>
      <w:r w:rsidRPr="002A41DC">
        <w:rPr>
          <w:rFonts w:asciiTheme="majorHAnsi" w:hAnsiTheme="majorHAnsi" w:cstheme="majorHAnsi"/>
          <w:sz w:val="16"/>
          <w:szCs w:val="16"/>
          <w:lang w:val="ro-MD"/>
        </w:rPr>
        <w:t xml:space="preserve"> Art.3 din Legea nr.181 din 25.07.2014.</w:t>
      </w:r>
    </w:p>
  </w:footnote>
  <w:footnote w:id="21">
    <w:p w:rsidR="00524FD8" w:rsidRPr="002A41DC" w:rsidRDefault="00524FD8" w:rsidP="002A41DC">
      <w:pPr>
        <w:spacing w:after="0" w:line="240" w:lineRule="auto"/>
        <w:jc w:val="both"/>
        <w:rPr>
          <w:rFonts w:asciiTheme="majorHAnsi" w:eastAsia="Times New Roman" w:hAnsiTheme="majorHAnsi" w:cstheme="majorHAnsi"/>
          <w:bCs/>
          <w:sz w:val="16"/>
          <w:szCs w:val="16"/>
          <w:lang w:val="ro-MD"/>
        </w:rPr>
      </w:pPr>
      <w:r w:rsidRPr="002A41DC">
        <w:rPr>
          <w:rStyle w:val="FootnoteReference"/>
          <w:rFonts w:asciiTheme="majorHAnsi" w:hAnsiTheme="majorHAnsi" w:cstheme="majorHAnsi"/>
          <w:sz w:val="16"/>
          <w:szCs w:val="16"/>
        </w:rPr>
        <w:footnoteRef/>
      </w:r>
      <w:r w:rsidRPr="002A41DC">
        <w:rPr>
          <w:rFonts w:asciiTheme="majorHAnsi" w:hAnsiTheme="majorHAnsi" w:cstheme="majorHAnsi"/>
          <w:sz w:val="16"/>
          <w:szCs w:val="16"/>
        </w:rPr>
        <w:t xml:space="preserve"> </w:t>
      </w:r>
      <w:r w:rsidRPr="002A41DC">
        <w:rPr>
          <w:rFonts w:asciiTheme="majorHAnsi" w:hAnsiTheme="majorHAnsi" w:cstheme="majorHAnsi"/>
          <w:sz w:val="16"/>
          <w:szCs w:val="16"/>
          <w:lang w:val="ro-MD"/>
        </w:rPr>
        <w:t xml:space="preserve">Ordinul MF nr.158 din 22.12.2017 </w:t>
      </w:r>
      <w:r w:rsidRPr="002A41DC">
        <w:rPr>
          <w:rFonts w:asciiTheme="majorHAnsi" w:eastAsia="Times New Roman" w:hAnsiTheme="majorHAnsi" w:cstheme="majorHAnsi"/>
          <w:bCs/>
          <w:sz w:val="16"/>
          <w:szCs w:val="16"/>
          <w:lang w:val="ro-MD"/>
        </w:rPr>
        <w:t xml:space="preserve">„Cu privire la modul de achitare și evidență a plăților la bugetul public național prin sistemul </w:t>
      </w:r>
      <w:proofErr w:type="spellStart"/>
      <w:r w:rsidRPr="002A41DC">
        <w:rPr>
          <w:rFonts w:asciiTheme="majorHAnsi" w:eastAsia="Times New Roman" w:hAnsiTheme="majorHAnsi" w:cstheme="majorHAnsi"/>
          <w:bCs/>
          <w:sz w:val="16"/>
          <w:szCs w:val="16"/>
          <w:lang w:val="ro-MD"/>
        </w:rPr>
        <w:t>trezorerial</w:t>
      </w:r>
      <w:proofErr w:type="spellEnd"/>
      <w:r w:rsidRPr="002A41DC">
        <w:rPr>
          <w:rFonts w:asciiTheme="majorHAnsi" w:eastAsia="Times New Roman" w:hAnsiTheme="majorHAnsi" w:cstheme="majorHAnsi"/>
          <w:bCs/>
          <w:sz w:val="16"/>
          <w:szCs w:val="16"/>
          <w:lang w:val="ro-MD"/>
        </w:rPr>
        <w:t xml:space="preserve"> al Ministerului Finanțelor în anul 2018”</w:t>
      </w:r>
      <w:r w:rsidRPr="002A41DC">
        <w:rPr>
          <w:rFonts w:asciiTheme="majorHAnsi" w:hAnsiTheme="majorHAnsi" w:cstheme="majorHAnsi"/>
          <w:sz w:val="16"/>
          <w:szCs w:val="16"/>
        </w:rPr>
        <w:t xml:space="preserve"> (Ordin emis anual de MF).</w:t>
      </w:r>
    </w:p>
  </w:footnote>
  <w:footnote w:id="22">
    <w:p w:rsidR="00524FD8" w:rsidRPr="00FB186A" w:rsidRDefault="00524FD8" w:rsidP="002A41DC">
      <w:pPr>
        <w:pStyle w:val="FootnoteText"/>
        <w:jc w:val="both"/>
        <w:rPr>
          <w:rFonts w:asciiTheme="majorHAnsi" w:hAnsiTheme="majorHAnsi" w:cstheme="majorHAnsi"/>
          <w:sz w:val="16"/>
          <w:szCs w:val="16"/>
          <w:lang w:val="ro-RO"/>
        </w:rPr>
      </w:pPr>
      <w:r w:rsidRPr="002A41DC">
        <w:rPr>
          <w:rStyle w:val="FootnoteReference"/>
          <w:rFonts w:asciiTheme="majorHAnsi" w:hAnsiTheme="majorHAnsi" w:cstheme="majorHAnsi"/>
          <w:sz w:val="16"/>
          <w:szCs w:val="16"/>
        </w:rPr>
        <w:footnoteRef/>
      </w:r>
      <w:r w:rsidRPr="002A41DC">
        <w:rPr>
          <w:rFonts w:asciiTheme="majorHAnsi" w:hAnsiTheme="majorHAnsi" w:cstheme="majorHAnsi"/>
          <w:sz w:val="16"/>
          <w:szCs w:val="16"/>
        </w:rPr>
        <w:t xml:space="preserve"> </w:t>
      </w:r>
      <w:r w:rsidRPr="002A41DC">
        <w:rPr>
          <w:rFonts w:asciiTheme="majorHAnsi" w:hAnsiTheme="majorHAnsi" w:cstheme="majorHAnsi"/>
          <w:sz w:val="16"/>
          <w:szCs w:val="16"/>
          <w:lang w:val="ro-RO"/>
        </w:rPr>
        <w:t xml:space="preserve">Pct.3.9.3 din Normele metodologice privind executarea de casă a bugetelor componente ale bugetului public național prin sistemul </w:t>
      </w:r>
      <w:proofErr w:type="spellStart"/>
      <w:r w:rsidRPr="002A41DC">
        <w:rPr>
          <w:rFonts w:asciiTheme="majorHAnsi" w:hAnsiTheme="majorHAnsi" w:cstheme="majorHAnsi"/>
          <w:sz w:val="16"/>
          <w:szCs w:val="16"/>
          <w:lang w:val="ro-RO"/>
        </w:rPr>
        <w:t>trezorerial</w:t>
      </w:r>
      <w:proofErr w:type="spellEnd"/>
      <w:r w:rsidRPr="002A41DC">
        <w:rPr>
          <w:rFonts w:asciiTheme="majorHAnsi" w:hAnsiTheme="majorHAnsi" w:cstheme="majorHAnsi"/>
          <w:sz w:val="16"/>
          <w:szCs w:val="16"/>
          <w:lang w:val="ro-RO"/>
        </w:rPr>
        <w:t xml:space="preserve"> al Ministerului Finanțelor, aprobate prin Ordinul ministrului finanțelor nr.215 din 28.12.2015.</w:t>
      </w:r>
    </w:p>
  </w:footnote>
  <w:footnote w:id="23">
    <w:p w:rsidR="00524FD8" w:rsidRPr="00222F03" w:rsidRDefault="00524FD8" w:rsidP="00CE5B32">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222F03">
        <w:rPr>
          <w:rFonts w:asciiTheme="majorHAnsi" w:hAnsiTheme="majorHAnsi" w:cstheme="majorHAnsi"/>
          <w:sz w:val="16"/>
          <w:szCs w:val="16"/>
          <w:lang w:val="ro-RO"/>
        </w:rPr>
        <w:t xml:space="preserve"> </w:t>
      </w:r>
      <w:r w:rsidRPr="00A67CFC">
        <w:rPr>
          <w:rFonts w:asciiTheme="majorHAnsi" w:hAnsiTheme="majorHAnsi" w:cstheme="majorHAnsi"/>
          <w:bCs/>
          <w:sz w:val="16"/>
          <w:szCs w:val="16"/>
          <w:lang w:val="ro-RO"/>
        </w:rPr>
        <w:t>Art.32</w:t>
      </w:r>
      <w:r w:rsidRPr="00A67CFC">
        <w:rPr>
          <w:rFonts w:asciiTheme="majorHAnsi" w:hAnsiTheme="majorHAnsi" w:cstheme="majorHAnsi"/>
          <w:bCs/>
          <w:sz w:val="16"/>
          <w:szCs w:val="16"/>
          <w:vertAlign w:val="superscript"/>
          <w:lang w:val="ro-RO"/>
        </w:rPr>
        <w:t xml:space="preserve">3 </w:t>
      </w:r>
      <w:r w:rsidRPr="00F33B26">
        <w:rPr>
          <w:rFonts w:asciiTheme="majorHAnsi" w:hAnsiTheme="majorHAnsi" w:cstheme="majorHAnsi"/>
          <w:bCs/>
          <w:sz w:val="16"/>
          <w:szCs w:val="16"/>
          <w:lang w:val="ro-RO"/>
        </w:rPr>
        <w:t>alin. (11) din Legea viei și vinului nr.57-XVI din 10.03.2006.</w:t>
      </w:r>
    </w:p>
  </w:footnote>
  <w:footnote w:id="24">
    <w:p w:rsidR="00524FD8" w:rsidRPr="00222F03" w:rsidRDefault="00524FD8" w:rsidP="00CE5B32">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222F03">
        <w:rPr>
          <w:rFonts w:asciiTheme="majorHAnsi" w:hAnsiTheme="majorHAnsi" w:cstheme="majorHAnsi"/>
          <w:sz w:val="16"/>
          <w:szCs w:val="16"/>
          <w:lang w:val="ro-RO"/>
        </w:rPr>
        <w:t xml:space="preserve"> </w:t>
      </w:r>
      <w:r w:rsidRPr="00A67CFC">
        <w:rPr>
          <w:rFonts w:asciiTheme="majorHAnsi" w:hAnsiTheme="majorHAnsi" w:cstheme="majorHAnsi"/>
          <w:sz w:val="16"/>
          <w:szCs w:val="16"/>
          <w:lang w:val="ro-RO"/>
        </w:rPr>
        <w:t xml:space="preserve">Pct.3.9.3 din Normele metodologice privind executarea de casă a bugetelor componente ale bugetului public național prin sistemul </w:t>
      </w:r>
      <w:proofErr w:type="spellStart"/>
      <w:r w:rsidRPr="00A67CFC">
        <w:rPr>
          <w:rFonts w:asciiTheme="majorHAnsi" w:hAnsiTheme="majorHAnsi" w:cstheme="majorHAnsi"/>
          <w:sz w:val="16"/>
          <w:szCs w:val="16"/>
          <w:lang w:val="ro-RO"/>
        </w:rPr>
        <w:t>trezorerial</w:t>
      </w:r>
      <w:proofErr w:type="spellEnd"/>
      <w:r w:rsidRPr="00A67CFC">
        <w:rPr>
          <w:rFonts w:asciiTheme="majorHAnsi" w:hAnsiTheme="majorHAnsi" w:cstheme="majorHAnsi"/>
          <w:sz w:val="16"/>
          <w:szCs w:val="16"/>
          <w:lang w:val="ro-RO"/>
        </w:rPr>
        <w:t xml:space="preserve"> al Ministerului Finanțelor, aprobate prin Ordinul ministrului finanțelor nr.215 din 28.12.2015.</w:t>
      </w:r>
    </w:p>
  </w:footnote>
  <w:footnote w:id="25">
    <w:p w:rsidR="00524FD8" w:rsidRPr="00FB186A" w:rsidRDefault="00524FD8">
      <w:pPr>
        <w:pStyle w:val="FootnoteText"/>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Legea exproprierii pentru cauză de utilitate publică</w:t>
      </w:r>
      <w:r>
        <w:rPr>
          <w:rFonts w:asciiTheme="majorHAnsi" w:hAnsiTheme="majorHAnsi" w:cstheme="majorHAnsi"/>
          <w:sz w:val="16"/>
          <w:szCs w:val="16"/>
          <w:lang w:val="ro-MD"/>
        </w:rPr>
        <w:t xml:space="preserve"> </w:t>
      </w:r>
      <w:r w:rsidRPr="00CA736C">
        <w:rPr>
          <w:rFonts w:asciiTheme="majorHAnsi" w:hAnsiTheme="majorHAnsi" w:cstheme="majorHAnsi"/>
          <w:sz w:val="16"/>
          <w:szCs w:val="16"/>
          <w:lang w:val="ro-MD"/>
        </w:rPr>
        <w:t>nr.488</w:t>
      </w:r>
      <w:r>
        <w:rPr>
          <w:rFonts w:asciiTheme="majorHAnsi" w:hAnsiTheme="majorHAnsi" w:cstheme="majorHAnsi"/>
          <w:sz w:val="16"/>
          <w:szCs w:val="16"/>
          <w:lang w:val="ro-MD"/>
        </w:rPr>
        <w:t>-XIV</w:t>
      </w:r>
      <w:r w:rsidRPr="00CA736C">
        <w:rPr>
          <w:rFonts w:asciiTheme="majorHAnsi" w:hAnsiTheme="majorHAnsi" w:cstheme="majorHAnsi"/>
          <w:sz w:val="16"/>
          <w:szCs w:val="16"/>
          <w:lang w:val="ro-MD"/>
        </w:rPr>
        <w:t xml:space="preserve"> din 08.07.1999</w:t>
      </w:r>
      <w:r w:rsidRPr="00FB186A">
        <w:rPr>
          <w:rFonts w:asciiTheme="majorHAnsi" w:hAnsiTheme="majorHAnsi" w:cstheme="majorHAnsi"/>
          <w:sz w:val="16"/>
          <w:szCs w:val="16"/>
          <w:lang w:val="ro-MD"/>
        </w:rPr>
        <w:t>.</w:t>
      </w:r>
    </w:p>
  </w:footnote>
  <w:footnote w:id="26">
    <w:p w:rsidR="00524FD8" w:rsidRPr="00FB186A" w:rsidRDefault="00524FD8" w:rsidP="006E7799">
      <w:pPr>
        <w:pStyle w:val="FootnoteText"/>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Anexa nr.4 la Legea </w:t>
      </w:r>
      <w:r w:rsidR="00D92724">
        <w:rPr>
          <w:rFonts w:asciiTheme="majorHAnsi" w:hAnsiTheme="majorHAnsi" w:cstheme="majorHAnsi"/>
          <w:sz w:val="16"/>
          <w:szCs w:val="16"/>
          <w:lang w:val="ro-RO"/>
        </w:rPr>
        <w:t>bugetului de stat pentru anul 2018</w:t>
      </w:r>
      <w:r w:rsidRPr="00FB186A">
        <w:rPr>
          <w:rFonts w:asciiTheme="majorHAnsi" w:hAnsiTheme="majorHAnsi" w:cstheme="majorHAnsi"/>
          <w:sz w:val="16"/>
          <w:szCs w:val="16"/>
          <w:lang w:val="ro-RO"/>
        </w:rPr>
        <w:t>.</w:t>
      </w:r>
    </w:p>
  </w:footnote>
  <w:footnote w:id="27">
    <w:p w:rsidR="00524FD8" w:rsidRPr="00471938" w:rsidRDefault="00524FD8" w:rsidP="00370FED">
      <w:pPr>
        <w:pStyle w:val="FootnoteText"/>
        <w:jc w:val="both"/>
        <w:rPr>
          <w:rFonts w:asciiTheme="majorHAnsi" w:hAnsiTheme="majorHAnsi" w:cstheme="majorHAnsi"/>
          <w:sz w:val="16"/>
          <w:szCs w:val="16"/>
          <w:lang w:val="ro-RO"/>
        </w:rPr>
      </w:pPr>
      <w:r w:rsidRPr="00222F03">
        <w:rPr>
          <w:rStyle w:val="FootnoteReference"/>
          <w:rFonts w:asciiTheme="majorHAnsi" w:hAnsiTheme="majorHAnsi"/>
          <w:sz w:val="16"/>
          <w:szCs w:val="16"/>
          <w:lang w:val="ro-RO"/>
        </w:rPr>
        <w:footnoteRef/>
      </w:r>
      <w:r w:rsidRPr="00222F03">
        <w:rPr>
          <w:rFonts w:asciiTheme="majorHAnsi" w:hAnsiTheme="majorHAnsi"/>
          <w:sz w:val="16"/>
          <w:szCs w:val="16"/>
          <w:lang w:val="ro-RO"/>
        </w:rPr>
        <w:t xml:space="preserve"> </w:t>
      </w:r>
      <w:r w:rsidRPr="00471938">
        <w:rPr>
          <w:rFonts w:asciiTheme="majorHAnsi" w:hAnsiTheme="majorHAnsi" w:cstheme="majorHAnsi"/>
          <w:sz w:val="16"/>
          <w:szCs w:val="16"/>
          <w:lang w:val="ro-RO"/>
        </w:rPr>
        <w:t>HG nr.1029 din 19.12.2013</w:t>
      </w:r>
      <w:r w:rsidR="00471938">
        <w:rPr>
          <w:rFonts w:asciiTheme="majorHAnsi" w:hAnsiTheme="majorHAnsi" w:cstheme="majorHAnsi"/>
          <w:sz w:val="16"/>
          <w:szCs w:val="16"/>
          <w:lang w:val="ro-RO"/>
        </w:rPr>
        <w:t xml:space="preserve"> </w:t>
      </w:r>
      <w:r w:rsidRPr="00471938">
        <w:rPr>
          <w:rFonts w:asciiTheme="majorHAnsi" w:hAnsiTheme="majorHAnsi" w:cstheme="majorHAnsi"/>
          <w:sz w:val="16"/>
          <w:szCs w:val="16"/>
          <w:lang w:val="ro-RO"/>
        </w:rPr>
        <w:t>„</w:t>
      </w:r>
      <w:r w:rsidR="00471938">
        <w:rPr>
          <w:rFonts w:asciiTheme="majorHAnsi" w:hAnsiTheme="majorHAnsi" w:cstheme="majorHAnsi"/>
          <w:sz w:val="16"/>
          <w:szCs w:val="16"/>
          <w:lang w:val="ro-RO"/>
        </w:rPr>
        <w:t>C</w:t>
      </w:r>
      <w:r w:rsidRPr="00471938">
        <w:rPr>
          <w:rFonts w:asciiTheme="majorHAnsi" w:hAnsiTheme="majorHAnsi" w:cstheme="majorHAnsi"/>
          <w:sz w:val="16"/>
          <w:szCs w:val="16"/>
          <w:lang w:val="ro-RO"/>
        </w:rPr>
        <w:t>u privire la investițiile capitale publice”.</w:t>
      </w:r>
    </w:p>
  </w:footnote>
  <w:footnote w:id="28">
    <w:p w:rsidR="00524FD8" w:rsidRPr="00471938" w:rsidRDefault="00524FD8" w:rsidP="006E7799">
      <w:pPr>
        <w:pStyle w:val="FootnoteText"/>
        <w:jc w:val="both"/>
        <w:rPr>
          <w:rFonts w:asciiTheme="majorHAnsi" w:hAnsiTheme="majorHAnsi" w:cstheme="majorHAnsi"/>
          <w:lang w:val="ro-RO"/>
        </w:rPr>
      </w:pPr>
      <w:r w:rsidRPr="00222F03">
        <w:rPr>
          <w:rStyle w:val="FootnoteReference"/>
          <w:rFonts w:asciiTheme="majorHAnsi" w:hAnsiTheme="majorHAnsi"/>
          <w:sz w:val="16"/>
          <w:szCs w:val="16"/>
          <w:lang w:val="ro-RO"/>
        </w:rPr>
        <w:footnoteRef/>
      </w:r>
      <w:r w:rsidRPr="00222F03">
        <w:rPr>
          <w:rStyle w:val="FootnoteReference"/>
          <w:rFonts w:asciiTheme="majorHAnsi" w:hAnsiTheme="majorHAnsi"/>
          <w:sz w:val="16"/>
          <w:szCs w:val="16"/>
          <w:lang w:val="ro-RO"/>
        </w:rPr>
        <w:t xml:space="preserve"> </w:t>
      </w:r>
      <w:r w:rsidRPr="00471938">
        <w:rPr>
          <w:rFonts w:asciiTheme="majorHAnsi" w:hAnsiTheme="majorHAnsi" w:cstheme="majorHAnsi"/>
          <w:sz w:val="16"/>
          <w:szCs w:val="16"/>
          <w:lang w:val="ro-RO"/>
        </w:rPr>
        <w:t>HCC nr.24 din 28.05.2018 „</w:t>
      </w:r>
      <w:r w:rsidR="00471938">
        <w:rPr>
          <w:rFonts w:asciiTheme="majorHAnsi" w:hAnsiTheme="majorHAnsi" w:cstheme="majorHAnsi"/>
          <w:sz w:val="16"/>
          <w:szCs w:val="16"/>
          <w:lang w:val="ro-RO"/>
        </w:rPr>
        <w:t>C</w:t>
      </w:r>
      <w:r w:rsidRPr="00471938">
        <w:rPr>
          <w:rFonts w:asciiTheme="majorHAnsi" w:hAnsiTheme="majorHAnsi" w:cstheme="majorHAnsi"/>
          <w:sz w:val="16"/>
          <w:szCs w:val="16"/>
          <w:lang w:val="ro-RO"/>
        </w:rPr>
        <w:t>u privire la Raportul auditului financiar al Raportului Guvernului privind executarea bugetului de stat pe anul 2017”</w:t>
      </w:r>
      <w:r w:rsidR="00471938">
        <w:rPr>
          <w:rFonts w:asciiTheme="majorHAnsi" w:hAnsiTheme="majorHAnsi" w:cstheme="majorHAnsi"/>
          <w:sz w:val="16"/>
          <w:szCs w:val="16"/>
          <w:lang w:val="ro-RO"/>
        </w:rPr>
        <w:t>,</w:t>
      </w:r>
      <w:r w:rsidRPr="00471938">
        <w:rPr>
          <w:rFonts w:asciiTheme="majorHAnsi" w:hAnsiTheme="majorHAnsi" w:cstheme="majorHAnsi"/>
          <w:sz w:val="16"/>
          <w:szCs w:val="16"/>
          <w:lang w:val="ro-RO"/>
        </w:rPr>
        <w:t xml:space="preserve"> cerința 2.1.2. </w:t>
      </w:r>
      <w:r w:rsidR="00471938">
        <w:rPr>
          <w:rFonts w:asciiTheme="majorHAnsi" w:hAnsiTheme="majorHAnsi" w:cstheme="majorHAnsi"/>
          <w:sz w:val="16"/>
          <w:szCs w:val="16"/>
          <w:lang w:val="ro-RO"/>
        </w:rPr>
        <w:t>„</w:t>
      </w:r>
      <w:r w:rsidRPr="00471938">
        <w:rPr>
          <w:rFonts w:asciiTheme="majorHAnsi" w:hAnsiTheme="majorHAnsi" w:cstheme="majorHAnsi"/>
          <w:sz w:val="16"/>
          <w:szCs w:val="16"/>
          <w:lang w:val="ro-RO"/>
        </w:rPr>
        <w:t>asigurarea funcționalității grupului de lucru pentru investiții capitale, în vederea respectării procesului de includere și monitorizare a obiectivelor de investiții capitale”.</w:t>
      </w:r>
    </w:p>
  </w:footnote>
  <w:footnote w:id="29">
    <w:p w:rsidR="00524FD8" w:rsidRPr="00FB186A" w:rsidRDefault="00524FD8" w:rsidP="00CB0A2A">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lang w:val="ro-RO"/>
        </w:rPr>
        <w:t xml:space="preserve"> Formularul nr.1 „Raportul privind executarea indicatorilor generali și sursele de finanțare ale bugetului de stat”, aprobat prin Ordinul MF nr.44 din 12.02.2018.</w:t>
      </w:r>
    </w:p>
  </w:footnote>
  <w:footnote w:id="30">
    <w:p w:rsidR="00524FD8" w:rsidRPr="000A1A12" w:rsidRDefault="00524FD8" w:rsidP="000D4A35">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0A1A12">
        <w:rPr>
          <w:rFonts w:asciiTheme="majorHAnsi" w:hAnsiTheme="majorHAnsi" w:cstheme="majorHAnsi"/>
          <w:sz w:val="16"/>
          <w:szCs w:val="16"/>
          <w:lang w:val="ro-RO"/>
        </w:rPr>
        <w:t xml:space="preserve"> Conform art.30 din Legea nr.181 din 25.07.2014,</w:t>
      </w:r>
      <w:r w:rsidRPr="00222F03">
        <w:rPr>
          <w:rFonts w:asciiTheme="majorHAnsi" w:hAnsiTheme="majorHAnsi" w:cstheme="majorHAnsi"/>
          <w:i/>
          <w:sz w:val="16"/>
          <w:szCs w:val="16"/>
          <w:lang w:val="ro-RO"/>
        </w:rPr>
        <w:t xml:space="preserve"> „</w:t>
      </w:r>
      <w:r w:rsidRPr="000A1A12">
        <w:rPr>
          <w:rFonts w:asciiTheme="majorHAnsi" w:hAnsiTheme="majorHAnsi" w:cstheme="majorHAnsi"/>
          <w:sz w:val="16"/>
          <w:szCs w:val="16"/>
          <w:lang w:val="ro-RO"/>
        </w:rPr>
        <w:t>sursele de finanțare a bugetului sunt operațiuni cu instrumente ale datoriei; operațiuni aferente vânzării și privatizării patrimoniului public; operațiuni cu soldurile în conturile bugetului; alte operațiuni cu activele financiare și cu datoriile bugetului”.</w:t>
      </w:r>
    </w:p>
  </w:footnote>
  <w:footnote w:id="31">
    <w:p w:rsidR="00524FD8" w:rsidRPr="004E081D" w:rsidRDefault="00524FD8" w:rsidP="000D4A35">
      <w:pPr>
        <w:pStyle w:val="FootnoteText"/>
        <w:jc w:val="both"/>
        <w:rPr>
          <w:rFonts w:asciiTheme="majorHAnsi" w:hAnsiTheme="majorHAnsi" w:cstheme="majorHAnsi"/>
          <w:sz w:val="16"/>
          <w:szCs w:val="16"/>
          <w:lang w:val="ro-RO"/>
        </w:rPr>
      </w:pPr>
      <w:r w:rsidRPr="000A1A12">
        <w:rPr>
          <w:rFonts w:asciiTheme="majorHAnsi" w:hAnsiTheme="majorHAnsi" w:cstheme="majorHAnsi"/>
          <w:sz w:val="16"/>
          <w:szCs w:val="16"/>
          <w:vertAlign w:val="superscript"/>
          <w:lang w:val="ro-RO"/>
        </w:rPr>
        <w:footnoteRef/>
      </w:r>
      <w:r w:rsidRPr="000A1A12">
        <w:rPr>
          <w:rFonts w:asciiTheme="majorHAnsi" w:hAnsiTheme="majorHAnsi" w:cstheme="majorHAnsi"/>
          <w:sz w:val="16"/>
          <w:szCs w:val="16"/>
          <w:lang w:val="ro-RO"/>
        </w:rPr>
        <w:t xml:space="preserve"> HG nr.591 din 21.06.2018 „Cu privire la cumpărarea și </w:t>
      </w:r>
      <w:proofErr w:type="spellStart"/>
      <w:r w:rsidRPr="000A1A12">
        <w:rPr>
          <w:rFonts w:asciiTheme="majorHAnsi" w:hAnsiTheme="majorHAnsi" w:cstheme="majorHAnsi"/>
          <w:sz w:val="16"/>
          <w:szCs w:val="16"/>
          <w:lang w:val="ro-RO"/>
        </w:rPr>
        <w:t>deetatizarea</w:t>
      </w:r>
      <w:proofErr w:type="spellEnd"/>
      <w:r w:rsidRPr="000A1A12">
        <w:rPr>
          <w:rFonts w:asciiTheme="majorHAnsi" w:hAnsiTheme="majorHAnsi" w:cstheme="majorHAnsi"/>
          <w:sz w:val="16"/>
          <w:szCs w:val="16"/>
          <w:lang w:val="ro-RO"/>
        </w:rPr>
        <w:t xml:space="preserve"> acțiunilor nou-emise de banca de importanță sistemică B.C. „Moldova- </w:t>
      </w:r>
      <w:proofErr w:type="spellStart"/>
      <w:r w:rsidRPr="000A1A12">
        <w:rPr>
          <w:rFonts w:asciiTheme="majorHAnsi" w:hAnsiTheme="majorHAnsi" w:cstheme="majorHAnsi"/>
          <w:sz w:val="16"/>
          <w:szCs w:val="16"/>
          <w:lang w:val="ro-RO"/>
        </w:rPr>
        <w:t>Agroindbank</w:t>
      </w:r>
      <w:proofErr w:type="spellEnd"/>
      <w:r w:rsidRPr="000A1A12">
        <w:rPr>
          <w:rFonts w:asciiTheme="majorHAnsi" w:hAnsiTheme="majorHAnsi" w:cstheme="majorHAnsi"/>
          <w:sz w:val="16"/>
          <w:szCs w:val="16"/>
          <w:lang w:val="ro-RO"/>
        </w:rPr>
        <w:t>” S.A.</w:t>
      </w:r>
      <w:r w:rsidRPr="005C5912">
        <w:rPr>
          <w:rFonts w:asciiTheme="majorHAnsi" w:hAnsiTheme="majorHAnsi" w:cstheme="majorHAnsi"/>
          <w:sz w:val="16"/>
          <w:szCs w:val="16"/>
          <w:lang w:val="ro-RO"/>
        </w:rPr>
        <w:t xml:space="preserve">” (în continuare – </w:t>
      </w:r>
      <w:r w:rsidRPr="004E081D">
        <w:rPr>
          <w:rFonts w:asciiTheme="majorHAnsi" w:hAnsiTheme="majorHAnsi" w:cstheme="majorHAnsi"/>
          <w:sz w:val="16"/>
          <w:szCs w:val="16"/>
          <w:lang w:val="ro-RO"/>
        </w:rPr>
        <w:t>HG nr.591 din 21.06.2018).</w:t>
      </w:r>
    </w:p>
  </w:footnote>
  <w:footnote w:id="32">
    <w:p w:rsidR="00524FD8" w:rsidRPr="00FB186A" w:rsidRDefault="00524FD8" w:rsidP="002F3A2F">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Art.3 lit. a) din Legea bugetului de stat </w:t>
      </w:r>
      <w:r>
        <w:rPr>
          <w:rFonts w:asciiTheme="majorHAnsi" w:hAnsiTheme="majorHAnsi" w:cstheme="majorHAnsi"/>
          <w:sz w:val="16"/>
          <w:szCs w:val="16"/>
          <w:lang w:val="ro-RO"/>
        </w:rPr>
        <w:t xml:space="preserve">pentru anul 2018 </w:t>
      </w:r>
      <w:r w:rsidRPr="00FB186A">
        <w:rPr>
          <w:rFonts w:asciiTheme="majorHAnsi" w:hAnsiTheme="majorHAnsi" w:cstheme="majorHAnsi"/>
          <w:sz w:val="16"/>
          <w:szCs w:val="16"/>
          <w:lang w:val="ro-RO"/>
        </w:rPr>
        <w:t xml:space="preserve">nr.289 din </w:t>
      </w:r>
      <w:r w:rsidRPr="00FB186A">
        <w:rPr>
          <w:rFonts w:asciiTheme="majorHAnsi" w:hAnsiTheme="majorHAnsi" w:cstheme="majorHAnsi"/>
          <w:color w:val="000000"/>
          <w:sz w:val="16"/>
          <w:szCs w:val="16"/>
          <w:lang w:val="ro-RO"/>
        </w:rPr>
        <w:t>15.12.2017.</w:t>
      </w:r>
    </w:p>
  </w:footnote>
  <w:footnote w:id="33">
    <w:p w:rsidR="00524FD8" w:rsidRPr="00222F03" w:rsidRDefault="00524FD8" w:rsidP="00B95415">
      <w:pPr>
        <w:pStyle w:val="FootnoteText"/>
        <w:rPr>
          <w:rStyle w:val="FootnoteReference"/>
          <w:lang w:val="ro-RO"/>
        </w:rPr>
      </w:pPr>
      <w:r w:rsidRPr="00222F03">
        <w:rPr>
          <w:rStyle w:val="FootnoteReference"/>
          <w:rFonts w:asciiTheme="majorHAnsi" w:hAnsiTheme="majorHAnsi" w:cstheme="majorHAnsi"/>
          <w:sz w:val="16"/>
          <w:szCs w:val="16"/>
          <w:lang w:val="ro-RO"/>
        </w:rPr>
        <w:footnoteRef/>
      </w:r>
      <w:r w:rsidRPr="000A1A12">
        <w:rPr>
          <w:rFonts w:asciiTheme="majorHAnsi" w:hAnsiTheme="majorHAnsi" w:cstheme="majorHAnsi"/>
          <w:sz w:val="16"/>
          <w:szCs w:val="16"/>
          <w:lang w:val="ro-RO"/>
        </w:rPr>
        <w:t xml:space="preserve"> Art.9 din Legea nr.397-XV</w:t>
      </w:r>
      <w:r w:rsidRPr="005C5912">
        <w:rPr>
          <w:rFonts w:asciiTheme="majorHAnsi" w:hAnsiTheme="majorHAnsi" w:cstheme="majorHAnsi"/>
          <w:sz w:val="16"/>
          <w:szCs w:val="16"/>
          <w:lang w:val="ro-RO"/>
        </w:rPr>
        <w:t xml:space="preserve"> din 16.10.2003 privind finanțele publice locale.</w:t>
      </w:r>
      <w:r w:rsidRPr="00222F03">
        <w:rPr>
          <w:rStyle w:val="FootnoteReference"/>
          <w:lang w:val="ro-RO"/>
        </w:rPr>
        <w:t xml:space="preserve"> </w:t>
      </w:r>
    </w:p>
  </w:footnote>
  <w:footnote w:id="34">
    <w:p w:rsidR="00524FD8" w:rsidRPr="005C5912" w:rsidRDefault="00524FD8" w:rsidP="00B95415">
      <w:pPr>
        <w:pStyle w:val="FootnoteText"/>
        <w:rPr>
          <w:sz w:val="16"/>
          <w:szCs w:val="16"/>
          <w:lang w:val="ro-RO"/>
        </w:rPr>
      </w:pPr>
      <w:r w:rsidRPr="000A1A12">
        <w:rPr>
          <w:rStyle w:val="FootnoteReference"/>
          <w:rFonts w:asciiTheme="majorHAnsi" w:hAnsiTheme="majorHAnsi" w:cstheme="majorHAnsi"/>
          <w:sz w:val="16"/>
          <w:szCs w:val="16"/>
          <w:lang w:val="ro-RO"/>
        </w:rPr>
        <w:footnoteRef/>
      </w:r>
      <w:r w:rsidRPr="000A1A12">
        <w:rPr>
          <w:rFonts w:asciiTheme="majorHAnsi" w:hAnsiTheme="majorHAnsi" w:cstheme="majorHAnsi"/>
          <w:sz w:val="16"/>
          <w:szCs w:val="16"/>
          <w:lang w:val="ro-RO"/>
        </w:rPr>
        <w:t xml:space="preserve"> </w:t>
      </w:r>
      <w:proofErr w:type="spellStart"/>
      <w:r w:rsidRPr="000A1A12">
        <w:rPr>
          <w:rFonts w:asciiTheme="majorHAnsi" w:hAnsiTheme="majorHAnsi" w:cstheme="majorHAnsi"/>
          <w:sz w:val="16"/>
          <w:szCs w:val="16"/>
          <w:lang w:val="ro-RO"/>
        </w:rPr>
        <w:t>Art.IV</w:t>
      </w:r>
      <w:proofErr w:type="spellEnd"/>
      <w:r w:rsidRPr="000A1A12">
        <w:rPr>
          <w:rFonts w:asciiTheme="majorHAnsi" w:hAnsiTheme="majorHAnsi" w:cstheme="majorHAnsi"/>
          <w:sz w:val="16"/>
          <w:szCs w:val="16"/>
          <w:lang w:val="ro-RO"/>
        </w:rPr>
        <w:t xml:space="preserve"> din Legea nr.267 din 01.11.2013</w:t>
      </w:r>
      <w:r w:rsidRPr="005C5912">
        <w:rPr>
          <w:rFonts w:asciiTheme="majorHAnsi" w:hAnsiTheme="majorHAnsi" w:cstheme="majorHAnsi"/>
          <w:sz w:val="16"/>
          <w:szCs w:val="16"/>
          <w:lang w:val="ro-RO"/>
        </w:rPr>
        <w:t xml:space="preserve"> pentru modificarea și completarea unor acte legislative.</w:t>
      </w:r>
    </w:p>
  </w:footnote>
  <w:footnote w:id="35">
    <w:p w:rsidR="00524FD8" w:rsidRPr="00FB186A" w:rsidRDefault="00524FD8" w:rsidP="002B3276">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Anexa nr.5 „Volumul transferurilor de la bugetul de stat către bugetele locale” din Legea bugetului de stat pentru anul 2018.</w:t>
      </w:r>
    </w:p>
  </w:footnote>
  <w:footnote w:id="36">
    <w:p w:rsidR="00524FD8" w:rsidRPr="00FB186A" w:rsidRDefault="00524FD8" w:rsidP="003B0B93">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w:t>
      </w:r>
      <w:r>
        <w:rPr>
          <w:rFonts w:asciiTheme="majorHAnsi" w:hAnsiTheme="majorHAnsi" w:cstheme="majorHAnsi"/>
          <w:i/>
          <w:iCs/>
          <w:color w:val="000000"/>
          <w:sz w:val="16"/>
          <w:szCs w:val="16"/>
          <w:lang w:val="ro-RO"/>
        </w:rPr>
        <w:t>T</w:t>
      </w:r>
      <w:r w:rsidRPr="00FB186A">
        <w:rPr>
          <w:rFonts w:asciiTheme="majorHAnsi" w:hAnsiTheme="majorHAnsi" w:cstheme="majorHAnsi"/>
          <w:i/>
          <w:iCs/>
          <w:color w:val="000000"/>
          <w:sz w:val="16"/>
          <w:szCs w:val="16"/>
          <w:lang w:val="ro-RO"/>
        </w:rPr>
        <w:t>ransferuri categoriale</w:t>
      </w:r>
      <w:r w:rsidRPr="00FB186A">
        <w:rPr>
          <w:rFonts w:asciiTheme="majorHAnsi" w:hAnsiTheme="majorHAnsi" w:cstheme="majorHAnsi"/>
          <w:color w:val="000000"/>
          <w:sz w:val="16"/>
          <w:szCs w:val="16"/>
          <w:lang w:val="ro-RO"/>
        </w:rPr>
        <w:t> – mijloace financiare, calculate în bază de cost standard per elev, alocate de la bugetul de stat la bugetele unităților administrativ-teritoriale de nivelul al doilea, cu titlu definitiv și în sumă absolută, în scopul finanțării instituțiilor de învățământ</w:t>
      </w:r>
      <w:r>
        <w:rPr>
          <w:rFonts w:asciiTheme="majorHAnsi" w:hAnsiTheme="majorHAnsi" w:cstheme="majorHAnsi"/>
          <w:color w:val="000000"/>
          <w:sz w:val="16"/>
          <w:szCs w:val="16"/>
          <w:lang w:val="ro-RO"/>
        </w:rPr>
        <w:t>.</w:t>
      </w:r>
    </w:p>
  </w:footnote>
  <w:footnote w:id="37">
    <w:p w:rsidR="00524FD8" w:rsidRPr="00FB186A" w:rsidRDefault="00524FD8" w:rsidP="003B0B93">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Anexa la Circulara MF nr.06/2-07 din 14.06.2013 </w:t>
      </w:r>
      <w:r>
        <w:rPr>
          <w:rFonts w:asciiTheme="majorHAnsi" w:hAnsiTheme="majorHAnsi" w:cstheme="majorHAnsi"/>
          <w:sz w:val="16"/>
          <w:szCs w:val="16"/>
          <w:lang w:val="ro-RO"/>
        </w:rPr>
        <w:t>„</w:t>
      </w:r>
      <w:r w:rsidRPr="00FB186A">
        <w:rPr>
          <w:rFonts w:asciiTheme="majorHAnsi" w:hAnsiTheme="majorHAnsi" w:cstheme="majorHAnsi"/>
          <w:sz w:val="16"/>
          <w:szCs w:val="16"/>
          <w:lang w:val="ro-RO"/>
        </w:rPr>
        <w:t xml:space="preserve">Note metodologice privind elaborarea de către autoritățile administrației publice locale a proiectelor de buget pe anul 2014 și a estimărilor pe anii 2015-2016”, </w:t>
      </w:r>
      <w:r w:rsidRPr="00FB186A">
        <w:rPr>
          <w:rFonts w:asciiTheme="majorHAnsi" w:eastAsia="MS Mincho" w:hAnsiTheme="majorHAnsi" w:cstheme="majorHAnsi"/>
          <w:sz w:val="16"/>
          <w:szCs w:val="16"/>
          <w:lang w:val="ro-RO" w:eastAsia="ja-JP"/>
        </w:rPr>
        <w:t xml:space="preserve">Raportul privind îndeplinirea planului de rețea, state și contingente în instituțiile finanțate din BUAT la situația din 1 decembrie 2012, </w:t>
      </w:r>
      <w:r w:rsidRPr="00FB186A">
        <w:rPr>
          <w:rFonts w:asciiTheme="majorHAnsi" w:hAnsiTheme="majorHAnsi" w:cstheme="majorHAnsi"/>
          <w:sz w:val="16"/>
          <w:szCs w:val="16"/>
          <w:lang w:val="ro-RO"/>
        </w:rPr>
        <w:t xml:space="preserve">Anexa la Circulara MF nr.06/2-07 din 17.08.2017 </w:t>
      </w:r>
      <w:r>
        <w:rPr>
          <w:rFonts w:asciiTheme="majorHAnsi" w:hAnsiTheme="majorHAnsi" w:cstheme="majorHAnsi"/>
          <w:sz w:val="16"/>
          <w:szCs w:val="16"/>
          <w:lang w:val="ro-RO"/>
        </w:rPr>
        <w:t>„</w:t>
      </w:r>
      <w:r w:rsidRPr="00FB186A">
        <w:rPr>
          <w:rFonts w:asciiTheme="majorHAnsi" w:hAnsiTheme="majorHAnsi" w:cstheme="majorHAnsi"/>
          <w:sz w:val="16"/>
          <w:szCs w:val="16"/>
          <w:lang w:val="ro-RO"/>
        </w:rPr>
        <w:t>Particularitățile privind elaborarea de către autoritățile APL a proiectelor bugetelor locale pentru anul 2018 și a estimărilor pe anii 2019-2020</w:t>
      </w:r>
      <w:r>
        <w:rPr>
          <w:rFonts w:asciiTheme="majorHAnsi" w:hAnsiTheme="majorHAnsi" w:cstheme="majorHAnsi"/>
          <w:sz w:val="16"/>
          <w:szCs w:val="16"/>
          <w:lang w:val="ro-RO"/>
        </w:rPr>
        <w:t>”</w:t>
      </w:r>
      <w:r w:rsidRPr="00FB186A">
        <w:rPr>
          <w:rFonts w:asciiTheme="majorHAnsi" w:hAnsiTheme="majorHAnsi" w:cstheme="majorHAnsi"/>
          <w:sz w:val="16"/>
          <w:szCs w:val="16"/>
          <w:lang w:val="ro-RO"/>
        </w:rPr>
        <w:t>.</w:t>
      </w:r>
    </w:p>
  </w:footnote>
  <w:footnote w:id="38">
    <w:p w:rsidR="00524FD8" w:rsidRPr="00FB186A" w:rsidRDefault="00524FD8" w:rsidP="003B0B93">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51 </w:t>
      </w:r>
      <w:r>
        <w:rPr>
          <w:rFonts w:asciiTheme="majorHAnsi" w:hAnsiTheme="majorHAnsi" w:cstheme="majorHAnsi"/>
          <w:sz w:val="16"/>
          <w:szCs w:val="16"/>
          <w:lang w:val="ro-RO"/>
        </w:rPr>
        <w:t xml:space="preserve">de </w:t>
      </w:r>
      <w:r w:rsidRPr="00FB186A">
        <w:rPr>
          <w:rFonts w:asciiTheme="majorHAnsi" w:hAnsiTheme="majorHAnsi" w:cstheme="majorHAnsi"/>
          <w:sz w:val="16"/>
          <w:szCs w:val="16"/>
          <w:lang w:val="ro-RO"/>
        </w:rPr>
        <w:t xml:space="preserve">instituții preșcolare; 104 centre comunitare de dezvoltare timpurie a copiilor </w:t>
      </w:r>
      <w:r>
        <w:rPr>
          <w:rFonts w:asciiTheme="majorHAnsi" w:hAnsiTheme="majorHAnsi" w:cstheme="majorHAnsi"/>
          <w:sz w:val="16"/>
          <w:szCs w:val="16"/>
          <w:lang w:val="ro-RO"/>
        </w:rPr>
        <w:t xml:space="preserve">de </w:t>
      </w:r>
      <w:r w:rsidRPr="00FB186A">
        <w:rPr>
          <w:rFonts w:asciiTheme="majorHAnsi" w:hAnsiTheme="majorHAnsi" w:cstheme="majorHAnsi"/>
          <w:sz w:val="16"/>
          <w:szCs w:val="16"/>
          <w:lang w:val="ro-RO"/>
        </w:rPr>
        <w:t>3-6</w:t>
      </w:r>
      <w:r>
        <w:rPr>
          <w:rFonts w:asciiTheme="majorHAnsi" w:hAnsiTheme="majorHAnsi" w:cstheme="majorHAnsi"/>
          <w:sz w:val="16"/>
          <w:szCs w:val="16"/>
          <w:lang w:val="ro-RO"/>
        </w:rPr>
        <w:t xml:space="preserve"> </w:t>
      </w:r>
      <w:r w:rsidRPr="00FB186A">
        <w:rPr>
          <w:rFonts w:asciiTheme="majorHAnsi" w:hAnsiTheme="majorHAnsi" w:cstheme="majorHAnsi"/>
          <w:sz w:val="16"/>
          <w:szCs w:val="16"/>
          <w:lang w:val="ro-RO"/>
        </w:rPr>
        <w:t xml:space="preserve">(7) ani; 102 școli primare-grădinițe (segmentul preșcolar); 52 </w:t>
      </w:r>
      <w:r>
        <w:rPr>
          <w:rFonts w:asciiTheme="majorHAnsi" w:hAnsiTheme="majorHAnsi" w:cstheme="majorHAnsi"/>
          <w:sz w:val="16"/>
          <w:szCs w:val="16"/>
          <w:lang w:val="ro-RO"/>
        </w:rPr>
        <w:t xml:space="preserve">de </w:t>
      </w:r>
      <w:r w:rsidRPr="00FB186A">
        <w:rPr>
          <w:rFonts w:asciiTheme="majorHAnsi" w:hAnsiTheme="majorHAnsi" w:cstheme="majorHAnsi"/>
          <w:sz w:val="16"/>
          <w:szCs w:val="16"/>
          <w:lang w:val="ro-RO"/>
        </w:rPr>
        <w:t xml:space="preserve">școli primare (grupe preșcolare); 337 </w:t>
      </w:r>
      <w:r>
        <w:rPr>
          <w:rFonts w:asciiTheme="majorHAnsi" w:hAnsiTheme="majorHAnsi" w:cstheme="majorHAnsi"/>
          <w:sz w:val="16"/>
          <w:szCs w:val="16"/>
          <w:lang w:val="ro-RO"/>
        </w:rPr>
        <w:t xml:space="preserve">de </w:t>
      </w:r>
      <w:r w:rsidRPr="00FB186A">
        <w:rPr>
          <w:rFonts w:asciiTheme="majorHAnsi" w:hAnsiTheme="majorHAnsi" w:cstheme="majorHAnsi"/>
          <w:sz w:val="16"/>
          <w:szCs w:val="16"/>
          <w:lang w:val="ro-RO"/>
        </w:rPr>
        <w:t xml:space="preserve">gimnazii (grupe preșcolare); 338 </w:t>
      </w:r>
      <w:r>
        <w:rPr>
          <w:rFonts w:asciiTheme="majorHAnsi" w:hAnsiTheme="majorHAnsi" w:cstheme="majorHAnsi"/>
          <w:sz w:val="16"/>
          <w:szCs w:val="16"/>
          <w:lang w:val="ro-RO"/>
        </w:rPr>
        <w:t xml:space="preserve">de </w:t>
      </w:r>
      <w:r w:rsidRPr="00FB186A">
        <w:rPr>
          <w:rFonts w:asciiTheme="majorHAnsi" w:hAnsiTheme="majorHAnsi" w:cstheme="majorHAnsi"/>
          <w:sz w:val="16"/>
          <w:szCs w:val="16"/>
          <w:lang w:val="ro-RO"/>
        </w:rPr>
        <w:t>licee (grupe preșcolare).</w:t>
      </w:r>
    </w:p>
  </w:footnote>
  <w:footnote w:id="39">
    <w:p w:rsidR="00524FD8" w:rsidRPr="00FB186A" w:rsidRDefault="00524FD8" w:rsidP="003B0B93">
      <w:pPr>
        <w:pStyle w:val="FootnoteText"/>
        <w:jc w:val="both"/>
        <w:rPr>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Regulament</w:t>
      </w:r>
      <w:r>
        <w:rPr>
          <w:rFonts w:asciiTheme="majorHAnsi" w:hAnsiTheme="majorHAnsi" w:cstheme="majorHAnsi"/>
          <w:sz w:val="16"/>
          <w:szCs w:val="16"/>
          <w:lang w:val="ro-RO"/>
        </w:rPr>
        <w:t>ul</w:t>
      </w:r>
      <w:r w:rsidRPr="00FB186A">
        <w:rPr>
          <w:rFonts w:asciiTheme="majorHAnsi" w:hAnsiTheme="majorHAnsi" w:cstheme="majorHAnsi"/>
          <w:sz w:val="16"/>
          <w:szCs w:val="16"/>
          <w:lang w:val="ro-RO"/>
        </w:rPr>
        <w:t xml:space="preserve"> privind finanțarea în bază de cost standard per elev a instituțiilor de învățământ primar </w:t>
      </w:r>
      <w:r>
        <w:rPr>
          <w:rFonts w:asciiTheme="majorHAnsi" w:hAnsiTheme="majorHAnsi" w:cstheme="majorHAnsi"/>
          <w:sz w:val="16"/>
          <w:szCs w:val="16"/>
          <w:lang w:val="ro-RO"/>
        </w:rPr>
        <w:t>ș</w:t>
      </w:r>
      <w:r w:rsidRPr="00FB186A">
        <w:rPr>
          <w:rFonts w:asciiTheme="majorHAnsi" w:hAnsiTheme="majorHAnsi" w:cstheme="majorHAnsi"/>
          <w:sz w:val="16"/>
          <w:szCs w:val="16"/>
          <w:lang w:val="ro-RO"/>
        </w:rPr>
        <w:t>i secundar general din subordinea autorităților publice locale de nivelul al doilea, aprobat prin HG nr.868 din 08.10.2014</w:t>
      </w:r>
      <w:r>
        <w:rPr>
          <w:rFonts w:asciiTheme="majorHAnsi" w:hAnsiTheme="majorHAnsi" w:cstheme="majorHAnsi"/>
          <w:sz w:val="16"/>
          <w:szCs w:val="16"/>
          <w:lang w:val="ro-RO"/>
        </w:rPr>
        <w:t xml:space="preserve"> (în continuare – Regulamentul aprobat prin HG </w:t>
      </w:r>
      <w:r w:rsidRPr="00D97B12">
        <w:rPr>
          <w:rFonts w:asciiTheme="majorHAnsi" w:hAnsiTheme="majorHAnsi" w:cstheme="majorHAnsi"/>
          <w:sz w:val="16"/>
          <w:szCs w:val="16"/>
          <w:lang w:val="ro-RO"/>
        </w:rPr>
        <w:t>nr.868 din 08.10.2014</w:t>
      </w:r>
      <w:r>
        <w:rPr>
          <w:rFonts w:asciiTheme="majorHAnsi" w:hAnsiTheme="majorHAnsi" w:cstheme="majorHAnsi"/>
          <w:sz w:val="16"/>
          <w:szCs w:val="16"/>
          <w:lang w:val="ro-RO"/>
        </w:rPr>
        <w:t>).</w:t>
      </w:r>
    </w:p>
  </w:footnote>
  <w:footnote w:id="40">
    <w:p w:rsidR="00524FD8" w:rsidRPr="00FB186A" w:rsidRDefault="00524FD8" w:rsidP="008D7B5A">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Pct.6 al</w:t>
      </w:r>
      <w:r>
        <w:rPr>
          <w:rFonts w:asciiTheme="majorHAnsi" w:hAnsiTheme="majorHAnsi" w:cstheme="majorHAnsi"/>
          <w:sz w:val="16"/>
          <w:szCs w:val="16"/>
          <w:lang w:val="ro-RO"/>
        </w:rPr>
        <w:t>in</w:t>
      </w:r>
      <w:r w:rsidRPr="00FB186A">
        <w:rPr>
          <w:rFonts w:asciiTheme="majorHAnsi" w:hAnsiTheme="majorHAnsi" w:cstheme="majorHAnsi"/>
          <w:sz w:val="16"/>
          <w:szCs w:val="16"/>
          <w:lang w:val="ro-RO"/>
        </w:rPr>
        <w:t xml:space="preserve">.2) </w:t>
      </w:r>
      <w:r>
        <w:rPr>
          <w:rFonts w:asciiTheme="majorHAnsi" w:hAnsiTheme="majorHAnsi" w:cstheme="majorHAnsi"/>
          <w:sz w:val="16"/>
          <w:szCs w:val="16"/>
          <w:lang w:val="ro-RO"/>
        </w:rPr>
        <w:t>din</w:t>
      </w:r>
      <w:r w:rsidRPr="00FB186A">
        <w:rPr>
          <w:rFonts w:asciiTheme="majorHAnsi" w:hAnsiTheme="majorHAnsi" w:cstheme="majorHAnsi"/>
          <w:sz w:val="16"/>
          <w:szCs w:val="16"/>
          <w:lang w:val="ro-RO"/>
        </w:rPr>
        <w:t xml:space="preserve"> Regulamentul aprobat prin HG nr.868 din 08.10.2014</w:t>
      </w:r>
      <w:r>
        <w:rPr>
          <w:rFonts w:asciiTheme="majorHAnsi" w:hAnsiTheme="majorHAnsi" w:cstheme="majorHAnsi"/>
          <w:sz w:val="16"/>
          <w:szCs w:val="16"/>
          <w:lang w:val="ro-RO"/>
        </w:rPr>
        <w:t>.</w:t>
      </w:r>
    </w:p>
  </w:footnote>
  <w:footnote w:id="41">
    <w:p w:rsidR="00524FD8" w:rsidRPr="00FB186A" w:rsidRDefault="00524FD8" w:rsidP="008D7B5A">
      <w:pPr>
        <w:pStyle w:val="FootnoteText"/>
        <w:jc w:val="both"/>
        <w:rPr>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Rapoartele privind statele și efectivele de personal în instituțiile de învățământ (Forma FD-048-BL).</w:t>
      </w:r>
    </w:p>
  </w:footnote>
  <w:footnote w:id="42">
    <w:p w:rsidR="00524FD8" w:rsidRPr="00FB186A" w:rsidRDefault="00524FD8" w:rsidP="00DA0637">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Formularul nr.7 „Raport privind creanțele și datoriile la cheltuieli și active nefinanciare formate în autoritățile/instituțiile bugetare finanțate de la bugetul de stat pe anul 2018 conform clasificației economice”, aprobat prin Ordinul MF nr.44 din 12.02.2018.</w:t>
      </w:r>
    </w:p>
  </w:footnote>
  <w:footnote w:id="43">
    <w:p w:rsidR="00524FD8" w:rsidRPr="00FB186A" w:rsidRDefault="00524FD8" w:rsidP="003E6761">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Art.3 din Legea nr.181 din 25.07.2014.</w:t>
      </w:r>
    </w:p>
  </w:footnote>
  <w:footnote w:id="44">
    <w:p w:rsidR="00524FD8" w:rsidRPr="00FB186A" w:rsidRDefault="00524FD8" w:rsidP="003E6761">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HG nr.1006 din 21.11.2017 „</w:t>
      </w:r>
      <w:r>
        <w:rPr>
          <w:rFonts w:asciiTheme="majorHAnsi" w:hAnsiTheme="majorHAnsi" w:cstheme="majorHAnsi"/>
          <w:sz w:val="16"/>
          <w:szCs w:val="16"/>
          <w:lang w:val="ro-RO"/>
        </w:rPr>
        <w:t>C</w:t>
      </w:r>
      <w:r w:rsidRPr="00FB186A">
        <w:rPr>
          <w:rFonts w:asciiTheme="majorHAnsi" w:hAnsiTheme="majorHAnsi" w:cstheme="majorHAnsi"/>
          <w:sz w:val="16"/>
          <w:szCs w:val="16"/>
          <w:lang w:val="ro-RO"/>
        </w:rPr>
        <w:t>u privire la aprobarea proiectului legii bugetului de stat pentru anul 2018”.</w:t>
      </w:r>
    </w:p>
  </w:footnote>
  <w:footnote w:id="45">
    <w:p w:rsidR="00524FD8" w:rsidRPr="00FB186A" w:rsidRDefault="00524FD8" w:rsidP="003E6761">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Legea bugetului de stat pentru anul 2018.</w:t>
      </w:r>
    </w:p>
  </w:footnote>
  <w:footnote w:id="46">
    <w:p w:rsidR="00524FD8" w:rsidRPr="00FB186A" w:rsidRDefault="00524FD8" w:rsidP="003E6761">
      <w:pPr>
        <w:pStyle w:val="FootnoteText"/>
        <w:jc w:val="both"/>
        <w:rPr>
          <w:rFonts w:ascii="Times New Roman" w:hAnsi="Times New Roman" w:cs="Times New Roman"/>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Art.47 alin.(1) lit. e) din Legea nr.181 din 25.07.2014.</w:t>
      </w:r>
    </w:p>
  </w:footnote>
  <w:footnote w:id="47">
    <w:p w:rsidR="00524FD8" w:rsidRPr="00FB186A" w:rsidRDefault="00524FD8" w:rsidP="003E6761">
      <w:pPr>
        <w:pStyle w:val="FootnoteText"/>
        <w:jc w:val="both"/>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Ordinul MF nr.44 din 12.02.2018 „Cu privire la aprobarea termenelor de prezentare a rapoartelor financiare pentru anul 2018”.</w:t>
      </w:r>
    </w:p>
  </w:footnote>
  <w:footnote w:id="48">
    <w:p w:rsidR="00524FD8" w:rsidRPr="00FB186A" w:rsidRDefault="00524FD8" w:rsidP="003E6761">
      <w:pPr>
        <w:pStyle w:val="FootnoteText"/>
        <w:rPr>
          <w:rFonts w:ascii="Times New Roman" w:hAnsi="Times New Roman" w:cs="Times New Roman"/>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Pct.12 din Anexa nr.3 la Ordinul MF nr.44 din 12.02.2018.</w:t>
      </w:r>
      <w:r w:rsidRPr="00FB186A">
        <w:rPr>
          <w:rFonts w:ascii="Times New Roman" w:hAnsi="Times New Roman" w:cs="Times New Roman"/>
          <w:sz w:val="16"/>
          <w:szCs w:val="16"/>
          <w:lang w:val="ro-RO"/>
        </w:rPr>
        <w:t xml:space="preserve"> </w:t>
      </w:r>
    </w:p>
  </w:footnote>
  <w:footnote w:id="49">
    <w:p w:rsidR="00524FD8" w:rsidRPr="00FB186A" w:rsidRDefault="00524FD8" w:rsidP="001E5A2A">
      <w:pPr>
        <w:pStyle w:val="FootnoteText"/>
        <w:rPr>
          <w:rFonts w:asciiTheme="majorHAnsi" w:hAnsiTheme="majorHAnsi" w:cs="Times New Roman"/>
          <w:sz w:val="16"/>
          <w:szCs w:val="16"/>
          <w:lang w:val="ro-RO"/>
        </w:rPr>
      </w:pPr>
      <w:r w:rsidRPr="00FB186A">
        <w:rPr>
          <w:rStyle w:val="FootnoteReference"/>
          <w:rFonts w:asciiTheme="majorHAnsi" w:hAnsiTheme="majorHAnsi" w:cs="Times New Roman"/>
          <w:sz w:val="16"/>
          <w:szCs w:val="16"/>
          <w:lang w:val="ro-RO"/>
        </w:rPr>
        <w:footnoteRef/>
      </w:r>
      <w:r w:rsidRPr="00FB186A">
        <w:rPr>
          <w:rFonts w:asciiTheme="majorHAnsi" w:hAnsiTheme="majorHAnsi" w:cs="Times New Roman"/>
          <w:sz w:val="16"/>
          <w:szCs w:val="16"/>
          <w:lang w:val="ro-RO"/>
        </w:rPr>
        <w:t xml:space="preserve"> Art.28 din Legea nr.181 din 25.07.2014.</w:t>
      </w:r>
    </w:p>
  </w:footnote>
  <w:footnote w:id="50">
    <w:p w:rsidR="00524FD8" w:rsidRPr="00FB186A" w:rsidRDefault="00524FD8" w:rsidP="001E5A2A">
      <w:pPr>
        <w:pStyle w:val="FootnoteText"/>
        <w:jc w:val="both"/>
        <w:rPr>
          <w:rFonts w:asciiTheme="majorHAnsi" w:hAnsiTheme="majorHAnsi" w:cs="Times New Roman"/>
          <w:sz w:val="16"/>
          <w:szCs w:val="16"/>
          <w:lang w:val="ro-RO"/>
        </w:rPr>
      </w:pPr>
      <w:r w:rsidRPr="00FB186A">
        <w:rPr>
          <w:rStyle w:val="FootnoteReference"/>
          <w:rFonts w:asciiTheme="majorHAnsi" w:hAnsiTheme="majorHAnsi" w:cs="Times New Roman"/>
          <w:sz w:val="16"/>
          <w:szCs w:val="16"/>
          <w:lang w:val="ro-RO"/>
        </w:rPr>
        <w:footnoteRef/>
      </w:r>
      <w:r w:rsidRPr="00FB186A">
        <w:rPr>
          <w:rFonts w:asciiTheme="majorHAnsi" w:hAnsiTheme="majorHAnsi" w:cs="Times New Roman"/>
          <w:sz w:val="16"/>
          <w:szCs w:val="16"/>
          <w:lang w:val="ro-RO"/>
        </w:rPr>
        <w:t xml:space="preserve"> Legea nr.180 din 26.07.2018 privind declararea voluntară și stimularea fiscală.</w:t>
      </w:r>
    </w:p>
  </w:footnote>
  <w:footnote w:id="51">
    <w:p w:rsidR="00524FD8" w:rsidRPr="00FB186A" w:rsidRDefault="00524FD8" w:rsidP="001E5A2A">
      <w:pPr>
        <w:pStyle w:val="FootnoteText"/>
        <w:rPr>
          <w:sz w:val="16"/>
          <w:szCs w:val="16"/>
          <w:lang w:val="ro-RO"/>
        </w:rPr>
      </w:pPr>
      <w:r w:rsidRPr="00FB186A">
        <w:rPr>
          <w:rStyle w:val="FootnoteReference"/>
          <w:rFonts w:asciiTheme="majorHAnsi" w:hAnsiTheme="majorHAnsi" w:cs="Times New Roman"/>
          <w:sz w:val="16"/>
          <w:szCs w:val="16"/>
          <w:lang w:val="ro-RO"/>
        </w:rPr>
        <w:footnoteRef/>
      </w:r>
      <w:r w:rsidRPr="00FB186A">
        <w:rPr>
          <w:rFonts w:asciiTheme="majorHAnsi" w:hAnsiTheme="majorHAnsi" w:cs="Times New Roman"/>
          <w:sz w:val="16"/>
          <w:szCs w:val="16"/>
          <w:lang w:val="ro-RO"/>
        </w:rPr>
        <w:t xml:space="preserve"> Date prezentate de către SFS.</w:t>
      </w:r>
    </w:p>
  </w:footnote>
  <w:footnote w:id="52">
    <w:p w:rsidR="00524FD8" w:rsidRPr="00FB186A" w:rsidRDefault="00524FD8" w:rsidP="008420F3">
      <w:pPr>
        <w:pStyle w:val="FootnoteText"/>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Noțiunea </w:t>
      </w:r>
      <w:r w:rsidRPr="00FB186A">
        <w:rPr>
          <w:rFonts w:asciiTheme="majorHAnsi" w:hAnsiTheme="majorHAnsi" w:cstheme="majorHAnsi"/>
          <w:i/>
          <w:sz w:val="16"/>
          <w:szCs w:val="16"/>
          <w:lang w:val="ro-RO"/>
        </w:rPr>
        <w:t>cheltuieli</w:t>
      </w:r>
      <w:r w:rsidRPr="00FB186A">
        <w:rPr>
          <w:rFonts w:asciiTheme="majorHAnsi" w:hAnsiTheme="majorHAnsi" w:cstheme="majorHAnsi"/>
          <w:sz w:val="16"/>
          <w:szCs w:val="16"/>
          <w:lang w:val="ro-RO"/>
        </w:rPr>
        <w:t xml:space="preserve"> va include totalul CBE 2 „Cheltuieli” și CBE 3 „Active financiare”.</w:t>
      </w:r>
    </w:p>
  </w:footnote>
  <w:footnote w:id="53">
    <w:p w:rsidR="00524FD8" w:rsidRPr="00222F03" w:rsidRDefault="00524FD8" w:rsidP="008420F3">
      <w:pPr>
        <w:pStyle w:val="FootnoteText"/>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00407E52" w:rsidRPr="004C5663">
        <w:rPr>
          <w:rFonts w:asciiTheme="majorHAnsi" w:hAnsiTheme="majorHAnsi" w:cstheme="majorHAnsi"/>
          <w:sz w:val="16"/>
          <w:szCs w:val="16"/>
          <w:lang w:val="ro-RO"/>
        </w:rPr>
        <w:t xml:space="preserve"> </w:t>
      </w:r>
      <w:r w:rsidRPr="00222F03">
        <w:rPr>
          <w:rFonts w:asciiTheme="majorHAnsi" w:hAnsiTheme="majorHAnsi" w:cstheme="majorHAnsi"/>
          <w:sz w:val="16"/>
          <w:szCs w:val="16"/>
          <w:lang w:val="ro-RO"/>
        </w:rPr>
        <w:t>Art.4 din Legea bugetului de stat pentru anul 2018.</w:t>
      </w:r>
    </w:p>
  </w:footnote>
  <w:footnote w:id="54">
    <w:p w:rsidR="00524FD8" w:rsidRPr="00FB186A" w:rsidRDefault="00524FD8" w:rsidP="008420F3">
      <w:pPr>
        <w:pStyle w:val="FootnoteText"/>
        <w:rPr>
          <w:rFonts w:asciiTheme="majorHAnsi" w:hAnsiTheme="majorHAnsi" w:cstheme="majorHAnsi"/>
          <w:sz w:val="16"/>
          <w:szCs w:val="16"/>
          <w:lang w:val="ro-RO"/>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Art.3 lit. d) din </w:t>
      </w:r>
      <w:r w:rsidRPr="00FB186A">
        <w:rPr>
          <w:rFonts w:asciiTheme="majorHAnsi" w:hAnsiTheme="majorHAnsi" w:cstheme="majorHAnsi"/>
          <w:sz w:val="16"/>
          <w:szCs w:val="16"/>
          <w:lang w:val="ro-MD"/>
        </w:rPr>
        <w:t>Legea bugetului de stat pentru anul 2018.</w:t>
      </w:r>
    </w:p>
  </w:footnote>
  <w:footnote w:id="55">
    <w:p w:rsidR="00524FD8" w:rsidRPr="00FB186A" w:rsidRDefault="00524FD8" w:rsidP="008420F3">
      <w:pPr>
        <w:pStyle w:val="FootnoteText"/>
        <w:jc w:val="both"/>
        <w:rPr>
          <w:rFonts w:asciiTheme="majorHAnsi" w:hAnsiTheme="majorHAnsi" w:cstheme="majorHAnsi"/>
          <w:sz w:val="16"/>
          <w:szCs w:val="16"/>
          <w:lang w:val="ro-MD"/>
        </w:rPr>
      </w:pPr>
      <w:r w:rsidRPr="00FB186A">
        <w:rPr>
          <w:rStyle w:val="FootnoteReference"/>
          <w:rFonts w:asciiTheme="majorHAnsi" w:hAnsiTheme="majorHAnsi" w:cstheme="majorHAnsi"/>
          <w:sz w:val="16"/>
          <w:szCs w:val="16"/>
          <w:lang w:val="ro-MD"/>
        </w:rPr>
        <w:footnoteRef/>
      </w:r>
      <w:r w:rsidRPr="00FB186A">
        <w:rPr>
          <w:rFonts w:asciiTheme="majorHAnsi" w:hAnsiTheme="majorHAnsi" w:cstheme="majorHAnsi"/>
          <w:sz w:val="16"/>
          <w:szCs w:val="16"/>
          <w:lang w:val="ro-MD"/>
        </w:rPr>
        <w:t xml:space="preserve"> Pct.5 din Regulamentul privind gestionarea fondurilor de urgență ale Guvernului, aprobat prin HG nr.862 din 18.12.2015 (în continuare – Regulamentul privind gestionarea fondurilor de urgență ale Guvernului).</w:t>
      </w:r>
    </w:p>
  </w:footnote>
  <w:footnote w:id="56">
    <w:p w:rsidR="00524FD8" w:rsidRPr="00FB186A" w:rsidRDefault="00524FD8" w:rsidP="008420F3">
      <w:pPr>
        <w:pStyle w:val="FootnoteText"/>
        <w:rPr>
          <w:rFonts w:asciiTheme="majorHAnsi" w:eastAsia="Times New Roman" w:hAnsiTheme="majorHAnsi" w:cstheme="majorHAnsi"/>
          <w:sz w:val="16"/>
          <w:szCs w:val="16"/>
          <w:lang w:val="ro-MD"/>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w:t>
      </w:r>
      <w:r w:rsidRPr="00FB186A">
        <w:rPr>
          <w:rFonts w:asciiTheme="majorHAnsi" w:eastAsia="Times New Roman" w:hAnsiTheme="majorHAnsi" w:cstheme="majorHAnsi"/>
          <w:sz w:val="16"/>
          <w:szCs w:val="16"/>
          <w:lang w:val="ro-MD"/>
        </w:rPr>
        <w:t>Art.68 alin.(1) din Legea nr.181 din 25.07.2014.</w:t>
      </w:r>
    </w:p>
  </w:footnote>
  <w:footnote w:id="57">
    <w:p w:rsidR="00524FD8" w:rsidRPr="00222F03" w:rsidRDefault="00524FD8" w:rsidP="008420F3">
      <w:pPr>
        <w:pStyle w:val="FootnoteText"/>
        <w:jc w:val="both"/>
        <w:rPr>
          <w:rFonts w:asciiTheme="majorHAnsi" w:hAnsiTheme="majorHAnsi" w:cstheme="majorHAnsi"/>
          <w:sz w:val="16"/>
          <w:szCs w:val="16"/>
          <w:lang w:val="ro-RO"/>
        </w:rPr>
      </w:pPr>
      <w:r w:rsidRPr="00222F03">
        <w:rPr>
          <w:rStyle w:val="FootnoteReference"/>
          <w:rFonts w:asciiTheme="majorHAnsi" w:hAnsiTheme="majorHAnsi" w:cstheme="majorHAnsi"/>
          <w:sz w:val="16"/>
          <w:szCs w:val="16"/>
          <w:lang w:val="ro-RO"/>
        </w:rPr>
        <w:footnoteRef/>
      </w:r>
      <w:r w:rsidRPr="00222F03">
        <w:rPr>
          <w:rFonts w:asciiTheme="majorHAnsi" w:hAnsiTheme="majorHAnsi" w:cstheme="majorHAnsi"/>
          <w:sz w:val="16"/>
          <w:szCs w:val="16"/>
          <w:lang w:val="ro-RO"/>
        </w:rPr>
        <w:t xml:space="preserve"> Contractul nr.036 din 23.01.2018 de prestare a serviciilor informatice. Acordul adițional nr.01 din 14.05.2018.</w:t>
      </w:r>
    </w:p>
  </w:footnote>
  <w:footnote w:id="58">
    <w:p w:rsidR="00524FD8" w:rsidRPr="00FB186A" w:rsidRDefault="00524FD8" w:rsidP="008420F3">
      <w:pPr>
        <w:pStyle w:val="FootnoteText"/>
        <w:rPr>
          <w:rFonts w:asciiTheme="majorHAnsi" w:hAnsiTheme="majorHAnsi" w:cstheme="majorHAnsi"/>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Art.19 din Legea nr.181 din 25.07.2014.</w:t>
      </w:r>
    </w:p>
  </w:footnote>
  <w:footnote w:id="59">
    <w:p w:rsidR="00524FD8" w:rsidRPr="00FB186A" w:rsidRDefault="00524FD8" w:rsidP="008420F3">
      <w:pPr>
        <w:pStyle w:val="FootnoteText"/>
        <w:rPr>
          <w:rFonts w:ascii="Times New Roman" w:hAnsi="Times New Roman" w:cs="Times New Roman"/>
          <w:sz w:val="16"/>
          <w:szCs w:val="16"/>
          <w:lang w:val="ro-RO"/>
        </w:rPr>
      </w:pPr>
      <w:r w:rsidRPr="00FB186A">
        <w:rPr>
          <w:rStyle w:val="FootnoteReference"/>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Art.20 din Legea nr.181 din 25.07.2014.</w:t>
      </w:r>
    </w:p>
  </w:footnote>
  <w:footnote w:id="60">
    <w:p w:rsidR="00524FD8" w:rsidRPr="00133678" w:rsidRDefault="00524FD8" w:rsidP="008420F3">
      <w:pPr>
        <w:jc w:val="both"/>
        <w:rPr>
          <w:rFonts w:asciiTheme="majorHAnsi" w:hAnsiTheme="majorHAnsi" w:cstheme="majorHAnsi"/>
          <w:sz w:val="20"/>
          <w:szCs w:val="20"/>
        </w:rPr>
      </w:pPr>
      <w:r w:rsidRPr="00FB186A">
        <w:rPr>
          <w:rStyle w:val="FootnoteReference"/>
          <w:rFonts w:asciiTheme="majorHAnsi" w:hAnsiTheme="majorHAnsi" w:cstheme="majorHAnsi"/>
          <w:sz w:val="16"/>
          <w:szCs w:val="16"/>
        </w:rPr>
        <w:footnoteRef/>
      </w:r>
      <w:r w:rsidRPr="00FB186A">
        <w:rPr>
          <w:rFonts w:asciiTheme="majorHAnsi" w:hAnsiTheme="majorHAnsi" w:cstheme="majorHAnsi"/>
          <w:sz w:val="16"/>
          <w:szCs w:val="16"/>
        </w:rPr>
        <w:t xml:space="preserve"> </w:t>
      </w:r>
      <w:r w:rsidRPr="00FB186A">
        <w:rPr>
          <w:rFonts w:asciiTheme="majorHAnsi" w:eastAsia="Times New Roman" w:hAnsiTheme="majorHAnsi" w:cstheme="majorHAnsi"/>
          <w:sz w:val="16"/>
          <w:szCs w:val="16"/>
        </w:rPr>
        <w:t>Ordinul MF nr.208 din 24.12.2015 „Privind Clasificația bugetară”.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EA3"/>
    <w:multiLevelType w:val="hybridMultilevel"/>
    <w:tmpl w:val="617AFFF0"/>
    <w:lvl w:ilvl="0" w:tplc="3F2A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41DA"/>
    <w:multiLevelType w:val="hybridMultilevel"/>
    <w:tmpl w:val="57C6D9D4"/>
    <w:lvl w:ilvl="0" w:tplc="2AD0F4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4CC786F"/>
    <w:multiLevelType w:val="hybridMultilevel"/>
    <w:tmpl w:val="E4DE9B32"/>
    <w:lvl w:ilvl="0" w:tplc="627C93B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F58E4"/>
    <w:multiLevelType w:val="hybridMultilevel"/>
    <w:tmpl w:val="DE6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75695"/>
    <w:multiLevelType w:val="hybridMultilevel"/>
    <w:tmpl w:val="AA004BBE"/>
    <w:lvl w:ilvl="0" w:tplc="9884A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C37CB"/>
    <w:multiLevelType w:val="hybridMultilevel"/>
    <w:tmpl w:val="E6C25EA4"/>
    <w:lvl w:ilvl="0" w:tplc="13D42E20">
      <w:start w:val="1"/>
      <w:numFmt w:val="lowerRoman"/>
      <w:lvlText w:val="(%1)"/>
      <w:lvlJc w:val="left"/>
      <w:pPr>
        <w:ind w:left="1429" w:hanging="7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216C24"/>
    <w:multiLevelType w:val="multilevel"/>
    <w:tmpl w:val="F9A83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53DDE"/>
    <w:multiLevelType w:val="hybridMultilevel"/>
    <w:tmpl w:val="C9F2BBBA"/>
    <w:lvl w:ilvl="0" w:tplc="39CEE7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690B"/>
    <w:multiLevelType w:val="hybridMultilevel"/>
    <w:tmpl w:val="9E6C26BA"/>
    <w:lvl w:ilvl="0" w:tplc="EFBCB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3114F"/>
    <w:multiLevelType w:val="hybridMultilevel"/>
    <w:tmpl w:val="F6E67850"/>
    <w:lvl w:ilvl="0" w:tplc="2D0CA99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77B3"/>
    <w:multiLevelType w:val="hybridMultilevel"/>
    <w:tmpl w:val="8168ED70"/>
    <w:lvl w:ilvl="0" w:tplc="CB9822A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5004E"/>
    <w:multiLevelType w:val="hybridMultilevel"/>
    <w:tmpl w:val="BE4635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1633192"/>
    <w:multiLevelType w:val="hybridMultilevel"/>
    <w:tmpl w:val="75FE189A"/>
    <w:lvl w:ilvl="0" w:tplc="32740D1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E3981"/>
    <w:multiLevelType w:val="multilevel"/>
    <w:tmpl w:val="2FA2BEF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CC907A1"/>
    <w:multiLevelType w:val="hybridMultilevel"/>
    <w:tmpl w:val="6CB868E8"/>
    <w:lvl w:ilvl="0" w:tplc="22BE5C5E">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3742EA1"/>
    <w:multiLevelType w:val="hybridMultilevel"/>
    <w:tmpl w:val="AA4A6D2A"/>
    <w:lvl w:ilvl="0" w:tplc="DFAC8588">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69E66812"/>
    <w:multiLevelType w:val="hybridMultilevel"/>
    <w:tmpl w:val="7CA8B5B4"/>
    <w:lvl w:ilvl="0" w:tplc="E6E461A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3169B0"/>
    <w:multiLevelType w:val="hybridMultilevel"/>
    <w:tmpl w:val="C84EFE06"/>
    <w:lvl w:ilvl="0" w:tplc="051A24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0723B"/>
    <w:multiLevelType w:val="hybridMultilevel"/>
    <w:tmpl w:val="4926A98A"/>
    <w:lvl w:ilvl="0" w:tplc="87B6CAEE">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D171A"/>
    <w:multiLevelType w:val="multilevel"/>
    <w:tmpl w:val="2FA2BEF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18"/>
  </w:num>
  <w:num w:numId="3">
    <w:abstractNumId w:val="4"/>
  </w:num>
  <w:num w:numId="4">
    <w:abstractNumId w:val="11"/>
  </w:num>
  <w:num w:numId="5">
    <w:abstractNumId w:val="1"/>
  </w:num>
  <w:num w:numId="6">
    <w:abstractNumId w:val="7"/>
  </w:num>
  <w:num w:numId="7">
    <w:abstractNumId w:val="16"/>
  </w:num>
  <w:num w:numId="8">
    <w:abstractNumId w:val="20"/>
  </w:num>
  <w:num w:numId="9">
    <w:abstractNumId w:val="15"/>
  </w:num>
  <w:num w:numId="10">
    <w:abstractNumId w:val="17"/>
  </w:num>
  <w:num w:numId="11">
    <w:abstractNumId w:val="8"/>
  </w:num>
  <w:num w:numId="12">
    <w:abstractNumId w:val="0"/>
  </w:num>
  <w:num w:numId="13">
    <w:abstractNumId w:val="19"/>
  </w:num>
  <w:num w:numId="14">
    <w:abstractNumId w:val="21"/>
  </w:num>
  <w:num w:numId="15">
    <w:abstractNumId w:val="12"/>
  </w:num>
  <w:num w:numId="16">
    <w:abstractNumId w:val="2"/>
  </w:num>
  <w:num w:numId="17">
    <w:abstractNumId w:val="14"/>
  </w:num>
  <w:num w:numId="18">
    <w:abstractNumId w:val="3"/>
  </w:num>
  <w:num w:numId="19">
    <w:abstractNumId w:val="10"/>
  </w:num>
  <w:num w:numId="20">
    <w:abstractNumId w:val="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9"/>
    <w:rsid w:val="00000B65"/>
    <w:rsid w:val="00000D21"/>
    <w:rsid w:val="00001ED9"/>
    <w:rsid w:val="000049CF"/>
    <w:rsid w:val="00005652"/>
    <w:rsid w:val="00005F9E"/>
    <w:rsid w:val="0000681F"/>
    <w:rsid w:val="000070C0"/>
    <w:rsid w:val="00007EE7"/>
    <w:rsid w:val="000102E6"/>
    <w:rsid w:val="00010B58"/>
    <w:rsid w:val="00011E1E"/>
    <w:rsid w:val="0001224C"/>
    <w:rsid w:val="00014818"/>
    <w:rsid w:val="000148DD"/>
    <w:rsid w:val="000153B5"/>
    <w:rsid w:val="0001540C"/>
    <w:rsid w:val="0001651A"/>
    <w:rsid w:val="00016D73"/>
    <w:rsid w:val="0001736A"/>
    <w:rsid w:val="00020200"/>
    <w:rsid w:val="0002123E"/>
    <w:rsid w:val="00021C61"/>
    <w:rsid w:val="00021CEB"/>
    <w:rsid w:val="0002244B"/>
    <w:rsid w:val="00023082"/>
    <w:rsid w:val="0002491A"/>
    <w:rsid w:val="000256DC"/>
    <w:rsid w:val="000257B5"/>
    <w:rsid w:val="000258FF"/>
    <w:rsid w:val="0002602B"/>
    <w:rsid w:val="000303CF"/>
    <w:rsid w:val="00031E9C"/>
    <w:rsid w:val="00033AF2"/>
    <w:rsid w:val="00033F59"/>
    <w:rsid w:val="000350E0"/>
    <w:rsid w:val="00035A20"/>
    <w:rsid w:val="00035AE1"/>
    <w:rsid w:val="000363B7"/>
    <w:rsid w:val="0003704D"/>
    <w:rsid w:val="00037A9D"/>
    <w:rsid w:val="00040F9E"/>
    <w:rsid w:val="0004180B"/>
    <w:rsid w:val="00043744"/>
    <w:rsid w:val="00044035"/>
    <w:rsid w:val="0004590C"/>
    <w:rsid w:val="000470FA"/>
    <w:rsid w:val="000476A0"/>
    <w:rsid w:val="00047F86"/>
    <w:rsid w:val="00050E10"/>
    <w:rsid w:val="00051BEF"/>
    <w:rsid w:val="000529F1"/>
    <w:rsid w:val="00053C49"/>
    <w:rsid w:val="000569C0"/>
    <w:rsid w:val="0006070C"/>
    <w:rsid w:val="00061E10"/>
    <w:rsid w:val="000628F9"/>
    <w:rsid w:val="00063152"/>
    <w:rsid w:val="000636AB"/>
    <w:rsid w:val="000644F6"/>
    <w:rsid w:val="000646F2"/>
    <w:rsid w:val="00065E68"/>
    <w:rsid w:val="000665F4"/>
    <w:rsid w:val="000677ED"/>
    <w:rsid w:val="000679DD"/>
    <w:rsid w:val="000702CD"/>
    <w:rsid w:val="00070CFF"/>
    <w:rsid w:val="00073F50"/>
    <w:rsid w:val="000748B4"/>
    <w:rsid w:val="000753DD"/>
    <w:rsid w:val="000756FC"/>
    <w:rsid w:val="0007688F"/>
    <w:rsid w:val="000802A5"/>
    <w:rsid w:val="000803B1"/>
    <w:rsid w:val="0008232D"/>
    <w:rsid w:val="000838BD"/>
    <w:rsid w:val="00086BA1"/>
    <w:rsid w:val="0009310A"/>
    <w:rsid w:val="00093110"/>
    <w:rsid w:val="0009398C"/>
    <w:rsid w:val="000955D4"/>
    <w:rsid w:val="0009716C"/>
    <w:rsid w:val="00097E7B"/>
    <w:rsid w:val="000A077A"/>
    <w:rsid w:val="000A0A3E"/>
    <w:rsid w:val="000A1458"/>
    <w:rsid w:val="000A1A12"/>
    <w:rsid w:val="000A1D06"/>
    <w:rsid w:val="000A36E6"/>
    <w:rsid w:val="000A3832"/>
    <w:rsid w:val="000A42D6"/>
    <w:rsid w:val="000A4858"/>
    <w:rsid w:val="000A5272"/>
    <w:rsid w:val="000A763D"/>
    <w:rsid w:val="000B0886"/>
    <w:rsid w:val="000B278E"/>
    <w:rsid w:val="000B2AEA"/>
    <w:rsid w:val="000B2F9B"/>
    <w:rsid w:val="000B486A"/>
    <w:rsid w:val="000B589A"/>
    <w:rsid w:val="000B629D"/>
    <w:rsid w:val="000B6E2A"/>
    <w:rsid w:val="000C0F45"/>
    <w:rsid w:val="000C13F3"/>
    <w:rsid w:val="000C2B35"/>
    <w:rsid w:val="000C2CA8"/>
    <w:rsid w:val="000C3A69"/>
    <w:rsid w:val="000C4AC4"/>
    <w:rsid w:val="000C5903"/>
    <w:rsid w:val="000C6D55"/>
    <w:rsid w:val="000D0223"/>
    <w:rsid w:val="000D0861"/>
    <w:rsid w:val="000D22F1"/>
    <w:rsid w:val="000D3173"/>
    <w:rsid w:val="000D4A35"/>
    <w:rsid w:val="000D635F"/>
    <w:rsid w:val="000D7427"/>
    <w:rsid w:val="000E0BF3"/>
    <w:rsid w:val="000E0D18"/>
    <w:rsid w:val="000E189E"/>
    <w:rsid w:val="000E2F59"/>
    <w:rsid w:val="000E3406"/>
    <w:rsid w:val="000E5095"/>
    <w:rsid w:val="000E5195"/>
    <w:rsid w:val="000E5E6B"/>
    <w:rsid w:val="000E6355"/>
    <w:rsid w:val="000E7D5B"/>
    <w:rsid w:val="000E7F53"/>
    <w:rsid w:val="000F0462"/>
    <w:rsid w:val="000F1569"/>
    <w:rsid w:val="000F19D1"/>
    <w:rsid w:val="000F2FF1"/>
    <w:rsid w:val="000F37DE"/>
    <w:rsid w:val="000F3E2C"/>
    <w:rsid w:val="000F440D"/>
    <w:rsid w:val="000F5EB7"/>
    <w:rsid w:val="000F7E03"/>
    <w:rsid w:val="00101A8B"/>
    <w:rsid w:val="001027B6"/>
    <w:rsid w:val="00102C18"/>
    <w:rsid w:val="001040F6"/>
    <w:rsid w:val="00104AC4"/>
    <w:rsid w:val="001059C4"/>
    <w:rsid w:val="0010605F"/>
    <w:rsid w:val="00106E59"/>
    <w:rsid w:val="00107AFF"/>
    <w:rsid w:val="00107E07"/>
    <w:rsid w:val="00110FAE"/>
    <w:rsid w:val="00112B1D"/>
    <w:rsid w:val="00112CAB"/>
    <w:rsid w:val="001163CE"/>
    <w:rsid w:val="00126325"/>
    <w:rsid w:val="00126694"/>
    <w:rsid w:val="00126ADE"/>
    <w:rsid w:val="00127B58"/>
    <w:rsid w:val="00131E85"/>
    <w:rsid w:val="00132BC6"/>
    <w:rsid w:val="00133678"/>
    <w:rsid w:val="00134EB3"/>
    <w:rsid w:val="00135B6F"/>
    <w:rsid w:val="001406A3"/>
    <w:rsid w:val="00140A4F"/>
    <w:rsid w:val="00141254"/>
    <w:rsid w:val="00143260"/>
    <w:rsid w:val="0014335A"/>
    <w:rsid w:val="00143E88"/>
    <w:rsid w:val="001465DB"/>
    <w:rsid w:val="00146EFF"/>
    <w:rsid w:val="00147114"/>
    <w:rsid w:val="00147164"/>
    <w:rsid w:val="00147346"/>
    <w:rsid w:val="00147AA9"/>
    <w:rsid w:val="00147C1A"/>
    <w:rsid w:val="00147DBB"/>
    <w:rsid w:val="00147FDA"/>
    <w:rsid w:val="0015015F"/>
    <w:rsid w:val="00150AC2"/>
    <w:rsid w:val="00151F13"/>
    <w:rsid w:val="001522C8"/>
    <w:rsid w:val="00152D63"/>
    <w:rsid w:val="001536D2"/>
    <w:rsid w:val="00153D71"/>
    <w:rsid w:val="001546CB"/>
    <w:rsid w:val="001568CA"/>
    <w:rsid w:val="00157CD4"/>
    <w:rsid w:val="00157CFD"/>
    <w:rsid w:val="00160BB8"/>
    <w:rsid w:val="00162FFE"/>
    <w:rsid w:val="001630DA"/>
    <w:rsid w:val="00163262"/>
    <w:rsid w:val="00163442"/>
    <w:rsid w:val="00163B18"/>
    <w:rsid w:val="001667C3"/>
    <w:rsid w:val="00166D7B"/>
    <w:rsid w:val="001678A3"/>
    <w:rsid w:val="00170811"/>
    <w:rsid w:val="00170A4D"/>
    <w:rsid w:val="001712BA"/>
    <w:rsid w:val="001715B3"/>
    <w:rsid w:val="00171648"/>
    <w:rsid w:val="00172507"/>
    <w:rsid w:val="00173413"/>
    <w:rsid w:val="001747C4"/>
    <w:rsid w:val="00174BC7"/>
    <w:rsid w:val="001757B5"/>
    <w:rsid w:val="00177D9F"/>
    <w:rsid w:val="00182072"/>
    <w:rsid w:val="0018455F"/>
    <w:rsid w:val="00185C72"/>
    <w:rsid w:val="00186F7B"/>
    <w:rsid w:val="00190E45"/>
    <w:rsid w:val="00192D44"/>
    <w:rsid w:val="001934B7"/>
    <w:rsid w:val="00194171"/>
    <w:rsid w:val="00194385"/>
    <w:rsid w:val="0019484A"/>
    <w:rsid w:val="00194B5F"/>
    <w:rsid w:val="001962E7"/>
    <w:rsid w:val="00196BD6"/>
    <w:rsid w:val="00196CD3"/>
    <w:rsid w:val="0019750A"/>
    <w:rsid w:val="00197B6B"/>
    <w:rsid w:val="001A0C1B"/>
    <w:rsid w:val="001A23C9"/>
    <w:rsid w:val="001A254E"/>
    <w:rsid w:val="001A33FF"/>
    <w:rsid w:val="001A7B21"/>
    <w:rsid w:val="001B0366"/>
    <w:rsid w:val="001B26FC"/>
    <w:rsid w:val="001B5339"/>
    <w:rsid w:val="001B61B5"/>
    <w:rsid w:val="001B6909"/>
    <w:rsid w:val="001C0027"/>
    <w:rsid w:val="001C0791"/>
    <w:rsid w:val="001C0ECE"/>
    <w:rsid w:val="001C2ED5"/>
    <w:rsid w:val="001C2F75"/>
    <w:rsid w:val="001C303B"/>
    <w:rsid w:val="001C384F"/>
    <w:rsid w:val="001C5682"/>
    <w:rsid w:val="001C5E77"/>
    <w:rsid w:val="001C650E"/>
    <w:rsid w:val="001C7073"/>
    <w:rsid w:val="001C7497"/>
    <w:rsid w:val="001D04CD"/>
    <w:rsid w:val="001D1A3A"/>
    <w:rsid w:val="001D491B"/>
    <w:rsid w:val="001E0164"/>
    <w:rsid w:val="001E05B5"/>
    <w:rsid w:val="001E1439"/>
    <w:rsid w:val="001E1F82"/>
    <w:rsid w:val="001E32DC"/>
    <w:rsid w:val="001E3472"/>
    <w:rsid w:val="001E3ECF"/>
    <w:rsid w:val="001E49DA"/>
    <w:rsid w:val="001E52EC"/>
    <w:rsid w:val="001E5620"/>
    <w:rsid w:val="001E58AF"/>
    <w:rsid w:val="001E5A2A"/>
    <w:rsid w:val="001E5F9E"/>
    <w:rsid w:val="001E6D54"/>
    <w:rsid w:val="001E71AB"/>
    <w:rsid w:val="001F35D6"/>
    <w:rsid w:val="001F3811"/>
    <w:rsid w:val="001F3FCB"/>
    <w:rsid w:val="001F494A"/>
    <w:rsid w:val="001F4C38"/>
    <w:rsid w:val="001F614A"/>
    <w:rsid w:val="001F659B"/>
    <w:rsid w:val="001F75F6"/>
    <w:rsid w:val="001F78BC"/>
    <w:rsid w:val="00202D5E"/>
    <w:rsid w:val="00203456"/>
    <w:rsid w:val="00207DE6"/>
    <w:rsid w:val="00210484"/>
    <w:rsid w:val="00210D3F"/>
    <w:rsid w:val="00211308"/>
    <w:rsid w:val="00212145"/>
    <w:rsid w:val="002137BA"/>
    <w:rsid w:val="00213915"/>
    <w:rsid w:val="00214A47"/>
    <w:rsid w:val="00214D76"/>
    <w:rsid w:val="002155E3"/>
    <w:rsid w:val="00216666"/>
    <w:rsid w:val="00216FFC"/>
    <w:rsid w:val="002178AE"/>
    <w:rsid w:val="0021794A"/>
    <w:rsid w:val="00217EF7"/>
    <w:rsid w:val="002201E7"/>
    <w:rsid w:val="002215E1"/>
    <w:rsid w:val="00221C3D"/>
    <w:rsid w:val="00222627"/>
    <w:rsid w:val="00222F03"/>
    <w:rsid w:val="002234E3"/>
    <w:rsid w:val="00223EAD"/>
    <w:rsid w:val="002300CB"/>
    <w:rsid w:val="00230CC8"/>
    <w:rsid w:val="00231019"/>
    <w:rsid w:val="0023217C"/>
    <w:rsid w:val="00235386"/>
    <w:rsid w:val="0023628B"/>
    <w:rsid w:val="00236A16"/>
    <w:rsid w:val="00236C27"/>
    <w:rsid w:val="002378AB"/>
    <w:rsid w:val="00237997"/>
    <w:rsid w:val="002379B4"/>
    <w:rsid w:val="0024046D"/>
    <w:rsid w:val="00241E38"/>
    <w:rsid w:val="00242E34"/>
    <w:rsid w:val="002431C9"/>
    <w:rsid w:val="002433B4"/>
    <w:rsid w:val="00243F5D"/>
    <w:rsid w:val="00244471"/>
    <w:rsid w:val="00244497"/>
    <w:rsid w:val="002454AB"/>
    <w:rsid w:val="002467EF"/>
    <w:rsid w:val="00250CF8"/>
    <w:rsid w:val="00250E85"/>
    <w:rsid w:val="002514C6"/>
    <w:rsid w:val="002531F5"/>
    <w:rsid w:val="002535E5"/>
    <w:rsid w:val="002546D5"/>
    <w:rsid w:val="0025512A"/>
    <w:rsid w:val="002554DD"/>
    <w:rsid w:val="002569F0"/>
    <w:rsid w:val="00257F3B"/>
    <w:rsid w:val="00257FD6"/>
    <w:rsid w:val="0026002B"/>
    <w:rsid w:val="002618A3"/>
    <w:rsid w:val="00262991"/>
    <w:rsid w:val="00262ADD"/>
    <w:rsid w:val="00265A35"/>
    <w:rsid w:val="0026680C"/>
    <w:rsid w:val="00270A79"/>
    <w:rsid w:val="002727FF"/>
    <w:rsid w:val="002735A5"/>
    <w:rsid w:val="002735B7"/>
    <w:rsid w:val="00273C66"/>
    <w:rsid w:val="002744D4"/>
    <w:rsid w:val="00277AB6"/>
    <w:rsid w:val="00280EC8"/>
    <w:rsid w:val="00281644"/>
    <w:rsid w:val="00282682"/>
    <w:rsid w:val="0028341B"/>
    <w:rsid w:val="0028357D"/>
    <w:rsid w:val="0028594C"/>
    <w:rsid w:val="002866E9"/>
    <w:rsid w:val="002872B8"/>
    <w:rsid w:val="0028783C"/>
    <w:rsid w:val="0029053E"/>
    <w:rsid w:val="00291529"/>
    <w:rsid w:val="00291CA3"/>
    <w:rsid w:val="00291F4F"/>
    <w:rsid w:val="00292260"/>
    <w:rsid w:val="00293568"/>
    <w:rsid w:val="00293D03"/>
    <w:rsid w:val="002944F7"/>
    <w:rsid w:val="00295BDA"/>
    <w:rsid w:val="00296D63"/>
    <w:rsid w:val="00297E12"/>
    <w:rsid w:val="002A0BF3"/>
    <w:rsid w:val="002A1993"/>
    <w:rsid w:val="002A41DC"/>
    <w:rsid w:val="002A53D0"/>
    <w:rsid w:val="002A61B1"/>
    <w:rsid w:val="002A6487"/>
    <w:rsid w:val="002A6909"/>
    <w:rsid w:val="002A7125"/>
    <w:rsid w:val="002B10D6"/>
    <w:rsid w:val="002B238C"/>
    <w:rsid w:val="002B28C0"/>
    <w:rsid w:val="002B3276"/>
    <w:rsid w:val="002B39CA"/>
    <w:rsid w:val="002B4A7A"/>
    <w:rsid w:val="002B5545"/>
    <w:rsid w:val="002B5751"/>
    <w:rsid w:val="002B6C1C"/>
    <w:rsid w:val="002C5883"/>
    <w:rsid w:val="002C5F27"/>
    <w:rsid w:val="002C65CD"/>
    <w:rsid w:val="002C6ED1"/>
    <w:rsid w:val="002C7F06"/>
    <w:rsid w:val="002D06F2"/>
    <w:rsid w:val="002D14B6"/>
    <w:rsid w:val="002D285F"/>
    <w:rsid w:val="002D3EE9"/>
    <w:rsid w:val="002D5324"/>
    <w:rsid w:val="002D640C"/>
    <w:rsid w:val="002D6808"/>
    <w:rsid w:val="002D68EB"/>
    <w:rsid w:val="002D6A74"/>
    <w:rsid w:val="002D775E"/>
    <w:rsid w:val="002D7B9F"/>
    <w:rsid w:val="002D7F6C"/>
    <w:rsid w:val="002E03A0"/>
    <w:rsid w:val="002E24D5"/>
    <w:rsid w:val="002E323E"/>
    <w:rsid w:val="002E4B6B"/>
    <w:rsid w:val="002E553F"/>
    <w:rsid w:val="002E721F"/>
    <w:rsid w:val="002E7B52"/>
    <w:rsid w:val="002E7B76"/>
    <w:rsid w:val="002F0866"/>
    <w:rsid w:val="002F1984"/>
    <w:rsid w:val="002F27E8"/>
    <w:rsid w:val="002F3A2F"/>
    <w:rsid w:val="002F4091"/>
    <w:rsid w:val="002F7C6F"/>
    <w:rsid w:val="002F7DE8"/>
    <w:rsid w:val="0030150D"/>
    <w:rsid w:val="003023A3"/>
    <w:rsid w:val="003032C2"/>
    <w:rsid w:val="003052F1"/>
    <w:rsid w:val="00305757"/>
    <w:rsid w:val="0030584F"/>
    <w:rsid w:val="00306CB9"/>
    <w:rsid w:val="003071ED"/>
    <w:rsid w:val="0031082A"/>
    <w:rsid w:val="00310F49"/>
    <w:rsid w:val="00311D04"/>
    <w:rsid w:val="00311F69"/>
    <w:rsid w:val="00312A2E"/>
    <w:rsid w:val="00313339"/>
    <w:rsid w:val="003145A7"/>
    <w:rsid w:val="00314F2C"/>
    <w:rsid w:val="003150C7"/>
    <w:rsid w:val="003207D1"/>
    <w:rsid w:val="0032131B"/>
    <w:rsid w:val="00321383"/>
    <w:rsid w:val="00321962"/>
    <w:rsid w:val="00321DA6"/>
    <w:rsid w:val="00322379"/>
    <w:rsid w:val="00322644"/>
    <w:rsid w:val="0032297C"/>
    <w:rsid w:val="003259A3"/>
    <w:rsid w:val="003272B6"/>
    <w:rsid w:val="00327FC3"/>
    <w:rsid w:val="00331780"/>
    <w:rsid w:val="0033200C"/>
    <w:rsid w:val="00332192"/>
    <w:rsid w:val="0033486B"/>
    <w:rsid w:val="00334D0B"/>
    <w:rsid w:val="00337418"/>
    <w:rsid w:val="00343923"/>
    <w:rsid w:val="00343B87"/>
    <w:rsid w:val="00343C23"/>
    <w:rsid w:val="003451A9"/>
    <w:rsid w:val="00346D37"/>
    <w:rsid w:val="00347470"/>
    <w:rsid w:val="00347814"/>
    <w:rsid w:val="00347A49"/>
    <w:rsid w:val="00347CD0"/>
    <w:rsid w:val="00350318"/>
    <w:rsid w:val="0035045E"/>
    <w:rsid w:val="00352CD7"/>
    <w:rsid w:val="0035328B"/>
    <w:rsid w:val="00354FDE"/>
    <w:rsid w:val="0035514E"/>
    <w:rsid w:val="00356B2E"/>
    <w:rsid w:val="00364452"/>
    <w:rsid w:val="00364569"/>
    <w:rsid w:val="00365C03"/>
    <w:rsid w:val="00366383"/>
    <w:rsid w:val="0036672C"/>
    <w:rsid w:val="00370FED"/>
    <w:rsid w:val="00371D98"/>
    <w:rsid w:val="00373509"/>
    <w:rsid w:val="00375368"/>
    <w:rsid w:val="003757E4"/>
    <w:rsid w:val="00376200"/>
    <w:rsid w:val="00377728"/>
    <w:rsid w:val="0037792D"/>
    <w:rsid w:val="00377C93"/>
    <w:rsid w:val="00380F1C"/>
    <w:rsid w:val="00380FC8"/>
    <w:rsid w:val="00382754"/>
    <w:rsid w:val="00382847"/>
    <w:rsid w:val="00382AD6"/>
    <w:rsid w:val="00383EE1"/>
    <w:rsid w:val="003845A9"/>
    <w:rsid w:val="00385BE6"/>
    <w:rsid w:val="0038629D"/>
    <w:rsid w:val="00390EA3"/>
    <w:rsid w:val="00391567"/>
    <w:rsid w:val="00391F7C"/>
    <w:rsid w:val="00392A57"/>
    <w:rsid w:val="00392F5C"/>
    <w:rsid w:val="00393738"/>
    <w:rsid w:val="00394327"/>
    <w:rsid w:val="0039436D"/>
    <w:rsid w:val="003951FB"/>
    <w:rsid w:val="00397B4C"/>
    <w:rsid w:val="003A184A"/>
    <w:rsid w:val="003A685B"/>
    <w:rsid w:val="003B041A"/>
    <w:rsid w:val="003B0B93"/>
    <w:rsid w:val="003B1ACF"/>
    <w:rsid w:val="003B3CBE"/>
    <w:rsid w:val="003B49AC"/>
    <w:rsid w:val="003B55B1"/>
    <w:rsid w:val="003B6ADE"/>
    <w:rsid w:val="003B75C6"/>
    <w:rsid w:val="003B7F94"/>
    <w:rsid w:val="003C1104"/>
    <w:rsid w:val="003C3317"/>
    <w:rsid w:val="003C5E92"/>
    <w:rsid w:val="003C6197"/>
    <w:rsid w:val="003C7000"/>
    <w:rsid w:val="003D770E"/>
    <w:rsid w:val="003E2258"/>
    <w:rsid w:val="003E3FD3"/>
    <w:rsid w:val="003E4F47"/>
    <w:rsid w:val="003E5000"/>
    <w:rsid w:val="003E5E80"/>
    <w:rsid w:val="003E62CA"/>
    <w:rsid w:val="003E63F5"/>
    <w:rsid w:val="003E6761"/>
    <w:rsid w:val="003E6A95"/>
    <w:rsid w:val="003E7008"/>
    <w:rsid w:val="003E75CE"/>
    <w:rsid w:val="003E7F8F"/>
    <w:rsid w:val="003F2902"/>
    <w:rsid w:val="003F3674"/>
    <w:rsid w:val="003F38E1"/>
    <w:rsid w:val="003F62D8"/>
    <w:rsid w:val="00400C41"/>
    <w:rsid w:val="00404958"/>
    <w:rsid w:val="00406430"/>
    <w:rsid w:val="00407E52"/>
    <w:rsid w:val="00412673"/>
    <w:rsid w:val="004136B1"/>
    <w:rsid w:val="00417056"/>
    <w:rsid w:val="00420075"/>
    <w:rsid w:val="00421521"/>
    <w:rsid w:val="004218F3"/>
    <w:rsid w:val="00421A81"/>
    <w:rsid w:val="00422019"/>
    <w:rsid w:val="0042266D"/>
    <w:rsid w:val="00423084"/>
    <w:rsid w:val="004246AA"/>
    <w:rsid w:val="00425BD7"/>
    <w:rsid w:val="00426F4B"/>
    <w:rsid w:val="004337F8"/>
    <w:rsid w:val="00435F72"/>
    <w:rsid w:val="00437018"/>
    <w:rsid w:val="00437A9D"/>
    <w:rsid w:val="00440307"/>
    <w:rsid w:val="00441B87"/>
    <w:rsid w:val="00441C96"/>
    <w:rsid w:val="00441E5D"/>
    <w:rsid w:val="00446F85"/>
    <w:rsid w:val="00452257"/>
    <w:rsid w:val="00453997"/>
    <w:rsid w:val="00453F2F"/>
    <w:rsid w:val="00454708"/>
    <w:rsid w:val="00456686"/>
    <w:rsid w:val="00456941"/>
    <w:rsid w:val="004569C5"/>
    <w:rsid w:val="00457494"/>
    <w:rsid w:val="00457A95"/>
    <w:rsid w:val="00460055"/>
    <w:rsid w:val="00460A94"/>
    <w:rsid w:val="00462C39"/>
    <w:rsid w:val="004634A1"/>
    <w:rsid w:val="00463CB3"/>
    <w:rsid w:val="00464C26"/>
    <w:rsid w:val="00464CF2"/>
    <w:rsid w:val="004654E3"/>
    <w:rsid w:val="00465934"/>
    <w:rsid w:val="0046701B"/>
    <w:rsid w:val="00467742"/>
    <w:rsid w:val="004707DF"/>
    <w:rsid w:val="00470BD2"/>
    <w:rsid w:val="00471819"/>
    <w:rsid w:val="00471938"/>
    <w:rsid w:val="0047276D"/>
    <w:rsid w:val="00474E1F"/>
    <w:rsid w:val="00475298"/>
    <w:rsid w:val="004753A9"/>
    <w:rsid w:val="00475BC3"/>
    <w:rsid w:val="00475DE1"/>
    <w:rsid w:val="0047769C"/>
    <w:rsid w:val="00481CD8"/>
    <w:rsid w:val="00482CE1"/>
    <w:rsid w:val="00484493"/>
    <w:rsid w:val="0048487A"/>
    <w:rsid w:val="0048758C"/>
    <w:rsid w:val="00487717"/>
    <w:rsid w:val="004877FC"/>
    <w:rsid w:val="00487925"/>
    <w:rsid w:val="00491562"/>
    <w:rsid w:val="00495A11"/>
    <w:rsid w:val="004976FE"/>
    <w:rsid w:val="004A07C7"/>
    <w:rsid w:val="004A0C5F"/>
    <w:rsid w:val="004A111A"/>
    <w:rsid w:val="004A40F9"/>
    <w:rsid w:val="004A45EB"/>
    <w:rsid w:val="004A5B75"/>
    <w:rsid w:val="004A605A"/>
    <w:rsid w:val="004A6D24"/>
    <w:rsid w:val="004A7F76"/>
    <w:rsid w:val="004B097A"/>
    <w:rsid w:val="004B3839"/>
    <w:rsid w:val="004B4175"/>
    <w:rsid w:val="004B44C7"/>
    <w:rsid w:val="004B4737"/>
    <w:rsid w:val="004B51C4"/>
    <w:rsid w:val="004B57AE"/>
    <w:rsid w:val="004B5FFC"/>
    <w:rsid w:val="004B66E5"/>
    <w:rsid w:val="004B7AD7"/>
    <w:rsid w:val="004C29E0"/>
    <w:rsid w:val="004C372B"/>
    <w:rsid w:val="004C37F4"/>
    <w:rsid w:val="004C3D84"/>
    <w:rsid w:val="004C46E5"/>
    <w:rsid w:val="004C495C"/>
    <w:rsid w:val="004C4E94"/>
    <w:rsid w:val="004C5663"/>
    <w:rsid w:val="004C6057"/>
    <w:rsid w:val="004D1120"/>
    <w:rsid w:val="004D3408"/>
    <w:rsid w:val="004D352F"/>
    <w:rsid w:val="004D4B06"/>
    <w:rsid w:val="004D5489"/>
    <w:rsid w:val="004D5D01"/>
    <w:rsid w:val="004D7AA4"/>
    <w:rsid w:val="004E02E5"/>
    <w:rsid w:val="004E081D"/>
    <w:rsid w:val="004E0F6D"/>
    <w:rsid w:val="004E0F93"/>
    <w:rsid w:val="004E103D"/>
    <w:rsid w:val="004E1738"/>
    <w:rsid w:val="004E20C3"/>
    <w:rsid w:val="004E6097"/>
    <w:rsid w:val="004F00B9"/>
    <w:rsid w:val="004F049B"/>
    <w:rsid w:val="004F06EE"/>
    <w:rsid w:val="004F1E07"/>
    <w:rsid w:val="004F20E0"/>
    <w:rsid w:val="004F2742"/>
    <w:rsid w:val="004F5715"/>
    <w:rsid w:val="004F683B"/>
    <w:rsid w:val="004F7B80"/>
    <w:rsid w:val="00501A16"/>
    <w:rsid w:val="00502267"/>
    <w:rsid w:val="005025AA"/>
    <w:rsid w:val="00502D3C"/>
    <w:rsid w:val="00502DEC"/>
    <w:rsid w:val="005034B3"/>
    <w:rsid w:val="005037A6"/>
    <w:rsid w:val="00503DDD"/>
    <w:rsid w:val="00504D23"/>
    <w:rsid w:val="00504FA1"/>
    <w:rsid w:val="005052B7"/>
    <w:rsid w:val="005078AA"/>
    <w:rsid w:val="00510752"/>
    <w:rsid w:val="00510AD9"/>
    <w:rsid w:val="00512E96"/>
    <w:rsid w:val="00513271"/>
    <w:rsid w:val="0051336D"/>
    <w:rsid w:val="00514AF8"/>
    <w:rsid w:val="00514BF6"/>
    <w:rsid w:val="0051539B"/>
    <w:rsid w:val="00517214"/>
    <w:rsid w:val="0052101A"/>
    <w:rsid w:val="005214E2"/>
    <w:rsid w:val="00523058"/>
    <w:rsid w:val="00524F89"/>
    <w:rsid w:val="00524FD8"/>
    <w:rsid w:val="005251F5"/>
    <w:rsid w:val="00525BD4"/>
    <w:rsid w:val="00527523"/>
    <w:rsid w:val="00530AD1"/>
    <w:rsid w:val="00530C54"/>
    <w:rsid w:val="00531451"/>
    <w:rsid w:val="005364F9"/>
    <w:rsid w:val="005365B6"/>
    <w:rsid w:val="005374D5"/>
    <w:rsid w:val="00541102"/>
    <w:rsid w:val="005415D7"/>
    <w:rsid w:val="0054246A"/>
    <w:rsid w:val="00544A24"/>
    <w:rsid w:val="00545E72"/>
    <w:rsid w:val="00547A0A"/>
    <w:rsid w:val="00551671"/>
    <w:rsid w:val="005530A5"/>
    <w:rsid w:val="005537C7"/>
    <w:rsid w:val="00553DBB"/>
    <w:rsid w:val="00554C8B"/>
    <w:rsid w:val="00555921"/>
    <w:rsid w:val="00556FF8"/>
    <w:rsid w:val="00557BFB"/>
    <w:rsid w:val="00557CF6"/>
    <w:rsid w:val="00562ADF"/>
    <w:rsid w:val="005649EC"/>
    <w:rsid w:val="0056631F"/>
    <w:rsid w:val="00566759"/>
    <w:rsid w:val="00566841"/>
    <w:rsid w:val="00566CEF"/>
    <w:rsid w:val="00567933"/>
    <w:rsid w:val="005702FA"/>
    <w:rsid w:val="00570364"/>
    <w:rsid w:val="0057093E"/>
    <w:rsid w:val="00572125"/>
    <w:rsid w:val="005738D9"/>
    <w:rsid w:val="005777FD"/>
    <w:rsid w:val="00577D93"/>
    <w:rsid w:val="00580A1D"/>
    <w:rsid w:val="005814EF"/>
    <w:rsid w:val="00582A58"/>
    <w:rsid w:val="005847DA"/>
    <w:rsid w:val="00584FB6"/>
    <w:rsid w:val="005858EE"/>
    <w:rsid w:val="0058781F"/>
    <w:rsid w:val="00587895"/>
    <w:rsid w:val="00593842"/>
    <w:rsid w:val="00594CA4"/>
    <w:rsid w:val="00594E5D"/>
    <w:rsid w:val="005951AF"/>
    <w:rsid w:val="00595545"/>
    <w:rsid w:val="005A04A7"/>
    <w:rsid w:val="005A172E"/>
    <w:rsid w:val="005A19F3"/>
    <w:rsid w:val="005A6D09"/>
    <w:rsid w:val="005A73DE"/>
    <w:rsid w:val="005A7C6F"/>
    <w:rsid w:val="005B0D77"/>
    <w:rsid w:val="005B1814"/>
    <w:rsid w:val="005B6538"/>
    <w:rsid w:val="005B6E28"/>
    <w:rsid w:val="005C380F"/>
    <w:rsid w:val="005C4A07"/>
    <w:rsid w:val="005C58CE"/>
    <w:rsid w:val="005C5912"/>
    <w:rsid w:val="005C64A2"/>
    <w:rsid w:val="005C667F"/>
    <w:rsid w:val="005C7CFC"/>
    <w:rsid w:val="005D22B9"/>
    <w:rsid w:val="005D3C74"/>
    <w:rsid w:val="005D45E9"/>
    <w:rsid w:val="005D58CA"/>
    <w:rsid w:val="005D620A"/>
    <w:rsid w:val="005D708E"/>
    <w:rsid w:val="005D70CC"/>
    <w:rsid w:val="005D759C"/>
    <w:rsid w:val="005D771C"/>
    <w:rsid w:val="005D7F5E"/>
    <w:rsid w:val="005E0B9D"/>
    <w:rsid w:val="005E26AF"/>
    <w:rsid w:val="005F2079"/>
    <w:rsid w:val="005F31EB"/>
    <w:rsid w:val="005F45BE"/>
    <w:rsid w:val="005F5535"/>
    <w:rsid w:val="005F72DD"/>
    <w:rsid w:val="00600766"/>
    <w:rsid w:val="00600EF9"/>
    <w:rsid w:val="006015E1"/>
    <w:rsid w:val="00601E88"/>
    <w:rsid w:val="00602F6F"/>
    <w:rsid w:val="0060385A"/>
    <w:rsid w:val="00604188"/>
    <w:rsid w:val="00605B1E"/>
    <w:rsid w:val="006066B0"/>
    <w:rsid w:val="0060742A"/>
    <w:rsid w:val="0060764C"/>
    <w:rsid w:val="0061177E"/>
    <w:rsid w:val="00611D7E"/>
    <w:rsid w:val="00612118"/>
    <w:rsid w:val="006121F2"/>
    <w:rsid w:val="00613407"/>
    <w:rsid w:val="006135EF"/>
    <w:rsid w:val="00613712"/>
    <w:rsid w:val="006215EE"/>
    <w:rsid w:val="006233E5"/>
    <w:rsid w:val="0062435B"/>
    <w:rsid w:val="006262E5"/>
    <w:rsid w:val="006268FA"/>
    <w:rsid w:val="00627D36"/>
    <w:rsid w:val="006305E2"/>
    <w:rsid w:val="00632B1F"/>
    <w:rsid w:val="0063446C"/>
    <w:rsid w:val="00634CE0"/>
    <w:rsid w:val="006352F5"/>
    <w:rsid w:val="00636055"/>
    <w:rsid w:val="006363A0"/>
    <w:rsid w:val="006435A7"/>
    <w:rsid w:val="006459C9"/>
    <w:rsid w:val="00645B1C"/>
    <w:rsid w:val="00650C6E"/>
    <w:rsid w:val="00651917"/>
    <w:rsid w:val="00652136"/>
    <w:rsid w:val="006526D1"/>
    <w:rsid w:val="0065365B"/>
    <w:rsid w:val="00653FC6"/>
    <w:rsid w:val="00654E85"/>
    <w:rsid w:val="00655690"/>
    <w:rsid w:val="00655863"/>
    <w:rsid w:val="00656E3F"/>
    <w:rsid w:val="00660505"/>
    <w:rsid w:val="00660BC0"/>
    <w:rsid w:val="00662608"/>
    <w:rsid w:val="00662AB4"/>
    <w:rsid w:val="00663798"/>
    <w:rsid w:val="006641A0"/>
    <w:rsid w:val="0067069F"/>
    <w:rsid w:val="00675092"/>
    <w:rsid w:val="00675CEB"/>
    <w:rsid w:val="00676C0D"/>
    <w:rsid w:val="006772A9"/>
    <w:rsid w:val="00680195"/>
    <w:rsid w:val="00681914"/>
    <w:rsid w:val="00681B21"/>
    <w:rsid w:val="00682740"/>
    <w:rsid w:val="00683AF5"/>
    <w:rsid w:val="0068451D"/>
    <w:rsid w:val="00685488"/>
    <w:rsid w:val="00686DBD"/>
    <w:rsid w:val="00687211"/>
    <w:rsid w:val="00690B04"/>
    <w:rsid w:val="00692FCB"/>
    <w:rsid w:val="00695054"/>
    <w:rsid w:val="006A061E"/>
    <w:rsid w:val="006A3F17"/>
    <w:rsid w:val="006A4051"/>
    <w:rsid w:val="006A4EF3"/>
    <w:rsid w:val="006A68FB"/>
    <w:rsid w:val="006A6E2E"/>
    <w:rsid w:val="006A74B6"/>
    <w:rsid w:val="006A7B72"/>
    <w:rsid w:val="006A7CDF"/>
    <w:rsid w:val="006B22AB"/>
    <w:rsid w:val="006B25E9"/>
    <w:rsid w:val="006B35AD"/>
    <w:rsid w:val="006B3E58"/>
    <w:rsid w:val="006B46AE"/>
    <w:rsid w:val="006B7C32"/>
    <w:rsid w:val="006C17CE"/>
    <w:rsid w:val="006C18E3"/>
    <w:rsid w:val="006C516F"/>
    <w:rsid w:val="006C6057"/>
    <w:rsid w:val="006C637C"/>
    <w:rsid w:val="006C7817"/>
    <w:rsid w:val="006D035B"/>
    <w:rsid w:val="006D31FF"/>
    <w:rsid w:val="006D37E1"/>
    <w:rsid w:val="006D4EBC"/>
    <w:rsid w:val="006E0219"/>
    <w:rsid w:val="006E0FED"/>
    <w:rsid w:val="006E21D1"/>
    <w:rsid w:val="006E54D5"/>
    <w:rsid w:val="006E5E78"/>
    <w:rsid w:val="006E5EC9"/>
    <w:rsid w:val="006E7799"/>
    <w:rsid w:val="006F0572"/>
    <w:rsid w:val="006F20A8"/>
    <w:rsid w:val="006F280B"/>
    <w:rsid w:val="006F2817"/>
    <w:rsid w:val="006F3596"/>
    <w:rsid w:val="006F3DA0"/>
    <w:rsid w:val="006F4BC2"/>
    <w:rsid w:val="006F6067"/>
    <w:rsid w:val="006F6891"/>
    <w:rsid w:val="006F7A0D"/>
    <w:rsid w:val="007009D1"/>
    <w:rsid w:val="007039E8"/>
    <w:rsid w:val="00704953"/>
    <w:rsid w:val="00704AFF"/>
    <w:rsid w:val="00705AA2"/>
    <w:rsid w:val="00706A1E"/>
    <w:rsid w:val="00707F0E"/>
    <w:rsid w:val="00710164"/>
    <w:rsid w:val="00712EF1"/>
    <w:rsid w:val="00713689"/>
    <w:rsid w:val="0071375C"/>
    <w:rsid w:val="0071440D"/>
    <w:rsid w:val="00714B51"/>
    <w:rsid w:val="00714E1C"/>
    <w:rsid w:val="007160B9"/>
    <w:rsid w:val="00720158"/>
    <w:rsid w:val="0072024F"/>
    <w:rsid w:val="00721778"/>
    <w:rsid w:val="0072578D"/>
    <w:rsid w:val="00727D49"/>
    <w:rsid w:val="0073162C"/>
    <w:rsid w:val="00734F0E"/>
    <w:rsid w:val="0073500B"/>
    <w:rsid w:val="007360CF"/>
    <w:rsid w:val="00736438"/>
    <w:rsid w:val="00740938"/>
    <w:rsid w:val="00740FAF"/>
    <w:rsid w:val="007411A0"/>
    <w:rsid w:val="00741BE8"/>
    <w:rsid w:val="00741F72"/>
    <w:rsid w:val="00742117"/>
    <w:rsid w:val="0074222F"/>
    <w:rsid w:val="00745802"/>
    <w:rsid w:val="00753324"/>
    <w:rsid w:val="00754428"/>
    <w:rsid w:val="00755280"/>
    <w:rsid w:val="00756818"/>
    <w:rsid w:val="00761F07"/>
    <w:rsid w:val="00767174"/>
    <w:rsid w:val="00770494"/>
    <w:rsid w:val="00771992"/>
    <w:rsid w:val="00772344"/>
    <w:rsid w:val="0077598C"/>
    <w:rsid w:val="00777C5F"/>
    <w:rsid w:val="007815BE"/>
    <w:rsid w:val="00782881"/>
    <w:rsid w:val="00782B6A"/>
    <w:rsid w:val="007840D0"/>
    <w:rsid w:val="00784DE2"/>
    <w:rsid w:val="00785290"/>
    <w:rsid w:val="007867DD"/>
    <w:rsid w:val="007929EC"/>
    <w:rsid w:val="007932BF"/>
    <w:rsid w:val="00793C62"/>
    <w:rsid w:val="007953AB"/>
    <w:rsid w:val="00795C41"/>
    <w:rsid w:val="00795E4A"/>
    <w:rsid w:val="00797D9E"/>
    <w:rsid w:val="007A091D"/>
    <w:rsid w:val="007A3612"/>
    <w:rsid w:val="007A39CC"/>
    <w:rsid w:val="007A4165"/>
    <w:rsid w:val="007A49CD"/>
    <w:rsid w:val="007A50F3"/>
    <w:rsid w:val="007A534D"/>
    <w:rsid w:val="007A7577"/>
    <w:rsid w:val="007A790C"/>
    <w:rsid w:val="007B0D0D"/>
    <w:rsid w:val="007B24DD"/>
    <w:rsid w:val="007B262D"/>
    <w:rsid w:val="007B2701"/>
    <w:rsid w:val="007B29C7"/>
    <w:rsid w:val="007B330D"/>
    <w:rsid w:val="007B3A11"/>
    <w:rsid w:val="007B3EDB"/>
    <w:rsid w:val="007B4620"/>
    <w:rsid w:val="007B7C7B"/>
    <w:rsid w:val="007C0335"/>
    <w:rsid w:val="007C05A1"/>
    <w:rsid w:val="007C0A17"/>
    <w:rsid w:val="007C208D"/>
    <w:rsid w:val="007C34FB"/>
    <w:rsid w:val="007C4275"/>
    <w:rsid w:val="007C478A"/>
    <w:rsid w:val="007C4CFA"/>
    <w:rsid w:val="007C7F6E"/>
    <w:rsid w:val="007D1242"/>
    <w:rsid w:val="007D4C28"/>
    <w:rsid w:val="007D64D7"/>
    <w:rsid w:val="007D67D0"/>
    <w:rsid w:val="007D6FE1"/>
    <w:rsid w:val="007E0A82"/>
    <w:rsid w:val="007E2389"/>
    <w:rsid w:val="007E37EE"/>
    <w:rsid w:val="007E391F"/>
    <w:rsid w:val="007E4FB8"/>
    <w:rsid w:val="007E62CB"/>
    <w:rsid w:val="007F0090"/>
    <w:rsid w:val="007F1AFE"/>
    <w:rsid w:val="007F290F"/>
    <w:rsid w:val="007F35FD"/>
    <w:rsid w:val="007F391F"/>
    <w:rsid w:val="007F3D51"/>
    <w:rsid w:val="007F53A7"/>
    <w:rsid w:val="007F6014"/>
    <w:rsid w:val="007F6F67"/>
    <w:rsid w:val="00800F11"/>
    <w:rsid w:val="008012D7"/>
    <w:rsid w:val="0080196B"/>
    <w:rsid w:val="00802E94"/>
    <w:rsid w:val="00803EF4"/>
    <w:rsid w:val="0080441E"/>
    <w:rsid w:val="00804D0A"/>
    <w:rsid w:val="00807752"/>
    <w:rsid w:val="008102A8"/>
    <w:rsid w:val="00811F7A"/>
    <w:rsid w:val="00812CEE"/>
    <w:rsid w:val="008138F2"/>
    <w:rsid w:val="00813D16"/>
    <w:rsid w:val="00814554"/>
    <w:rsid w:val="00814B4E"/>
    <w:rsid w:val="0081646E"/>
    <w:rsid w:val="00817AEB"/>
    <w:rsid w:val="00820A6A"/>
    <w:rsid w:val="00820F36"/>
    <w:rsid w:val="008215F5"/>
    <w:rsid w:val="008228E0"/>
    <w:rsid w:val="00822A3D"/>
    <w:rsid w:val="00823189"/>
    <w:rsid w:val="008243A3"/>
    <w:rsid w:val="00830BB7"/>
    <w:rsid w:val="00830C73"/>
    <w:rsid w:val="0083124A"/>
    <w:rsid w:val="00832270"/>
    <w:rsid w:val="00832BB4"/>
    <w:rsid w:val="00834BEC"/>
    <w:rsid w:val="008356B2"/>
    <w:rsid w:val="00837746"/>
    <w:rsid w:val="008414D8"/>
    <w:rsid w:val="00841C84"/>
    <w:rsid w:val="008420F3"/>
    <w:rsid w:val="00843982"/>
    <w:rsid w:val="00844680"/>
    <w:rsid w:val="00844C8D"/>
    <w:rsid w:val="008506D9"/>
    <w:rsid w:val="00850E4D"/>
    <w:rsid w:val="0085124C"/>
    <w:rsid w:val="008513BE"/>
    <w:rsid w:val="008521AA"/>
    <w:rsid w:val="00852B85"/>
    <w:rsid w:val="008539FE"/>
    <w:rsid w:val="00853C27"/>
    <w:rsid w:val="008541F7"/>
    <w:rsid w:val="008542D2"/>
    <w:rsid w:val="00854337"/>
    <w:rsid w:val="00854E97"/>
    <w:rsid w:val="00855F03"/>
    <w:rsid w:val="00856690"/>
    <w:rsid w:val="00856DF4"/>
    <w:rsid w:val="008601DA"/>
    <w:rsid w:val="0086194C"/>
    <w:rsid w:val="0086206D"/>
    <w:rsid w:val="00862B8C"/>
    <w:rsid w:val="00864045"/>
    <w:rsid w:val="008662C7"/>
    <w:rsid w:val="00867295"/>
    <w:rsid w:val="00870026"/>
    <w:rsid w:val="00874FF7"/>
    <w:rsid w:val="0087794A"/>
    <w:rsid w:val="00877A2E"/>
    <w:rsid w:val="008823B7"/>
    <w:rsid w:val="0088348F"/>
    <w:rsid w:val="0088365E"/>
    <w:rsid w:val="008847D6"/>
    <w:rsid w:val="008856E6"/>
    <w:rsid w:val="00885DD3"/>
    <w:rsid w:val="00890FD4"/>
    <w:rsid w:val="00892CAA"/>
    <w:rsid w:val="00895621"/>
    <w:rsid w:val="00896143"/>
    <w:rsid w:val="008A18D1"/>
    <w:rsid w:val="008A1F26"/>
    <w:rsid w:val="008A2324"/>
    <w:rsid w:val="008A31AD"/>
    <w:rsid w:val="008A4595"/>
    <w:rsid w:val="008A4780"/>
    <w:rsid w:val="008A73BA"/>
    <w:rsid w:val="008B2F09"/>
    <w:rsid w:val="008B305D"/>
    <w:rsid w:val="008B3254"/>
    <w:rsid w:val="008B367D"/>
    <w:rsid w:val="008B39BD"/>
    <w:rsid w:val="008B4A21"/>
    <w:rsid w:val="008B4F8C"/>
    <w:rsid w:val="008B5874"/>
    <w:rsid w:val="008B63AE"/>
    <w:rsid w:val="008B73E0"/>
    <w:rsid w:val="008C0923"/>
    <w:rsid w:val="008C28E5"/>
    <w:rsid w:val="008C396F"/>
    <w:rsid w:val="008C4900"/>
    <w:rsid w:val="008C6559"/>
    <w:rsid w:val="008C686F"/>
    <w:rsid w:val="008D0D82"/>
    <w:rsid w:val="008D471D"/>
    <w:rsid w:val="008D5115"/>
    <w:rsid w:val="008D558E"/>
    <w:rsid w:val="008D7B5A"/>
    <w:rsid w:val="008D7CBC"/>
    <w:rsid w:val="008E04F8"/>
    <w:rsid w:val="008E0F24"/>
    <w:rsid w:val="008E1147"/>
    <w:rsid w:val="008E1858"/>
    <w:rsid w:val="008E1CB3"/>
    <w:rsid w:val="008E3F84"/>
    <w:rsid w:val="008E43F8"/>
    <w:rsid w:val="008E4604"/>
    <w:rsid w:val="008E470C"/>
    <w:rsid w:val="008E5DD1"/>
    <w:rsid w:val="008E6AE8"/>
    <w:rsid w:val="008E71B4"/>
    <w:rsid w:val="008E7749"/>
    <w:rsid w:val="008E77E0"/>
    <w:rsid w:val="008E7D56"/>
    <w:rsid w:val="008F080E"/>
    <w:rsid w:val="008F2726"/>
    <w:rsid w:val="008F32E1"/>
    <w:rsid w:val="008F371F"/>
    <w:rsid w:val="008F3BA8"/>
    <w:rsid w:val="008F73F8"/>
    <w:rsid w:val="00901246"/>
    <w:rsid w:val="00901390"/>
    <w:rsid w:val="0090513D"/>
    <w:rsid w:val="009051E2"/>
    <w:rsid w:val="00907294"/>
    <w:rsid w:val="00911624"/>
    <w:rsid w:val="00912B17"/>
    <w:rsid w:val="00914820"/>
    <w:rsid w:val="00915F8C"/>
    <w:rsid w:val="009165AA"/>
    <w:rsid w:val="0091711E"/>
    <w:rsid w:val="009220DD"/>
    <w:rsid w:val="00923A9A"/>
    <w:rsid w:val="00923DC3"/>
    <w:rsid w:val="009256BF"/>
    <w:rsid w:val="009258C3"/>
    <w:rsid w:val="009265F9"/>
    <w:rsid w:val="009266E2"/>
    <w:rsid w:val="00927BAE"/>
    <w:rsid w:val="009335A9"/>
    <w:rsid w:val="009341A2"/>
    <w:rsid w:val="00935D6C"/>
    <w:rsid w:val="00940846"/>
    <w:rsid w:val="00940BF6"/>
    <w:rsid w:val="009447B3"/>
    <w:rsid w:val="00946193"/>
    <w:rsid w:val="00947EAC"/>
    <w:rsid w:val="00950925"/>
    <w:rsid w:val="00952A6C"/>
    <w:rsid w:val="0095348D"/>
    <w:rsid w:val="00954808"/>
    <w:rsid w:val="00955DE2"/>
    <w:rsid w:val="00957B79"/>
    <w:rsid w:val="009614C0"/>
    <w:rsid w:val="00961A0F"/>
    <w:rsid w:val="00961B63"/>
    <w:rsid w:val="00961BA8"/>
    <w:rsid w:val="0096284C"/>
    <w:rsid w:val="00963C3E"/>
    <w:rsid w:val="0096648F"/>
    <w:rsid w:val="00971DE4"/>
    <w:rsid w:val="00973308"/>
    <w:rsid w:val="00973967"/>
    <w:rsid w:val="00973DB2"/>
    <w:rsid w:val="00974C12"/>
    <w:rsid w:val="009767C3"/>
    <w:rsid w:val="00977324"/>
    <w:rsid w:val="0098159D"/>
    <w:rsid w:val="00981899"/>
    <w:rsid w:val="00981A65"/>
    <w:rsid w:val="0098239E"/>
    <w:rsid w:val="00985C50"/>
    <w:rsid w:val="00986418"/>
    <w:rsid w:val="00987207"/>
    <w:rsid w:val="009904B2"/>
    <w:rsid w:val="009908E9"/>
    <w:rsid w:val="00990CFD"/>
    <w:rsid w:val="00991D72"/>
    <w:rsid w:val="00991ECE"/>
    <w:rsid w:val="00993B71"/>
    <w:rsid w:val="00996D67"/>
    <w:rsid w:val="0099716F"/>
    <w:rsid w:val="0099765B"/>
    <w:rsid w:val="00997D20"/>
    <w:rsid w:val="009A1E2B"/>
    <w:rsid w:val="009A3337"/>
    <w:rsid w:val="009A3DB7"/>
    <w:rsid w:val="009A425F"/>
    <w:rsid w:val="009A7E19"/>
    <w:rsid w:val="009B16A2"/>
    <w:rsid w:val="009B2915"/>
    <w:rsid w:val="009B3F7D"/>
    <w:rsid w:val="009B5609"/>
    <w:rsid w:val="009B58B0"/>
    <w:rsid w:val="009B5FB8"/>
    <w:rsid w:val="009B5FE8"/>
    <w:rsid w:val="009B68E8"/>
    <w:rsid w:val="009B6A0E"/>
    <w:rsid w:val="009B6AF0"/>
    <w:rsid w:val="009C14B0"/>
    <w:rsid w:val="009C1F36"/>
    <w:rsid w:val="009C2F20"/>
    <w:rsid w:val="009C4AE7"/>
    <w:rsid w:val="009C51A1"/>
    <w:rsid w:val="009C55AC"/>
    <w:rsid w:val="009C6EE8"/>
    <w:rsid w:val="009D0798"/>
    <w:rsid w:val="009D0BCA"/>
    <w:rsid w:val="009D23A9"/>
    <w:rsid w:val="009D27C4"/>
    <w:rsid w:val="009D2DD6"/>
    <w:rsid w:val="009D2DF3"/>
    <w:rsid w:val="009D326A"/>
    <w:rsid w:val="009D45B3"/>
    <w:rsid w:val="009D4B29"/>
    <w:rsid w:val="009E1335"/>
    <w:rsid w:val="009E3148"/>
    <w:rsid w:val="009E3334"/>
    <w:rsid w:val="009E4417"/>
    <w:rsid w:val="009E539E"/>
    <w:rsid w:val="009E650B"/>
    <w:rsid w:val="009E693A"/>
    <w:rsid w:val="009E7DE9"/>
    <w:rsid w:val="009E7E6F"/>
    <w:rsid w:val="009F079E"/>
    <w:rsid w:val="009F092B"/>
    <w:rsid w:val="009F1270"/>
    <w:rsid w:val="009F2B48"/>
    <w:rsid w:val="009F2F13"/>
    <w:rsid w:val="009F5A01"/>
    <w:rsid w:val="009F6BC9"/>
    <w:rsid w:val="00A0103B"/>
    <w:rsid w:val="00A01518"/>
    <w:rsid w:val="00A046A9"/>
    <w:rsid w:val="00A04D1A"/>
    <w:rsid w:val="00A0639D"/>
    <w:rsid w:val="00A074FB"/>
    <w:rsid w:val="00A10F96"/>
    <w:rsid w:val="00A11494"/>
    <w:rsid w:val="00A11A45"/>
    <w:rsid w:val="00A11FDA"/>
    <w:rsid w:val="00A169CD"/>
    <w:rsid w:val="00A16E07"/>
    <w:rsid w:val="00A1775E"/>
    <w:rsid w:val="00A212F1"/>
    <w:rsid w:val="00A22690"/>
    <w:rsid w:val="00A23237"/>
    <w:rsid w:val="00A251BC"/>
    <w:rsid w:val="00A25EFB"/>
    <w:rsid w:val="00A26BC1"/>
    <w:rsid w:val="00A276DF"/>
    <w:rsid w:val="00A32298"/>
    <w:rsid w:val="00A33ED2"/>
    <w:rsid w:val="00A35155"/>
    <w:rsid w:val="00A3645A"/>
    <w:rsid w:val="00A36E80"/>
    <w:rsid w:val="00A37D70"/>
    <w:rsid w:val="00A37F76"/>
    <w:rsid w:val="00A403A8"/>
    <w:rsid w:val="00A4182F"/>
    <w:rsid w:val="00A41ECD"/>
    <w:rsid w:val="00A42C1F"/>
    <w:rsid w:val="00A44B18"/>
    <w:rsid w:val="00A4523C"/>
    <w:rsid w:val="00A4629B"/>
    <w:rsid w:val="00A47412"/>
    <w:rsid w:val="00A474C1"/>
    <w:rsid w:val="00A507F8"/>
    <w:rsid w:val="00A5267F"/>
    <w:rsid w:val="00A52D33"/>
    <w:rsid w:val="00A53CC8"/>
    <w:rsid w:val="00A5488E"/>
    <w:rsid w:val="00A5492F"/>
    <w:rsid w:val="00A56A94"/>
    <w:rsid w:val="00A575C4"/>
    <w:rsid w:val="00A577ED"/>
    <w:rsid w:val="00A5799F"/>
    <w:rsid w:val="00A60D04"/>
    <w:rsid w:val="00A6246F"/>
    <w:rsid w:val="00A625E6"/>
    <w:rsid w:val="00A6270C"/>
    <w:rsid w:val="00A63813"/>
    <w:rsid w:val="00A65870"/>
    <w:rsid w:val="00A66D89"/>
    <w:rsid w:val="00A6725F"/>
    <w:rsid w:val="00A67CFC"/>
    <w:rsid w:val="00A716ED"/>
    <w:rsid w:val="00A720A6"/>
    <w:rsid w:val="00A723E6"/>
    <w:rsid w:val="00A737D6"/>
    <w:rsid w:val="00A73960"/>
    <w:rsid w:val="00A73FEE"/>
    <w:rsid w:val="00A776C7"/>
    <w:rsid w:val="00A80E16"/>
    <w:rsid w:val="00A80F82"/>
    <w:rsid w:val="00A837C3"/>
    <w:rsid w:val="00A83903"/>
    <w:rsid w:val="00A843CE"/>
    <w:rsid w:val="00A8440A"/>
    <w:rsid w:val="00A84AB9"/>
    <w:rsid w:val="00A851DB"/>
    <w:rsid w:val="00A851FF"/>
    <w:rsid w:val="00A85DE0"/>
    <w:rsid w:val="00A873DF"/>
    <w:rsid w:val="00A90C74"/>
    <w:rsid w:val="00A90EF2"/>
    <w:rsid w:val="00A9120E"/>
    <w:rsid w:val="00A915C1"/>
    <w:rsid w:val="00A92417"/>
    <w:rsid w:val="00A9519E"/>
    <w:rsid w:val="00A956F1"/>
    <w:rsid w:val="00A95BEF"/>
    <w:rsid w:val="00A9631F"/>
    <w:rsid w:val="00A9651B"/>
    <w:rsid w:val="00A9684F"/>
    <w:rsid w:val="00AA0E62"/>
    <w:rsid w:val="00AA1D6C"/>
    <w:rsid w:val="00AA1F4F"/>
    <w:rsid w:val="00AA5E78"/>
    <w:rsid w:val="00AB124B"/>
    <w:rsid w:val="00AB1BE8"/>
    <w:rsid w:val="00AB4202"/>
    <w:rsid w:val="00AB528B"/>
    <w:rsid w:val="00AB5A50"/>
    <w:rsid w:val="00AB5C7B"/>
    <w:rsid w:val="00AB61D3"/>
    <w:rsid w:val="00AB707F"/>
    <w:rsid w:val="00AB7DD2"/>
    <w:rsid w:val="00AC0F09"/>
    <w:rsid w:val="00AC1336"/>
    <w:rsid w:val="00AC1E9E"/>
    <w:rsid w:val="00AC5C97"/>
    <w:rsid w:val="00AC61BC"/>
    <w:rsid w:val="00AC66AD"/>
    <w:rsid w:val="00AD0E4B"/>
    <w:rsid w:val="00AD2354"/>
    <w:rsid w:val="00AD29DA"/>
    <w:rsid w:val="00AD2D43"/>
    <w:rsid w:val="00AD4764"/>
    <w:rsid w:val="00AD52F8"/>
    <w:rsid w:val="00AD66C6"/>
    <w:rsid w:val="00AD6E77"/>
    <w:rsid w:val="00AD74F7"/>
    <w:rsid w:val="00AE1053"/>
    <w:rsid w:val="00AE2356"/>
    <w:rsid w:val="00AE29D2"/>
    <w:rsid w:val="00AE2D02"/>
    <w:rsid w:val="00AE2E3C"/>
    <w:rsid w:val="00AE3CB4"/>
    <w:rsid w:val="00AE67AF"/>
    <w:rsid w:val="00AE6824"/>
    <w:rsid w:val="00AE740F"/>
    <w:rsid w:val="00AF11F3"/>
    <w:rsid w:val="00AF5F41"/>
    <w:rsid w:val="00B048F1"/>
    <w:rsid w:val="00B05670"/>
    <w:rsid w:val="00B07B68"/>
    <w:rsid w:val="00B10032"/>
    <w:rsid w:val="00B10BB1"/>
    <w:rsid w:val="00B1193C"/>
    <w:rsid w:val="00B11A78"/>
    <w:rsid w:val="00B12610"/>
    <w:rsid w:val="00B13085"/>
    <w:rsid w:val="00B15A6C"/>
    <w:rsid w:val="00B17C66"/>
    <w:rsid w:val="00B21B06"/>
    <w:rsid w:val="00B227F9"/>
    <w:rsid w:val="00B23288"/>
    <w:rsid w:val="00B2393C"/>
    <w:rsid w:val="00B23F56"/>
    <w:rsid w:val="00B24FCE"/>
    <w:rsid w:val="00B2560C"/>
    <w:rsid w:val="00B2592C"/>
    <w:rsid w:val="00B25AEF"/>
    <w:rsid w:val="00B26633"/>
    <w:rsid w:val="00B26F6E"/>
    <w:rsid w:val="00B272FB"/>
    <w:rsid w:val="00B27F5C"/>
    <w:rsid w:val="00B30444"/>
    <w:rsid w:val="00B329FA"/>
    <w:rsid w:val="00B32A2C"/>
    <w:rsid w:val="00B32C09"/>
    <w:rsid w:val="00B33878"/>
    <w:rsid w:val="00B415B3"/>
    <w:rsid w:val="00B41778"/>
    <w:rsid w:val="00B417B3"/>
    <w:rsid w:val="00B43BFA"/>
    <w:rsid w:val="00B45A5E"/>
    <w:rsid w:val="00B45D7E"/>
    <w:rsid w:val="00B472ED"/>
    <w:rsid w:val="00B502DC"/>
    <w:rsid w:val="00B503FB"/>
    <w:rsid w:val="00B50C96"/>
    <w:rsid w:val="00B51350"/>
    <w:rsid w:val="00B52A8E"/>
    <w:rsid w:val="00B53068"/>
    <w:rsid w:val="00B53270"/>
    <w:rsid w:val="00B53A05"/>
    <w:rsid w:val="00B54448"/>
    <w:rsid w:val="00B54E21"/>
    <w:rsid w:val="00B55114"/>
    <w:rsid w:val="00B5555B"/>
    <w:rsid w:val="00B55AF2"/>
    <w:rsid w:val="00B55FF1"/>
    <w:rsid w:val="00B57B78"/>
    <w:rsid w:val="00B602D1"/>
    <w:rsid w:val="00B61179"/>
    <w:rsid w:val="00B613EA"/>
    <w:rsid w:val="00B62416"/>
    <w:rsid w:val="00B62B1D"/>
    <w:rsid w:val="00B643F0"/>
    <w:rsid w:val="00B64D09"/>
    <w:rsid w:val="00B6500A"/>
    <w:rsid w:val="00B659B4"/>
    <w:rsid w:val="00B668CE"/>
    <w:rsid w:val="00B673B5"/>
    <w:rsid w:val="00B70320"/>
    <w:rsid w:val="00B70EBA"/>
    <w:rsid w:val="00B70F47"/>
    <w:rsid w:val="00B73D19"/>
    <w:rsid w:val="00B74200"/>
    <w:rsid w:val="00B75276"/>
    <w:rsid w:val="00B77B07"/>
    <w:rsid w:val="00B81053"/>
    <w:rsid w:val="00B828BB"/>
    <w:rsid w:val="00B82EEA"/>
    <w:rsid w:val="00B83FFA"/>
    <w:rsid w:val="00B85CB3"/>
    <w:rsid w:val="00B85FA2"/>
    <w:rsid w:val="00B8638F"/>
    <w:rsid w:val="00B86944"/>
    <w:rsid w:val="00B874E5"/>
    <w:rsid w:val="00B87589"/>
    <w:rsid w:val="00B9071D"/>
    <w:rsid w:val="00B907EF"/>
    <w:rsid w:val="00B91557"/>
    <w:rsid w:val="00B918AE"/>
    <w:rsid w:val="00B91FA9"/>
    <w:rsid w:val="00B93FF4"/>
    <w:rsid w:val="00B9430B"/>
    <w:rsid w:val="00B9494E"/>
    <w:rsid w:val="00B95415"/>
    <w:rsid w:val="00B957E7"/>
    <w:rsid w:val="00B9612B"/>
    <w:rsid w:val="00B96803"/>
    <w:rsid w:val="00BA0182"/>
    <w:rsid w:val="00BA0E20"/>
    <w:rsid w:val="00BA1552"/>
    <w:rsid w:val="00BA214E"/>
    <w:rsid w:val="00BA2C8E"/>
    <w:rsid w:val="00BA2CCA"/>
    <w:rsid w:val="00BA3D98"/>
    <w:rsid w:val="00BA44B7"/>
    <w:rsid w:val="00BA5E4F"/>
    <w:rsid w:val="00BA67A5"/>
    <w:rsid w:val="00BA6D92"/>
    <w:rsid w:val="00BA7199"/>
    <w:rsid w:val="00BA7545"/>
    <w:rsid w:val="00BB129E"/>
    <w:rsid w:val="00BB1329"/>
    <w:rsid w:val="00BB1677"/>
    <w:rsid w:val="00BB42CF"/>
    <w:rsid w:val="00BB4325"/>
    <w:rsid w:val="00BB441C"/>
    <w:rsid w:val="00BB5DC9"/>
    <w:rsid w:val="00BB6D6A"/>
    <w:rsid w:val="00BC18D6"/>
    <w:rsid w:val="00BC2D16"/>
    <w:rsid w:val="00BC3823"/>
    <w:rsid w:val="00BC412B"/>
    <w:rsid w:val="00BC48F7"/>
    <w:rsid w:val="00BC5D8A"/>
    <w:rsid w:val="00BC605E"/>
    <w:rsid w:val="00BC668B"/>
    <w:rsid w:val="00BC7AA2"/>
    <w:rsid w:val="00BC7E59"/>
    <w:rsid w:val="00BD04DE"/>
    <w:rsid w:val="00BD06C2"/>
    <w:rsid w:val="00BD0C45"/>
    <w:rsid w:val="00BD1477"/>
    <w:rsid w:val="00BD28D5"/>
    <w:rsid w:val="00BD3F64"/>
    <w:rsid w:val="00BD51DA"/>
    <w:rsid w:val="00BD543E"/>
    <w:rsid w:val="00BD7BB9"/>
    <w:rsid w:val="00BE1161"/>
    <w:rsid w:val="00BE14E8"/>
    <w:rsid w:val="00BE17F4"/>
    <w:rsid w:val="00BE2086"/>
    <w:rsid w:val="00BE3338"/>
    <w:rsid w:val="00BE3435"/>
    <w:rsid w:val="00BE490B"/>
    <w:rsid w:val="00BE4953"/>
    <w:rsid w:val="00BE56CE"/>
    <w:rsid w:val="00BF2405"/>
    <w:rsid w:val="00BF27BA"/>
    <w:rsid w:val="00BF29AE"/>
    <w:rsid w:val="00BF29EB"/>
    <w:rsid w:val="00BF3642"/>
    <w:rsid w:val="00C01449"/>
    <w:rsid w:val="00C01FE4"/>
    <w:rsid w:val="00C031AB"/>
    <w:rsid w:val="00C032BA"/>
    <w:rsid w:val="00C07465"/>
    <w:rsid w:val="00C10251"/>
    <w:rsid w:val="00C10B73"/>
    <w:rsid w:val="00C10C66"/>
    <w:rsid w:val="00C1160E"/>
    <w:rsid w:val="00C129E5"/>
    <w:rsid w:val="00C1564B"/>
    <w:rsid w:val="00C21269"/>
    <w:rsid w:val="00C2285E"/>
    <w:rsid w:val="00C22B65"/>
    <w:rsid w:val="00C22DF8"/>
    <w:rsid w:val="00C27619"/>
    <w:rsid w:val="00C303C4"/>
    <w:rsid w:val="00C33DDA"/>
    <w:rsid w:val="00C33F7C"/>
    <w:rsid w:val="00C348A7"/>
    <w:rsid w:val="00C35B2A"/>
    <w:rsid w:val="00C35C18"/>
    <w:rsid w:val="00C373F5"/>
    <w:rsid w:val="00C37B3B"/>
    <w:rsid w:val="00C418E0"/>
    <w:rsid w:val="00C4336B"/>
    <w:rsid w:val="00C4398E"/>
    <w:rsid w:val="00C43E57"/>
    <w:rsid w:val="00C43F0E"/>
    <w:rsid w:val="00C44697"/>
    <w:rsid w:val="00C45BF7"/>
    <w:rsid w:val="00C46216"/>
    <w:rsid w:val="00C463B1"/>
    <w:rsid w:val="00C505D2"/>
    <w:rsid w:val="00C5088B"/>
    <w:rsid w:val="00C50DF4"/>
    <w:rsid w:val="00C53057"/>
    <w:rsid w:val="00C57541"/>
    <w:rsid w:val="00C5770C"/>
    <w:rsid w:val="00C605E5"/>
    <w:rsid w:val="00C62227"/>
    <w:rsid w:val="00C644E0"/>
    <w:rsid w:val="00C6632B"/>
    <w:rsid w:val="00C700FE"/>
    <w:rsid w:val="00C70B32"/>
    <w:rsid w:val="00C7124B"/>
    <w:rsid w:val="00C72510"/>
    <w:rsid w:val="00C73D49"/>
    <w:rsid w:val="00C73EBF"/>
    <w:rsid w:val="00C75CC8"/>
    <w:rsid w:val="00C76E7B"/>
    <w:rsid w:val="00C808C6"/>
    <w:rsid w:val="00C817A1"/>
    <w:rsid w:val="00C81C9E"/>
    <w:rsid w:val="00C8270A"/>
    <w:rsid w:val="00C82B2E"/>
    <w:rsid w:val="00C833CD"/>
    <w:rsid w:val="00C845FE"/>
    <w:rsid w:val="00C8550C"/>
    <w:rsid w:val="00C85BDB"/>
    <w:rsid w:val="00C86829"/>
    <w:rsid w:val="00C870D2"/>
    <w:rsid w:val="00C87CD2"/>
    <w:rsid w:val="00C902BA"/>
    <w:rsid w:val="00C96305"/>
    <w:rsid w:val="00C97073"/>
    <w:rsid w:val="00C9752E"/>
    <w:rsid w:val="00CA07EC"/>
    <w:rsid w:val="00CA14FA"/>
    <w:rsid w:val="00CA1644"/>
    <w:rsid w:val="00CA1868"/>
    <w:rsid w:val="00CA4E28"/>
    <w:rsid w:val="00CA52B8"/>
    <w:rsid w:val="00CA574F"/>
    <w:rsid w:val="00CA5C7F"/>
    <w:rsid w:val="00CA79BF"/>
    <w:rsid w:val="00CB05A0"/>
    <w:rsid w:val="00CB0A2A"/>
    <w:rsid w:val="00CB0AF7"/>
    <w:rsid w:val="00CB1515"/>
    <w:rsid w:val="00CB1FEF"/>
    <w:rsid w:val="00CB54BC"/>
    <w:rsid w:val="00CB56F5"/>
    <w:rsid w:val="00CB59C5"/>
    <w:rsid w:val="00CB66A6"/>
    <w:rsid w:val="00CB6F05"/>
    <w:rsid w:val="00CB75A2"/>
    <w:rsid w:val="00CB7E2B"/>
    <w:rsid w:val="00CB7F29"/>
    <w:rsid w:val="00CC0293"/>
    <w:rsid w:val="00CC0373"/>
    <w:rsid w:val="00CC05D7"/>
    <w:rsid w:val="00CC0624"/>
    <w:rsid w:val="00CC2ED2"/>
    <w:rsid w:val="00CC48B2"/>
    <w:rsid w:val="00CC51FB"/>
    <w:rsid w:val="00CC6397"/>
    <w:rsid w:val="00CD0339"/>
    <w:rsid w:val="00CD0C54"/>
    <w:rsid w:val="00CD17C5"/>
    <w:rsid w:val="00CD1BD0"/>
    <w:rsid w:val="00CD2471"/>
    <w:rsid w:val="00CD5A12"/>
    <w:rsid w:val="00CD5CD8"/>
    <w:rsid w:val="00CD6779"/>
    <w:rsid w:val="00CD74D8"/>
    <w:rsid w:val="00CE0F41"/>
    <w:rsid w:val="00CE152D"/>
    <w:rsid w:val="00CE1CE5"/>
    <w:rsid w:val="00CE251C"/>
    <w:rsid w:val="00CE2BC2"/>
    <w:rsid w:val="00CE2CB0"/>
    <w:rsid w:val="00CE2D2C"/>
    <w:rsid w:val="00CE3E7E"/>
    <w:rsid w:val="00CE55F8"/>
    <w:rsid w:val="00CE5B32"/>
    <w:rsid w:val="00CE7143"/>
    <w:rsid w:val="00CF031C"/>
    <w:rsid w:val="00CF1A92"/>
    <w:rsid w:val="00CF238F"/>
    <w:rsid w:val="00CF2B47"/>
    <w:rsid w:val="00CF3C3C"/>
    <w:rsid w:val="00CF419D"/>
    <w:rsid w:val="00CF4B4A"/>
    <w:rsid w:val="00CF6F29"/>
    <w:rsid w:val="00D0190F"/>
    <w:rsid w:val="00D01EBB"/>
    <w:rsid w:val="00D058AD"/>
    <w:rsid w:val="00D05BBE"/>
    <w:rsid w:val="00D05FA1"/>
    <w:rsid w:val="00D06CD0"/>
    <w:rsid w:val="00D07D8C"/>
    <w:rsid w:val="00D107E2"/>
    <w:rsid w:val="00D1173B"/>
    <w:rsid w:val="00D12C03"/>
    <w:rsid w:val="00D137BA"/>
    <w:rsid w:val="00D13A07"/>
    <w:rsid w:val="00D14BC5"/>
    <w:rsid w:val="00D14FCE"/>
    <w:rsid w:val="00D1739C"/>
    <w:rsid w:val="00D17786"/>
    <w:rsid w:val="00D17B9C"/>
    <w:rsid w:val="00D17F9F"/>
    <w:rsid w:val="00D20459"/>
    <w:rsid w:val="00D207FB"/>
    <w:rsid w:val="00D223F6"/>
    <w:rsid w:val="00D22EB5"/>
    <w:rsid w:val="00D250EB"/>
    <w:rsid w:val="00D2602E"/>
    <w:rsid w:val="00D277FC"/>
    <w:rsid w:val="00D312ED"/>
    <w:rsid w:val="00D32DF5"/>
    <w:rsid w:val="00D34649"/>
    <w:rsid w:val="00D37E76"/>
    <w:rsid w:val="00D41183"/>
    <w:rsid w:val="00D4207C"/>
    <w:rsid w:val="00D42BF7"/>
    <w:rsid w:val="00D43002"/>
    <w:rsid w:val="00D43075"/>
    <w:rsid w:val="00D4314D"/>
    <w:rsid w:val="00D44601"/>
    <w:rsid w:val="00D45121"/>
    <w:rsid w:val="00D4665E"/>
    <w:rsid w:val="00D4712A"/>
    <w:rsid w:val="00D5045E"/>
    <w:rsid w:val="00D506AB"/>
    <w:rsid w:val="00D5176F"/>
    <w:rsid w:val="00D535DA"/>
    <w:rsid w:val="00D554A2"/>
    <w:rsid w:val="00D56A28"/>
    <w:rsid w:val="00D57620"/>
    <w:rsid w:val="00D608D4"/>
    <w:rsid w:val="00D612A1"/>
    <w:rsid w:val="00D612B4"/>
    <w:rsid w:val="00D615E8"/>
    <w:rsid w:val="00D61A38"/>
    <w:rsid w:val="00D61B1D"/>
    <w:rsid w:val="00D62C93"/>
    <w:rsid w:val="00D62CCE"/>
    <w:rsid w:val="00D62CF0"/>
    <w:rsid w:val="00D63728"/>
    <w:rsid w:val="00D711A8"/>
    <w:rsid w:val="00D71737"/>
    <w:rsid w:val="00D71A15"/>
    <w:rsid w:val="00D71A1B"/>
    <w:rsid w:val="00D72BA8"/>
    <w:rsid w:val="00D72D7E"/>
    <w:rsid w:val="00D72DD0"/>
    <w:rsid w:val="00D73189"/>
    <w:rsid w:val="00D74BE4"/>
    <w:rsid w:val="00D75491"/>
    <w:rsid w:val="00D75D78"/>
    <w:rsid w:val="00D75E70"/>
    <w:rsid w:val="00D75EEC"/>
    <w:rsid w:val="00D760E0"/>
    <w:rsid w:val="00D77C3A"/>
    <w:rsid w:val="00D77E0B"/>
    <w:rsid w:val="00D82D99"/>
    <w:rsid w:val="00D82D9C"/>
    <w:rsid w:val="00D832A8"/>
    <w:rsid w:val="00D8487C"/>
    <w:rsid w:val="00D85986"/>
    <w:rsid w:val="00D866EB"/>
    <w:rsid w:val="00D91006"/>
    <w:rsid w:val="00D91244"/>
    <w:rsid w:val="00D92673"/>
    <w:rsid w:val="00D92724"/>
    <w:rsid w:val="00D92C9D"/>
    <w:rsid w:val="00D93655"/>
    <w:rsid w:val="00D939AA"/>
    <w:rsid w:val="00D96B07"/>
    <w:rsid w:val="00D978E6"/>
    <w:rsid w:val="00D97F33"/>
    <w:rsid w:val="00DA0637"/>
    <w:rsid w:val="00DA0E94"/>
    <w:rsid w:val="00DA1404"/>
    <w:rsid w:val="00DA1631"/>
    <w:rsid w:val="00DA18D4"/>
    <w:rsid w:val="00DA19D4"/>
    <w:rsid w:val="00DA2170"/>
    <w:rsid w:val="00DA2985"/>
    <w:rsid w:val="00DA29B5"/>
    <w:rsid w:val="00DA4655"/>
    <w:rsid w:val="00DA4F49"/>
    <w:rsid w:val="00DB0D01"/>
    <w:rsid w:val="00DB0FAA"/>
    <w:rsid w:val="00DB2312"/>
    <w:rsid w:val="00DB2836"/>
    <w:rsid w:val="00DB6C3E"/>
    <w:rsid w:val="00DC023D"/>
    <w:rsid w:val="00DC0B75"/>
    <w:rsid w:val="00DC0F51"/>
    <w:rsid w:val="00DC1123"/>
    <w:rsid w:val="00DC1D78"/>
    <w:rsid w:val="00DC369A"/>
    <w:rsid w:val="00DC7092"/>
    <w:rsid w:val="00DC7574"/>
    <w:rsid w:val="00DC7DAA"/>
    <w:rsid w:val="00DD0005"/>
    <w:rsid w:val="00DD4A9D"/>
    <w:rsid w:val="00DD695E"/>
    <w:rsid w:val="00DD6B7C"/>
    <w:rsid w:val="00DE1A88"/>
    <w:rsid w:val="00DE3370"/>
    <w:rsid w:val="00DE4349"/>
    <w:rsid w:val="00DF01A5"/>
    <w:rsid w:val="00DF24C3"/>
    <w:rsid w:val="00DF286E"/>
    <w:rsid w:val="00DF410B"/>
    <w:rsid w:val="00DF436E"/>
    <w:rsid w:val="00DF4F24"/>
    <w:rsid w:val="00DF7C5E"/>
    <w:rsid w:val="00E00DCC"/>
    <w:rsid w:val="00E01583"/>
    <w:rsid w:val="00E01F0B"/>
    <w:rsid w:val="00E01F2B"/>
    <w:rsid w:val="00E02220"/>
    <w:rsid w:val="00E0310E"/>
    <w:rsid w:val="00E04755"/>
    <w:rsid w:val="00E04F9B"/>
    <w:rsid w:val="00E05914"/>
    <w:rsid w:val="00E06A5A"/>
    <w:rsid w:val="00E06BF4"/>
    <w:rsid w:val="00E07BEB"/>
    <w:rsid w:val="00E10FA1"/>
    <w:rsid w:val="00E11322"/>
    <w:rsid w:val="00E13122"/>
    <w:rsid w:val="00E131CB"/>
    <w:rsid w:val="00E1338C"/>
    <w:rsid w:val="00E13625"/>
    <w:rsid w:val="00E136A9"/>
    <w:rsid w:val="00E13A9C"/>
    <w:rsid w:val="00E145FE"/>
    <w:rsid w:val="00E14BFD"/>
    <w:rsid w:val="00E17F3E"/>
    <w:rsid w:val="00E20CC7"/>
    <w:rsid w:val="00E20EAF"/>
    <w:rsid w:val="00E21A2A"/>
    <w:rsid w:val="00E230F0"/>
    <w:rsid w:val="00E23A43"/>
    <w:rsid w:val="00E2521A"/>
    <w:rsid w:val="00E262EA"/>
    <w:rsid w:val="00E26FC0"/>
    <w:rsid w:val="00E274A8"/>
    <w:rsid w:val="00E27A60"/>
    <w:rsid w:val="00E27F8D"/>
    <w:rsid w:val="00E3055E"/>
    <w:rsid w:val="00E31E9B"/>
    <w:rsid w:val="00E32CBC"/>
    <w:rsid w:val="00E3338A"/>
    <w:rsid w:val="00E33E47"/>
    <w:rsid w:val="00E358C4"/>
    <w:rsid w:val="00E35B4B"/>
    <w:rsid w:val="00E35CBD"/>
    <w:rsid w:val="00E3674F"/>
    <w:rsid w:val="00E36CFC"/>
    <w:rsid w:val="00E37761"/>
    <w:rsid w:val="00E40279"/>
    <w:rsid w:val="00E4034E"/>
    <w:rsid w:val="00E42D92"/>
    <w:rsid w:val="00E430E8"/>
    <w:rsid w:val="00E43FE4"/>
    <w:rsid w:val="00E454F1"/>
    <w:rsid w:val="00E45652"/>
    <w:rsid w:val="00E45916"/>
    <w:rsid w:val="00E46BDB"/>
    <w:rsid w:val="00E500EC"/>
    <w:rsid w:val="00E50B57"/>
    <w:rsid w:val="00E527ED"/>
    <w:rsid w:val="00E52D34"/>
    <w:rsid w:val="00E534AD"/>
    <w:rsid w:val="00E551A5"/>
    <w:rsid w:val="00E55340"/>
    <w:rsid w:val="00E56169"/>
    <w:rsid w:val="00E572AF"/>
    <w:rsid w:val="00E57421"/>
    <w:rsid w:val="00E5744C"/>
    <w:rsid w:val="00E57977"/>
    <w:rsid w:val="00E603A4"/>
    <w:rsid w:val="00E621AB"/>
    <w:rsid w:val="00E6384E"/>
    <w:rsid w:val="00E63B6E"/>
    <w:rsid w:val="00E63E49"/>
    <w:rsid w:val="00E647A6"/>
    <w:rsid w:val="00E649D0"/>
    <w:rsid w:val="00E651DF"/>
    <w:rsid w:val="00E6556D"/>
    <w:rsid w:val="00E65922"/>
    <w:rsid w:val="00E66F5C"/>
    <w:rsid w:val="00E679A8"/>
    <w:rsid w:val="00E72640"/>
    <w:rsid w:val="00E7279B"/>
    <w:rsid w:val="00E730E3"/>
    <w:rsid w:val="00E74106"/>
    <w:rsid w:val="00E74D7F"/>
    <w:rsid w:val="00E75AF3"/>
    <w:rsid w:val="00E75FAE"/>
    <w:rsid w:val="00E768ED"/>
    <w:rsid w:val="00E800DE"/>
    <w:rsid w:val="00E8135E"/>
    <w:rsid w:val="00E81FC6"/>
    <w:rsid w:val="00E8303B"/>
    <w:rsid w:val="00E84A87"/>
    <w:rsid w:val="00E85997"/>
    <w:rsid w:val="00E863B8"/>
    <w:rsid w:val="00E8713C"/>
    <w:rsid w:val="00E91BDB"/>
    <w:rsid w:val="00E92489"/>
    <w:rsid w:val="00E93F8E"/>
    <w:rsid w:val="00E9422F"/>
    <w:rsid w:val="00E94BB4"/>
    <w:rsid w:val="00E970D7"/>
    <w:rsid w:val="00E97BB3"/>
    <w:rsid w:val="00EA0B21"/>
    <w:rsid w:val="00EA1419"/>
    <w:rsid w:val="00EA2058"/>
    <w:rsid w:val="00EA2DA1"/>
    <w:rsid w:val="00EA4E66"/>
    <w:rsid w:val="00EA4FAC"/>
    <w:rsid w:val="00EA6FDE"/>
    <w:rsid w:val="00EB36E8"/>
    <w:rsid w:val="00EB3A27"/>
    <w:rsid w:val="00EB4453"/>
    <w:rsid w:val="00EB5404"/>
    <w:rsid w:val="00EB5413"/>
    <w:rsid w:val="00EB7075"/>
    <w:rsid w:val="00EC032D"/>
    <w:rsid w:val="00EC3437"/>
    <w:rsid w:val="00EC366A"/>
    <w:rsid w:val="00EC4B85"/>
    <w:rsid w:val="00EC556C"/>
    <w:rsid w:val="00EC62A3"/>
    <w:rsid w:val="00EC6438"/>
    <w:rsid w:val="00ED0CFE"/>
    <w:rsid w:val="00ED207D"/>
    <w:rsid w:val="00ED42CD"/>
    <w:rsid w:val="00ED4835"/>
    <w:rsid w:val="00ED635D"/>
    <w:rsid w:val="00ED7C71"/>
    <w:rsid w:val="00EE167F"/>
    <w:rsid w:val="00EE1771"/>
    <w:rsid w:val="00EE2256"/>
    <w:rsid w:val="00EE292F"/>
    <w:rsid w:val="00EE30BF"/>
    <w:rsid w:val="00EE3920"/>
    <w:rsid w:val="00EE4831"/>
    <w:rsid w:val="00EE4CDC"/>
    <w:rsid w:val="00EE541F"/>
    <w:rsid w:val="00EF0110"/>
    <w:rsid w:val="00EF0D9A"/>
    <w:rsid w:val="00EF11FC"/>
    <w:rsid w:val="00EF1A50"/>
    <w:rsid w:val="00EF267C"/>
    <w:rsid w:val="00EF2B19"/>
    <w:rsid w:val="00EF2DAD"/>
    <w:rsid w:val="00EF7C53"/>
    <w:rsid w:val="00F016B8"/>
    <w:rsid w:val="00F0275D"/>
    <w:rsid w:val="00F03BD8"/>
    <w:rsid w:val="00F03D5A"/>
    <w:rsid w:val="00F0763B"/>
    <w:rsid w:val="00F112F1"/>
    <w:rsid w:val="00F121E5"/>
    <w:rsid w:val="00F151AC"/>
    <w:rsid w:val="00F15A07"/>
    <w:rsid w:val="00F15A80"/>
    <w:rsid w:val="00F17759"/>
    <w:rsid w:val="00F2094A"/>
    <w:rsid w:val="00F2186C"/>
    <w:rsid w:val="00F21CB7"/>
    <w:rsid w:val="00F21F82"/>
    <w:rsid w:val="00F22563"/>
    <w:rsid w:val="00F23747"/>
    <w:rsid w:val="00F26A58"/>
    <w:rsid w:val="00F27830"/>
    <w:rsid w:val="00F27EE8"/>
    <w:rsid w:val="00F30C94"/>
    <w:rsid w:val="00F30FDC"/>
    <w:rsid w:val="00F33B26"/>
    <w:rsid w:val="00F34FF0"/>
    <w:rsid w:val="00F40B0E"/>
    <w:rsid w:val="00F41C47"/>
    <w:rsid w:val="00F4263C"/>
    <w:rsid w:val="00F438B1"/>
    <w:rsid w:val="00F4435E"/>
    <w:rsid w:val="00F44BC1"/>
    <w:rsid w:val="00F45B13"/>
    <w:rsid w:val="00F462AD"/>
    <w:rsid w:val="00F46954"/>
    <w:rsid w:val="00F46955"/>
    <w:rsid w:val="00F4796F"/>
    <w:rsid w:val="00F509A9"/>
    <w:rsid w:val="00F5188C"/>
    <w:rsid w:val="00F524ED"/>
    <w:rsid w:val="00F55E19"/>
    <w:rsid w:val="00F568E7"/>
    <w:rsid w:val="00F56BD8"/>
    <w:rsid w:val="00F61920"/>
    <w:rsid w:val="00F61AFE"/>
    <w:rsid w:val="00F62F73"/>
    <w:rsid w:val="00F63A7A"/>
    <w:rsid w:val="00F65B49"/>
    <w:rsid w:val="00F65F26"/>
    <w:rsid w:val="00F67827"/>
    <w:rsid w:val="00F67D01"/>
    <w:rsid w:val="00F719C0"/>
    <w:rsid w:val="00F72552"/>
    <w:rsid w:val="00F72D54"/>
    <w:rsid w:val="00F73F21"/>
    <w:rsid w:val="00F77004"/>
    <w:rsid w:val="00F77CCC"/>
    <w:rsid w:val="00F8086D"/>
    <w:rsid w:val="00F80B5D"/>
    <w:rsid w:val="00F82BA3"/>
    <w:rsid w:val="00F834CB"/>
    <w:rsid w:val="00F842C0"/>
    <w:rsid w:val="00F871FB"/>
    <w:rsid w:val="00F914EE"/>
    <w:rsid w:val="00F9173B"/>
    <w:rsid w:val="00F930EE"/>
    <w:rsid w:val="00F93893"/>
    <w:rsid w:val="00F954C3"/>
    <w:rsid w:val="00F95E88"/>
    <w:rsid w:val="00F973E9"/>
    <w:rsid w:val="00FA1294"/>
    <w:rsid w:val="00FA1356"/>
    <w:rsid w:val="00FA1DBC"/>
    <w:rsid w:val="00FA2344"/>
    <w:rsid w:val="00FA3994"/>
    <w:rsid w:val="00FA7FF1"/>
    <w:rsid w:val="00FB01E6"/>
    <w:rsid w:val="00FB0303"/>
    <w:rsid w:val="00FB1523"/>
    <w:rsid w:val="00FB186A"/>
    <w:rsid w:val="00FB19C4"/>
    <w:rsid w:val="00FB3452"/>
    <w:rsid w:val="00FB7632"/>
    <w:rsid w:val="00FB77FF"/>
    <w:rsid w:val="00FC0829"/>
    <w:rsid w:val="00FC2D1F"/>
    <w:rsid w:val="00FC342D"/>
    <w:rsid w:val="00FC450C"/>
    <w:rsid w:val="00FC550F"/>
    <w:rsid w:val="00FC5ECB"/>
    <w:rsid w:val="00FC660C"/>
    <w:rsid w:val="00FD1ED0"/>
    <w:rsid w:val="00FD1F97"/>
    <w:rsid w:val="00FD2246"/>
    <w:rsid w:val="00FD2865"/>
    <w:rsid w:val="00FD3258"/>
    <w:rsid w:val="00FD3B09"/>
    <w:rsid w:val="00FD49D2"/>
    <w:rsid w:val="00FD4F75"/>
    <w:rsid w:val="00FD58C8"/>
    <w:rsid w:val="00FE025A"/>
    <w:rsid w:val="00FE10A8"/>
    <w:rsid w:val="00FE1A6E"/>
    <w:rsid w:val="00FE4740"/>
    <w:rsid w:val="00FE4AF1"/>
    <w:rsid w:val="00FE6074"/>
    <w:rsid w:val="00FE655E"/>
    <w:rsid w:val="00FF0F0F"/>
    <w:rsid w:val="00FF250C"/>
    <w:rsid w:val="00FF2768"/>
    <w:rsid w:val="00FF5C18"/>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878A"/>
  <w15:chartTrackingRefBased/>
  <w15:docId w15:val="{AF3093A3-DC89-4B16-8DAF-20CFAA0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EB"/>
    <w:rPr>
      <w:lang w:val="ro-RO"/>
    </w:rPr>
  </w:style>
  <w:style w:type="paragraph" w:styleId="Heading1">
    <w:name w:val="heading 1"/>
    <w:basedOn w:val="Normal"/>
    <w:next w:val="Normal"/>
    <w:link w:val="Heading1Char"/>
    <w:uiPriority w:val="9"/>
    <w:qFormat/>
    <w:rsid w:val="00705A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1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5E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
    <w:basedOn w:val="Normal"/>
    <w:link w:val="ListParagraphChar"/>
    <w:uiPriority w:val="34"/>
    <w:qFormat/>
    <w:rsid w:val="00706A1E"/>
    <w:pPr>
      <w:ind w:left="720"/>
      <w:contextualSpacing/>
    </w:pPr>
  </w:style>
  <w:style w:type="paragraph" w:styleId="Header">
    <w:name w:val="header"/>
    <w:basedOn w:val="Normal"/>
    <w:link w:val="HeaderChar"/>
    <w:uiPriority w:val="99"/>
    <w:unhideWhenUsed/>
    <w:rsid w:val="005814EF"/>
    <w:pPr>
      <w:tabs>
        <w:tab w:val="center" w:pos="4844"/>
        <w:tab w:val="right" w:pos="9689"/>
      </w:tabs>
      <w:spacing w:after="0" w:line="240" w:lineRule="auto"/>
    </w:pPr>
  </w:style>
  <w:style w:type="character" w:customStyle="1" w:styleId="HeaderChar">
    <w:name w:val="Header Char"/>
    <w:basedOn w:val="DefaultParagraphFont"/>
    <w:link w:val="Header"/>
    <w:uiPriority w:val="99"/>
    <w:rsid w:val="005814EF"/>
    <w:rPr>
      <w:lang w:val="ro-RO"/>
    </w:rPr>
  </w:style>
  <w:style w:type="paragraph" w:styleId="Footer">
    <w:name w:val="footer"/>
    <w:basedOn w:val="Normal"/>
    <w:link w:val="FooterChar"/>
    <w:uiPriority w:val="99"/>
    <w:unhideWhenUsed/>
    <w:rsid w:val="005814E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814EF"/>
    <w:rPr>
      <w:lang w:val="ro-RO"/>
    </w:rPr>
  </w:style>
  <w:style w:type="table" w:styleId="GridTable1Light">
    <w:name w:val="Grid Table 1 Light"/>
    <w:basedOn w:val="TableNormal"/>
    <w:uiPriority w:val="46"/>
    <w:rsid w:val="00BC38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Normal"/>
    <w:link w:val="FootnoteTextChar"/>
    <w:uiPriority w:val="99"/>
    <w:unhideWhenUsed/>
    <w:qFormat/>
    <w:rsid w:val="00E01F0B"/>
    <w:pPr>
      <w:spacing w:after="0" w:line="240" w:lineRule="auto"/>
    </w:pPr>
    <w:rPr>
      <w:sz w:val="20"/>
      <w:szCs w:val="20"/>
      <w:lang w:val="en-US"/>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rsid w:val="00E01F0B"/>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unhideWhenUsed/>
    <w:rsid w:val="00E01F0B"/>
    <w:rPr>
      <w:vertAlign w:val="superscript"/>
    </w:rPr>
  </w:style>
  <w:style w:type="table" w:customStyle="1" w:styleId="GridTable4-Accent61">
    <w:name w:val="Grid Table 4 - Accent 61"/>
    <w:basedOn w:val="TableNormal"/>
    <w:uiPriority w:val="49"/>
    <w:rsid w:val="00E01F0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E01F0B"/>
    <w:pPr>
      <w:spacing w:line="240" w:lineRule="exact"/>
    </w:pPr>
    <w:rPr>
      <w:vertAlign w:val="superscript"/>
      <w:lang w:val="en-US"/>
    </w:rPr>
  </w:style>
  <w:style w:type="table" w:customStyle="1" w:styleId="GridTable1Light1">
    <w:name w:val="Grid Table 1 Light1"/>
    <w:basedOn w:val="TableNormal"/>
    <w:next w:val="GridTable1Light"/>
    <w:uiPriority w:val="46"/>
    <w:rsid w:val="007A53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9E7E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C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214E2"/>
    <w:rPr>
      <w:rFonts w:asciiTheme="majorHAnsi" w:eastAsiaTheme="majorEastAsia" w:hAnsiTheme="majorHAnsi" w:cstheme="majorBidi"/>
      <w:color w:val="2E74B5" w:themeColor="accent1" w:themeShade="BF"/>
      <w:sz w:val="26"/>
      <w:szCs w:val="26"/>
      <w:lang w:val="ro-RO"/>
    </w:rPr>
  </w:style>
  <w:style w:type="paragraph" w:styleId="NormalWeb">
    <w:name w:val="Normal (Web)"/>
    <w:basedOn w:val="Normal"/>
    <w:uiPriority w:val="99"/>
    <w:unhideWhenUsed/>
    <w:rsid w:val="005214E2"/>
    <w:rPr>
      <w:rFonts w:ascii="Times New Roman" w:hAnsi="Times New Roman" w:cs="Times New Roman"/>
      <w:sz w:val="24"/>
      <w:szCs w:val="24"/>
    </w:rPr>
  </w:style>
  <w:style w:type="character" w:customStyle="1" w:styleId="ListParagraphChar">
    <w:name w:val="List Paragraph Char"/>
    <w:aliases w:val="strikethrough Char"/>
    <w:link w:val="ListParagraph"/>
    <w:uiPriority w:val="34"/>
    <w:rsid w:val="000B2F9B"/>
    <w:rPr>
      <w:lang w:val="ro-RO"/>
    </w:rPr>
  </w:style>
  <w:style w:type="table" w:customStyle="1" w:styleId="GridTable4-Accent51">
    <w:name w:val="Grid Table 4 - Accent 51"/>
    <w:basedOn w:val="TableNormal"/>
    <w:uiPriority w:val="49"/>
    <w:rsid w:val="000B2F9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0148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rsid w:val="003C5E92"/>
    <w:rPr>
      <w:rFonts w:asciiTheme="majorHAnsi" w:eastAsiaTheme="majorEastAsia" w:hAnsiTheme="majorHAnsi" w:cstheme="majorBidi"/>
      <w:color w:val="1F4D78" w:themeColor="accent1" w:themeShade="7F"/>
      <w:sz w:val="24"/>
      <w:szCs w:val="24"/>
      <w:lang w:val="ro-RO"/>
    </w:rPr>
  </w:style>
  <w:style w:type="character" w:customStyle="1" w:styleId="Heading1Char">
    <w:name w:val="Heading 1 Char"/>
    <w:basedOn w:val="DefaultParagraphFont"/>
    <w:link w:val="Heading1"/>
    <w:uiPriority w:val="9"/>
    <w:rsid w:val="00705AA2"/>
    <w:rPr>
      <w:rFonts w:asciiTheme="majorHAnsi" w:eastAsiaTheme="majorEastAsia" w:hAnsiTheme="majorHAnsi" w:cstheme="majorBidi"/>
      <w:color w:val="2E74B5" w:themeColor="accent1" w:themeShade="BF"/>
      <w:sz w:val="32"/>
      <w:szCs w:val="32"/>
      <w:lang w:val="ro-RO"/>
    </w:rPr>
  </w:style>
  <w:style w:type="paragraph" w:styleId="TOCHeading">
    <w:name w:val="TOC Heading"/>
    <w:basedOn w:val="Heading1"/>
    <w:next w:val="Normal"/>
    <w:uiPriority w:val="39"/>
    <w:unhideWhenUsed/>
    <w:qFormat/>
    <w:rsid w:val="00705AA2"/>
    <w:pPr>
      <w:outlineLvl w:val="9"/>
    </w:pPr>
    <w:rPr>
      <w:lang w:val="en-US"/>
    </w:rPr>
  </w:style>
  <w:style w:type="paragraph" w:styleId="TOC1">
    <w:name w:val="toc 1"/>
    <w:basedOn w:val="Normal"/>
    <w:next w:val="Normal"/>
    <w:autoRedefine/>
    <w:uiPriority w:val="39"/>
    <w:unhideWhenUsed/>
    <w:rsid w:val="00705AA2"/>
    <w:pPr>
      <w:spacing w:after="100"/>
    </w:pPr>
  </w:style>
  <w:style w:type="paragraph" w:styleId="TOC2">
    <w:name w:val="toc 2"/>
    <w:basedOn w:val="Normal"/>
    <w:next w:val="Normal"/>
    <w:autoRedefine/>
    <w:uiPriority w:val="39"/>
    <w:unhideWhenUsed/>
    <w:rsid w:val="00705AA2"/>
    <w:pPr>
      <w:spacing w:after="100"/>
      <w:ind w:left="220"/>
    </w:pPr>
  </w:style>
  <w:style w:type="paragraph" w:styleId="TOC3">
    <w:name w:val="toc 3"/>
    <w:basedOn w:val="Normal"/>
    <w:next w:val="Normal"/>
    <w:autoRedefine/>
    <w:uiPriority w:val="39"/>
    <w:unhideWhenUsed/>
    <w:rsid w:val="00705AA2"/>
    <w:pPr>
      <w:spacing w:after="100"/>
      <w:ind w:left="440"/>
    </w:pPr>
  </w:style>
  <w:style w:type="character" w:styleId="Hyperlink">
    <w:name w:val="Hyperlink"/>
    <w:basedOn w:val="DefaultParagraphFont"/>
    <w:uiPriority w:val="99"/>
    <w:unhideWhenUsed/>
    <w:rsid w:val="00705AA2"/>
    <w:rPr>
      <w:color w:val="0563C1" w:themeColor="hyperlink"/>
      <w:u w:val="single"/>
    </w:rPr>
  </w:style>
  <w:style w:type="table" w:customStyle="1" w:styleId="TableGrid2">
    <w:name w:val="Table Grid2"/>
    <w:basedOn w:val="TableNormal"/>
    <w:next w:val="TableGrid"/>
    <w:uiPriority w:val="39"/>
    <w:rsid w:val="00BB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EF0D9A"/>
    <w:pPr>
      <w:spacing w:after="0" w:line="240" w:lineRule="auto"/>
      <w:ind w:left="720"/>
      <w:contextualSpacing/>
    </w:pPr>
    <w:rPr>
      <w:rFonts w:ascii="Times New Roman" w:eastAsia="Times New Roman" w:hAnsi="Times New Roman" w:cs="Times New Roman"/>
      <w:sz w:val="24"/>
      <w:szCs w:val="24"/>
      <w:lang w:val="lv-LV" w:eastAsia="lv-LV"/>
    </w:rPr>
  </w:style>
  <w:style w:type="table" w:customStyle="1" w:styleId="ListTable4-Accent51">
    <w:name w:val="List Table 4 - Accent 51"/>
    <w:basedOn w:val="TableNormal"/>
    <w:uiPriority w:val="49"/>
    <w:rsid w:val="00CE2D2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9B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E8"/>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30108">
      <w:bodyDiv w:val="1"/>
      <w:marLeft w:val="0"/>
      <w:marRight w:val="0"/>
      <w:marTop w:val="0"/>
      <w:marBottom w:val="0"/>
      <w:divBdr>
        <w:top w:val="none" w:sz="0" w:space="0" w:color="auto"/>
        <w:left w:val="none" w:sz="0" w:space="0" w:color="auto"/>
        <w:bottom w:val="none" w:sz="0" w:space="0" w:color="auto"/>
        <w:right w:val="none" w:sz="0" w:space="0" w:color="auto"/>
      </w:divBdr>
    </w:div>
    <w:div w:id="652758919">
      <w:bodyDiv w:val="1"/>
      <w:marLeft w:val="0"/>
      <w:marRight w:val="0"/>
      <w:marTop w:val="0"/>
      <w:marBottom w:val="0"/>
      <w:divBdr>
        <w:top w:val="none" w:sz="0" w:space="0" w:color="auto"/>
        <w:left w:val="none" w:sz="0" w:space="0" w:color="auto"/>
        <w:bottom w:val="none" w:sz="0" w:space="0" w:color="auto"/>
        <w:right w:val="none" w:sz="0" w:space="0" w:color="auto"/>
      </w:divBdr>
    </w:div>
    <w:div w:id="836044214">
      <w:bodyDiv w:val="1"/>
      <w:marLeft w:val="0"/>
      <w:marRight w:val="0"/>
      <w:marTop w:val="0"/>
      <w:marBottom w:val="0"/>
      <w:divBdr>
        <w:top w:val="none" w:sz="0" w:space="0" w:color="auto"/>
        <w:left w:val="none" w:sz="0" w:space="0" w:color="auto"/>
        <w:bottom w:val="none" w:sz="0" w:space="0" w:color="auto"/>
        <w:right w:val="none" w:sz="0" w:space="0" w:color="auto"/>
      </w:divBdr>
    </w:div>
    <w:div w:id="9588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6.7054492584562198E-2"/>
          <c:y val="0"/>
          <c:w val="0.90503353747448234"/>
          <c:h val="0.6734435148731408"/>
        </c:manualLayout>
      </c:layout>
      <c:barChart>
        <c:barDir val="col"/>
        <c:grouping val="clustered"/>
        <c:varyColors val="0"/>
        <c:ser>
          <c:idx val="0"/>
          <c:order val="0"/>
          <c:tx>
            <c:strRef>
              <c:f>Sheet1!$B$1</c:f>
              <c:strCache>
                <c:ptCount val="1"/>
                <c:pt idx="0">
                  <c:v>Column2</c:v>
                </c:pt>
              </c:strCache>
            </c:strRef>
          </c:tx>
          <c:spPr>
            <a:solidFill>
              <a:schemeClr val="accent6"/>
            </a:solidFill>
            <a:ln>
              <a:noFill/>
            </a:ln>
            <a:effectLst>
              <a:outerShdw blurRad="57150" dist="19050" dir="5400000" algn="ctr" rotWithShape="0">
                <a:srgbClr val="000000">
                  <a:alpha val="63000"/>
                </a:srgbClr>
              </a:outerShdw>
            </a:effectLst>
          </c:spPr>
          <c:invertIfNegative val="0"/>
          <c:dLbls>
            <c:dLbl>
              <c:idx val="0"/>
              <c:layout/>
              <c:tx>
                <c:rich>
                  <a:bodyPr/>
                  <a:lstStyle/>
                  <a:p>
                    <a:fld id="{BB6E7724-5090-4CA7-8B8C-456B0F72700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981E-46E9-B900-070E988C0F74}"/>
                </c:ext>
              </c:extLst>
            </c:dLbl>
            <c:dLbl>
              <c:idx val="1"/>
              <c:layout/>
              <c:tx>
                <c:rich>
                  <a:bodyPr/>
                  <a:lstStyle/>
                  <a:p>
                    <a:fld id="{C8D228E8-DAA9-432A-8140-60C9D5F757E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81E-46E9-B900-070E988C0F74}"/>
                </c:ext>
              </c:extLst>
            </c:dLbl>
            <c:dLbl>
              <c:idx val="2"/>
              <c:layout>
                <c:manualLayout>
                  <c:x val="-2.3148148148148147E-3"/>
                  <c:y val="0.13236481033091202"/>
                </c:manualLayout>
              </c:layout>
              <c:tx>
                <c:rich>
                  <a:bodyPr/>
                  <a:lstStyle/>
                  <a:p>
                    <a:fld id="{12C7769F-EA83-45D6-81DB-5CFBC82A1A7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981E-46E9-B900-070E988C0F74}"/>
                </c:ext>
              </c:extLst>
            </c:dLbl>
            <c:dLbl>
              <c:idx val="3"/>
              <c:layout/>
              <c:tx>
                <c:rich>
                  <a:bodyPr/>
                  <a:lstStyle/>
                  <a:p>
                    <a:fld id="{16C76A6B-5A0D-438C-BE8D-CF6EF8FEF21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81E-46E9-B900-070E988C0F74}"/>
                </c:ext>
              </c:extLst>
            </c:dLbl>
            <c:dLbl>
              <c:idx val="4"/>
              <c:layout>
                <c:manualLayout>
                  <c:x val="-4.6296296296295869E-3"/>
                  <c:y val="6.7796610169491581E-2"/>
                </c:manualLayout>
              </c:layout>
              <c:tx>
                <c:rich>
                  <a:bodyPr/>
                  <a:lstStyle/>
                  <a:p>
                    <a:fld id="{50A7C937-61F2-4579-87FC-8C121322DD95}" type="VALUE">
                      <a:rPr lang="en-US" b="1"/>
                      <a:pPr/>
                      <a:t>[VALUE]</a:t>
                    </a:fld>
                    <a:r>
                      <a:rPr lang="en-US" b="1"/>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981E-46E9-B900-070E988C0F74}"/>
                </c:ext>
              </c:extLst>
            </c:dLbl>
            <c:dLbl>
              <c:idx val="5"/>
              <c:layout/>
              <c:tx>
                <c:rich>
                  <a:bodyPr/>
                  <a:lstStyle/>
                  <a:p>
                    <a:fld id="{4D3533EC-B3BE-4A66-AD3C-0BF4068EDA0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81E-46E9-B900-070E988C0F74}"/>
                </c:ext>
              </c:extLst>
            </c:dLbl>
            <c:dLbl>
              <c:idx val="6"/>
              <c:layout/>
              <c:tx>
                <c:rich>
                  <a:bodyPr/>
                  <a:lstStyle/>
                  <a:p>
                    <a:fld id="{092D534F-7FE4-4F11-BF6E-4257C72ADC9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981E-46E9-B900-070E988C0F74}"/>
                </c:ext>
              </c:extLst>
            </c:dLbl>
            <c:dLbl>
              <c:idx val="7"/>
              <c:layout/>
              <c:tx>
                <c:rich>
                  <a:bodyPr/>
                  <a:lstStyle/>
                  <a:p>
                    <a:fld id="{FAFA7268-6874-405D-AC4F-FBE8B102B68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81E-46E9-B900-070E988C0F74}"/>
                </c:ext>
              </c:extLst>
            </c:dLbl>
            <c:dLbl>
              <c:idx val="8"/>
              <c:layout/>
              <c:tx>
                <c:rich>
                  <a:bodyPr/>
                  <a:lstStyle/>
                  <a:p>
                    <a:fld id="{3ACE6CFC-F00D-47AB-B1FC-4ECC7C3BA70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981E-46E9-B900-070E988C0F74}"/>
                </c:ext>
              </c:extLst>
            </c:dLbl>
            <c:dLbl>
              <c:idx val="9"/>
              <c:layout/>
              <c:tx>
                <c:rich>
                  <a:bodyPr/>
                  <a:lstStyle/>
                  <a:p>
                    <a:fld id="{15AC2259-B1DE-436A-95E8-1AA5DFF4102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981E-46E9-B900-070E988C0F74}"/>
                </c:ext>
              </c:extLst>
            </c:dLbl>
            <c:dLbl>
              <c:idx val="10"/>
              <c:layout/>
              <c:tx>
                <c:rich>
                  <a:bodyPr/>
                  <a:lstStyle/>
                  <a:p>
                    <a:fld id="{9BCC40EF-601D-413C-BC9B-E353FB4953E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981E-46E9-B900-070E988C0F74}"/>
                </c:ext>
              </c:extLst>
            </c:dLbl>
            <c:dLbl>
              <c:idx val="11"/>
              <c:layout/>
              <c:tx>
                <c:rich>
                  <a:bodyPr/>
                  <a:lstStyle/>
                  <a:p>
                    <a:fld id="{68CA7C22-94CB-4D7B-A1A6-E97EC0BC6527}"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981E-46E9-B900-070E988C0F74}"/>
                </c:ext>
              </c:extLst>
            </c:dLbl>
            <c:dLbl>
              <c:idx val="12"/>
              <c:layout/>
              <c:tx>
                <c:rich>
                  <a:bodyPr/>
                  <a:lstStyle/>
                  <a:p>
                    <a:fld id="{3E369FE7-400C-4D07-9483-D6C10EB4881B}"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981E-46E9-B900-070E988C0F7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Sheet1!$A$2:$A$14</c:f>
              <c:strCache>
                <c:ptCount val="13"/>
                <c:pt idx="0">
                  <c:v>Impozit pe venit</c:v>
                </c:pt>
                <c:pt idx="1">
                  <c:v>TVA</c:v>
                </c:pt>
                <c:pt idx="2">
                  <c:v>Restituirea TVA</c:v>
                </c:pt>
                <c:pt idx="3">
                  <c:v>Accize</c:v>
                </c:pt>
                <c:pt idx="4">
                  <c:v>Retituirea accizelor</c:v>
                </c:pt>
                <c:pt idx="5">
                  <c:v>Taxe și plăți pentru utilizarea mărfurilor și pentru practicarea unor genuri de activitate</c:v>
                </c:pt>
                <c:pt idx="6">
                  <c:v>Alte taxe pentru mărfuri și servicii</c:v>
                </c:pt>
                <c:pt idx="7">
                  <c:v>Taxe vamale și alte taxe de import</c:v>
                </c:pt>
                <c:pt idx="8">
                  <c:v>Alte taxe asupra comerțului exterior și operațiunilor externe</c:v>
                </c:pt>
                <c:pt idx="9">
                  <c:v>Granturi primite</c:v>
                </c:pt>
                <c:pt idx="10">
                  <c:v>Venituri din proprietate</c:v>
                </c:pt>
                <c:pt idx="11">
                  <c:v>Venituri din vânzarea mărfurilor și serviciilor</c:v>
                </c:pt>
                <c:pt idx="12">
                  <c:v>Amenzi și sancțiuni</c:v>
                </c:pt>
              </c:strCache>
            </c:strRef>
          </c:cat>
          <c:val>
            <c:numRef>
              <c:f>Sheet1!$B$2:$B$14</c:f>
              <c:numCache>
                <c:formatCode>0.0</c:formatCode>
                <c:ptCount val="13"/>
                <c:pt idx="0">
                  <c:v>18.899999999999999</c:v>
                </c:pt>
                <c:pt idx="1">
                  <c:v>50.9</c:v>
                </c:pt>
                <c:pt idx="2">
                  <c:v>-7.8</c:v>
                </c:pt>
                <c:pt idx="3">
                  <c:v>15.6</c:v>
                </c:pt>
                <c:pt idx="4">
                  <c:v>-0.6</c:v>
                </c:pt>
                <c:pt idx="5">
                  <c:v>0.9</c:v>
                </c:pt>
                <c:pt idx="6">
                  <c:v>2.6</c:v>
                </c:pt>
                <c:pt idx="7">
                  <c:v>3</c:v>
                </c:pt>
                <c:pt idx="8">
                  <c:v>1.5</c:v>
                </c:pt>
                <c:pt idx="9">
                  <c:v>0.9</c:v>
                </c:pt>
                <c:pt idx="10">
                  <c:v>1.1000000000000001</c:v>
                </c:pt>
                <c:pt idx="11">
                  <c:v>2.6</c:v>
                </c:pt>
                <c:pt idx="12">
                  <c:v>1</c:v>
                </c:pt>
              </c:numCache>
            </c:numRef>
          </c:val>
          <c:extLst>
            <c:ext xmlns:c16="http://schemas.microsoft.com/office/drawing/2014/chart" uri="{C3380CC4-5D6E-409C-BE32-E72D297353CC}">
              <c16:uniqueId val="{0000000D-981E-46E9-B900-070E988C0F74}"/>
            </c:ext>
          </c:extLst>
        </c:ser>
        <c:dLbls>
          <c:dLblPos val="outEnd"/>
          <c:showLegendKey val="0"/>
          <c:showVal val="1"/>
          <c:showCatName val="0"/>
          <c:showSerName val="0"/>
          <c:showPercent val="0"/>
          <c:showBubbleSize val="0"/>
        </c:dLbls>
        <c:gapWidth val="100"/>
        <c:overlap val="-24"/>
        <c:axId val="196732088"/>
        <c:axId val="196733656"/>
      </c:barChart>
      <c:catAx>
        <c:axId val="196732088"/>
        <c:scaling>
          <c:orientation val="minMax"/>
        </c:scaling>
        <c:delete val="0"/>
        <c:axPos val="b"/>
        <c:numFmt formatCode="General" sourceLinked="1"/>
        <c:majorTickMark val="out"/>
        <c:minorTickMark val="none"/>
        <c:tickLblPos val="nextTo"/>
        <c:spPr>
          <a:noFill/>
          <a:ln w="19050" cap="flat" cmpd="sng" algn="ctr">
            <a:solidFill>
              <a:schemeClr val="tx1">
                <a:lumMod val="15000"/>
                <a:lumOff val="85000"/>
                <a:alpha val="72000"/>
              </a:schemeClr>
            </a:solidFill>
            <a:prstDash val="solid"/>
            <a:round/>
          </a:ln>
          <a:effectLst>
            <a:outerShdw blurRad="596900" dist="1320800" dir="9960000" sx="39000" sy="39000" algn="ctr" rotWithShape="0">
              <a:srgbClr val="000000">
                <a:alpha val="43137"/>
              </a:srgbClr>
            </a:outerShdw>
          </a:effectLst>
        </c:spPr>
        <c:txPr>
          <a:bodyPr rot="-5400000" spcFirstLastPara="1" vertOverflow="ellipsis" wrap="square" anchor="b" anchorCtr="0"/>
          <a:lstStyle/>
          <a:p>
            <a:pPr>
              <a:defRPr sz="1000" b="0" i="0" u="none" strike="noStrike" kern="1200" baseline="0">
                <a:solidFill>
                  <a:schemeClr val="tx1"/>
                </a:solidFill>
                <a:latin typeface="+mj-lt"/>
                <a:ea typeface="+mn-ea"/>
                <a:cs typeface="Times New Roman" panose="02020603050405020304" pitchFamily="18" charset="0"/>
              </a:defRPr>
            </a:pPr>
            <a:endParaRPr lang="en-US"/>
          </a:p>
        </c:txPr>
        <c:crossAx val="196733656"/>
        <c:crosses val="autoZero"/>
        <c:auto val="1"/>
        <c:lblAlgn val="l"/>
        <c:lblOffset val="100"/>
        <c:noMultiLvlLbl val="0"/>
      </c:catAx>
      <c:valAx>
        <c:axId val="196733656"/>
        <c:scaling>
          <c:orientation val="minMax"/>
        </c:scaling>
        <c:delete val="1"/>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 sourceLinked="1"/>
        <c:majorTickMark val="out"/>
        <c:minorTickMark val="none"/>
        <c:tickLblPos val="nextTo"/>
        <c:crossAx val="19673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scene3d>
              <a:camera prst="orthographicFront"/>
              <a:lightRig rig="threePt" dir="t"/>
            </a:scene3d>
            <a:sp3d>
              <a:bevelT w="139700" h="139700" prst="divot"/>
            </a:sp3d>
          </c:spPr>
          <c:dPt>
            <c:idx val="0"/>
            <c:bubble3D val="0"/>
            <c:spPr>
              <a:solidFill>
                <a:schemeClr val="accent1"/>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1-A1AC-4C77-81A8-D9AE38DEA47E}"/>
              </c:ext>
            </c:extLst>
          </c:dPt>
          <c:dPt>
            <c:idx val="1"/>
            <c:bubble3D val="0"/>
            <c:spPr>
              <a:solidFill>
                <a:schemeClr val="accent3"/>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3-A1AC-4C77-81A8-D9AE38DEA47E}"/>
              </c:ext>
            </c:extLst>
          </c:dPt>
          <c:dPt>
            <c:idx val="2"/>
            <c:bubble3D val="0"/>
            <c:spPr>
              <a:solidFill>
                <a:schemeClr val="accent5"/>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5-A1AC-4C77-81A8-D9AE38DEA47E}"/>
              </c:ext>
            </c:extLst>
          </c:dPt>
          <c:dPt>
            <c:idx val="3"/>
            <c:bubble3D val="0"/>
            <c:spPr>
              <a:solidFill>
                <a:schemeClr val="accent1">
                  <a:lumMod val="6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7-A1AC-4C77-81A8-D9AE38DEA47E}"/>
              </c:ext>
            </c:extLst>
          </c:dPt>
          <c:dPt>
            <c:idx val="4"/>
            <c:bubble3D val="0"/>
            <c:spPr>
              <a:solidFill>
                <a:schemeClr val="accent3">
                  <a:lumMod val="6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9-A1AC-4C77-81A8-D9AE38DEA47E}"/>
              </c:ext>
            </c:extLst>
          </c:dPt>
          <c:dPt>
            <c:idx val="5"/>
            <c:bubble3D val="0"/>
            <c:spPr>
              <a:solidFill>
                <a:schemeClr val="accent5">
                  <a:lumMod val="6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B-A1AC-4C77-81A8-D9AE38DEA47E}"/>
              </c:ext>
            </c:extLst>
          </c:dPt>
          <c:dPt>
            <c:idx val="6"/>
            <c:bubble3D val="0"/>
            <c:spPr>
              <a:solidFill>
                <a:schemeClr val="accent1">
                  <a:lumMod val="80000"/>
                  <a:lumOff val="2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D-A1AC-4C77-81A8-D9AE38DEA47E}"/>
              </c:ext>
            </c:extLst>
          </c:dPt>
          <c:dPt>
            <c:idx val="7"/>
            <c:bubble3D val="0"/>
            <c:spPr>
              <a:solidFill>
                <a:schemeClr val="accent3">
                  <a:lumMod val="80000"/>
                  <a:lumOff val="2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0F-A1AC-4C77-81A8-D9AE38DEA47E}"/>
              </c:ext>
            </c:extLst>
          </c:dPt>
          <c:dPt>
            <c:idx val="8"/>
            <c:bubble3D val="0"/>
            <c:spPr>
              <a:solidFill>
                <a:schemeClr val="accent5">
                  <a:lumMod val="80000"/>
                  <a:lumOff val="2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11-A1AC-4C77-81A8-D9AE38DEA47E}"/>
              </c:ext>
            </c:extLst>
          </c:dPt>
          <c:dPt>
            <c:idx val="9"/>
            <c:bubble3D val="0"/>
            <c:spPr>
              <a:solidFill>
                <a:schemeClr val="accent1">
                  <a:lumMod val="80000"/>
                </a:schemeClr>
              </a:solidFill>
              <a:ln>
                <a:noFill/>
              </a:ln>
              <a:effectLst/>
              <a:scene3d>
                <a:camera prst="orthographicFront"/>
                <a:lightRig rig="threePt" dir="t"/>
              </a:scene3d>
              <a:sp3d>
                <a:bevelT w="139700" h="139700" prst="divot"/>
              </a:sp3d>
            </c:spPr>
            <c:extLst>
              <c:ext xmlns:c16="http://schemas.microsoft.com/office/drawing/2014/chart" uri="{C3380CC4-5D6E-409C-BE32-E72D297353CC}">
                <c16:uniqueId val="{00000013-A1AC-4C77-81A8-D9AE38DEA47E}"/>
              </c:ext>
            </c:extLst>
          </c:dPt>
          <c:dLbls>
            <c:dLbl>
              <c:idx val="0"/>
              <c:layout/>
              <c:tx>
                <c:rich>
                  <a:bodyPr/>
                  <a:lstStyle/>
                  <a:p>
                    <a:fld id="{20C957E1-E8DA-4711-9B9A-F87C32049686}" type="CATEGORYNAME">
                      <a:rPr lang="en-US"/>
                      <a:pPr/>
                      <a:t>[CATEGORY NAME]</a:t>
                    </a:fld>
                    <a:r>
                      <a:rPr lang="en-US" baseline="0"/>
                      <a:t>
</a:t>
                    </a:r>
                    <a:fld id="{4A701E43-1DA4-427D-A909-1ADD2986E0C1}"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1AC-4C77-81A8-D9AE38DEA47E}"/>
                </c:ext>
              </c:extLst>
            </c:dLbl>
            <c:dLbl>
              <c:idx val="1"/>
              <c:layout>
                <c:manualLayout>
                  <c:x val="9.1445586030370739E-3"/>
                  <c:y val="3.6615209283050142E-2"/>
                </c:manualLayout>
              </c:layout>
              <c:tx>
                <c:rich>
                  <a:bodyPr/>
                  <a:lstStyle/>
                  <a:p>
                    <a:fld id="{EB7685CF-1BB8-4920-9D20-F835C9B728A3}" type="CATEGORYNAME">
                      <a:rPr lang="en-US"/>
                      <a:pPr/>
                      <a:t>[CATEGORY NAME]</a:t>
                    </a:fld>
                    <a:r>
                      <a:rPr lang="en-US" baseline="0"/>
                      <a:t>
</a:t>
                    </a:r>
                    <a:fld id="{0D1B65B3-8ABB-4CFF-B7E1-8A8CD611380E}"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1AC-4C77-81A8-D9AE38DEA47E}"/>
                </c:ext>
              </c:extLst>
            </c:dLbl>
            <c:dLbl>
              <c:idx val="2"/>
              <c:layout/>
              <c:tx>
                <c:rich>
                  <a:bodyPr/>
                  <a:lstStyle/>
                  <a:p>
                    <a:fld id="{9E3095CD-1CFC-4906-922A-95B98069339C}" type="CATEGORYNAME">
                      <a:rPr lang="en-US"/>
                      <a:pPr/>
                      <a:t>[CATEGORY NAME]</a:t>
                    </a:fld>
                    <a:r>
                      <a:rPr lang="en-US" baseline="0"/>
                      <a:t>
</a:t>
                    </a:r>
                    <a:fld id="{64067F2B-7DE1-4321-9476-5562E7EEE49D}" type="PERCENTAGE">
                      <a:rPr lang="en-US"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1AC-4C77-81A8-D9AE38DEA47E}"/>
                </c:ext>
              </c:extLst>
            </c:dLbl>
            <c:dLbl>
              <c:idx val="3"/>
              <c:layout/>
              <c:tx>
                <c:rich>
                  <a:bodyPr/>
                  <a:lstStyle/>
                  <a:p>
                    <a:fld id="{16DDA442-C8B5-41F8-8045-1BA944A0AA39}" type="CATEGORYNAME">
                      <a:rPr lang="en-US"/>
                      <a:pPr/>
                      <a:t>[CATEGORY NAME]</a:t>
                    </a:fld>
                    <a:r>
                      <a:rPr lang="en-US" baseline="0"/>
                      <a:t>
</a:t>
                    </a:r>
                    <a:fld id="{40BF2BA5-24B0-4E40-BEA4-B6FD0E069D64}"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A1AC-4C77-81A8-D9AE38DEA47E}"/>
                </c:ext>
              </c:extLst>
            </c:dLbl>
            <c:dLbl>
              <c:idx val="4"/>
              <c:layout/>
              <c:tx>
                <c:rich>
                  <a:bodyPr/>
                  <a:lstStyle/>
                  <a:p>
                    <a:fld id="{FEDDEA26-2571-4D5F-96E5-FE52F729DFF4}" type="CATEGORYNAME">
                      <a:rPr lang="en-US"/>
                      <a:pPr/>
                      <a:t>[CATEGORY NAME]</a:t>
                    </a:fld>
                    <a:r>
                      <a:rPr lang="en-US" baseline="0"/>
                      <a:t>
</a:t>
                    </a:r>
                    <a:fld id="{323338B2-45C2-4687-B7E6-5729E997E2BB}"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1AC-4C77-81A8-D9AE38DEA47E}"/>
                </c:ext>
              </c:extLst>
            </c:dLbl>
            <c:dLbl>
              <c:idx val="5"/>
              <c:layout/>
              <c:tx>
                <c:rich>
                  <a:bodyPr/>
                  <a:lstStyle/>
                  <a:p>
                    <a:fld id="{F937018A-5FA3-4C2D-989A-C6E9E607A321}" type="CATEGORYNAME">
                      <a:rPr lang="en-US"/>
                      <a:pPr/>
                      <a:t>[CATEGORY NAME]</a:t>
                    </a:fld>
                    <a:r>
                      <a:rPr lang="en-US" baseline="0"/>
                      <a:t>
</a:t>
                    </a:r>
                    <a:fld id="{1060979A-0E15-43F6-87B9-A7FC42529FDC}"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A1AC-4C77-81A8-D9AE38DEA47E}"/>
                </c:ext>
              </c:extLst>
            </c:dLbl>
            <c:dLbl>
              <c:idx val="6"/>
              <c:layout/>
              <c:tx>
                <c:rich>
                  <a:bodyPr/>
                  <a:lstStyle/>
                  <a:p>
                    <a:fld id="{BA73DE6C-6F50-4606-BCA6-BDE5B3D13F86}" type="CATEGORYNAME">
                      <a:rPr lang="en-US"/>
                      <a:pPr/>
                      <a:t>[CATEGORY NAME]</a:t>
                    </a:fld>
                    <a:r>
                      <a:rPr lang="en-US" baseline="0"/>
                      <a:t>
</a:t>
                    </a:r>
                    <a:fld id="{6648A7B8-C9C9-468C-8A89-0090BE2B3BB2}"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A1AC-4C77-81A8-D9AE38DEA47E}"/>
                </c:ext>
              </c:extLst>
            </c:dLbl>
            <c:dLbl>
              <c:idx val="7"/>
              <c:layout/>
              <c:tx>
                <c:rich>
                  <a:bodyPr/>
                  <a:lstStyle/>
                  <a:p>
                    <a:fld id="{772423B0-E5F3-42AE-AACA-A272492B600B}" type="CATEGORYNAME">
                      <a:rPr lang="en-US"/>
                      <a:pPr/>
                      <a:t>[CATEGORY NAME]</a:t>
                    </a:fld>
                    <a:r>
                      <a:rPr lang="en-US" baseline="0"/>
                      <a:t>
</a:t>
                    </a:r>
                    <a:fld id="{68601011-21D4-4F08-928B-D29AEB27A4AE}"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A1AC-4C77-81A8-D9AE38DEA47E}"/>
                </c:ext>
              </c:extLst>
            </c:dLbl>
            <c:dLbl>
              <c:idx val="8"/>
              <c:layout>
                <c:manualLayout>
                  <c:x val="2.6357453226296505E-3"/>
                  <c:y val="-3.9120389556568588E-2"/>
                </c:manualLayout>
              </c:layout>
              <c:tx>
                <c:rich>
                  <a:bodyPr/>
                  <a:lstStyle/>
                  <a:p>
                    <a:fld id="{D5E29642-62B6-4AFE-AC7C-B52259CBB4A2}" type="CATEGORYNAME">
                      <a:rPr lang="en-US"/>
                      <a:pPr/>
                      <a:t>[CATEGORY NAME]</a:t>
                    </a:fld>
                    <a:r>
                      <a:rPr lang="en-US" baseline="0"/>
                      <a:t>
</a:t>
                    </a:r>
                    <a:fld id="{31AD88DF-C5EC-46FD-B315-E9C3B1C8E40D}"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A1AC-4C77-81A8-D9AE38DEA47E}"/>
                </c:ext>
              </c:extLst>
            </c:dLbl>
            <c:dLbl>
              <c:idx val="9"/>
              <c:layout/>
              <c:tx>
                <c:rich>
                  <a:bodyPr/>
                  <a:lstStyle/>
                  <a:p>
                    <a:fld id="{698C7911-FEFB-4E28-8F99-F5A80E4D58CA}" type="CATEGORYNAME">
                      <a:rPr lang="en-US"/>
                      <a:pPr/>
                      <a:t>[CATEGORY NAME]</a:t>
                    </a:fld>
                    <a:r>
                      <a:rPr lang="en-US" baseline="0"/>
                      <a:t>
</a:t>
                    </a:r>
                    <a:fld id="{C55722FB-5C3C-47C7-A99A-CA3907CD6B9C}" type="PERCENTAGE">
                      <a:rPr lang="en-US" b="1" baseline="0">
                        <a:solidFill>
                          <a:schemeClr val="tx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3-A1AC-4C77-81A8-D9AE38DEA47E}"/>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j-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olidFill>
                  <a:prstDash val="solid"/>
                  <a:round/>
                </a:ln>
                <a:effectLst/>
              </c:spPr>
            </c:leaderLines>
            <c:extLst>
              <c:ext xmlns:c15="http://schemas.microsoft.com/office/drawing/2012/chart" uri="{CE6537A1-D6FC-4f65-9D91-7224C49458BB}"/>
            </c:extLst>
          </c:dLbls>
          <c:cat>
            <c:strRef>
              <c:f>Sheet1!$A$2:$A$11</c:f>
              <c:strCache>
                <c:ptCount val="10"/>
                <c:pt idx="0">
                  <c:v>Servicii de stat cu destinație generală</c:v>
                </c:pt>
                <c:pt idx="1">
                  <c:v>Ordine publică și securitate națională</c:v>
                </c:pt>
                <c:pt idx="2">
                  <c:v>Servicii în domeniul economiei</c:v>
                </c:pt>
                <c:pt idx="3">
                  <c:v>Protecția mediului</c:v>
                </c:pt>
                <c:pt idx="4">
                  <c:v>Gospodăria de locuințe și gosp. serv. </c:v>
                </c:pt>
                <c:pt idx="5">
                  <c:v>Ocrotirea sănătății</c:v>
                </c:pt>
                <c:pt idx="6">
                  <c:v>Cultură, sport, tineret, culte și odihnă</c:v>
                </c:pt>
                <c:pt idx="7">
                  <c:v>Învățământ</c:v>
                </c:pt>
                <c:pt idx="8">
                  <c:v>Apărare națională</c:v>
                </c:pt>
                <c:pt idx="9">
                  <c:v>Protecție socială</c:v>
                </c:pt>
              </c:strCache>
            </c:strRef>
          </c:cat>
          <c:val>
            <c:numRef>
              <c:f>Sheet1!$B$2:$B$11</c:f>
              <c:numCache>
                <c:formatCode>General</c:formatCode>
                <c:ptCount val="10"/>
                <c:pt idx="0">
                  <c:v>5926.9</c:v>
                </c:pt>
                <c:pt idx="1">
                  <c:v>4357.6000000000004</c:v>
                </c:pt>
                <c:pt idx="2">
                  <c:v>5807.6</c:v>
                </c:pt>
                <c:pt idx="3">
                  <c:v>99.5</c:v>
                </c:pt>
                <c:pt idx="4">
                  <c:v>371.9</c:v>
                </c:pt>
                <c:pt idx="5">
                  <c:v>3646</c:v>
                </c:pt>
                <c:pt idx="6">
                  <c:v>700.2</c:v>
                </c:pt>
                <c:pt idx="7">
                  <c:v>9730.7999999999993</c:v>
                </c:pt>
                <c:pt idx="8">
                  <c:v>631.70000000000005</c:v>
                </c:pt>
                <c:pt idx="9">
                  <c:v>7436.1</c:v>
                </c:pt>
              </c:numCache>
            </c:numRef>
          </c:val>
          <c:extLst>
            <c:ext xmlns:c16="http://schemas.microsoft.com/office/drawing/2014/chart" uri="{C3380CC4-5D6E-409C-BE32-E72D297353CC}">
              <c16:uniqueId val="{00000014-A1AC-4C77-81A8-D9AE38DEA47E}"/>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6350" cap="flat" cmpd="sng" algn="ctr">
      <a:noFill/>
      <a:prstDash val="solid"/>
      <a:round/>
    </a:ln>
    <a:effectLst/>
  </c:spPr>
  <c:txPr>
    <a:bodyPr/>
    <a:lstStyle/>
    <a:p>
      <a:pPr>
        <a:defRPr>
          <a:solidFill>
            <a:schemeClr val="lt1"/>
          </a:solidFill>
          <a:latin typeface="+mn-lt"/>
          <a:ea typeface="+mn-ea"/>
          <a:cs typeface="+mn-cs"/>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3847112860892392"/>
          <c:y val="3.3222591362126248E-2"/>
          <c:w val="0.7308460921551474"/>
          <c:h val="0.82794360007324663"/>
        </c:manualLayout>
      </c:layout>
      <c:bar3DChart>
        <c:barDir val="bar"/>
        <c:grouping val="stacked"/>
        <c:varyColors val="0"/>
        <c:ser>
          <c:idx val="0"/>
          <c:order val="0"/>
          <c:tx>
            <c:strRef>
              <c:f>Sheet1!$B$1</c:f>
              <c:strCache>
                <c:ptCount val="1"/>
                <c:pt idx="0">
                  <c:v>Fondul de rezervă</c:v>
                </c:pt>
              </c:strCache>
            </c:strRef>
          </c:tx>
          <c:spPr>
            <a:solidFill>
              <a:schemeClr val="accent2">
                <a:lumMod val="50000"/>
              </a:schemeClr>
            </a:solidFill>
            <a:ln>
              <a:noFill/>
            </a:ln>
            <a:effectLst>
              <a:outerShdw blurRad="57150" dist="19050" dir="5400000" algn="ctr" rotWithShape="0">
                <a:schemeClr val="accent3">
                  <a:lumMod val="75000"/>
                  <a:alpha val="63000"/>
                </a:scheme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bg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Aprobat prin legea bugetară</c:v>
                </c:pt>
                <c:pt idx="1">
                  <c:v>Repatizat (HG emise)</c:v>
                </c:pt>
                <c:pt idx="2">
                  <c:v>Executat</c:v>
                </c:pt>
              </c:strCache>
            </c:strRef>
          </c:cat>
          <c:val>
            <c:numRef>
              <c:f>Sheet1!$B$2:$B$4</c:f>
              <c:numCache>
                <c:formatCode>0.0</c:formatCode>
                <c:ptCount val="3"/>
                <c:pt idx="0">
                  <c:v>99</c:v>
                </c:pt>
                <c:pt idx="1">
                  <c:v>75.599999999999994</c:v>
                </c:pt>
                <c:pt idx="2">
                  <c:v>72.7</c:v>
                </c:pt>
              </c:numCache>
            </c:numRef>
          </c:val>
          <c:extLst>
            <c:ext xmlns:c16="http://schemas.microsoft.com/office/drawing/2014/chart" uri="{C3380CC4-5D6E-409C-BE32-E72D297353CC}">
              <c16:uniqueId val="{00000000-B9A6-45E3-8283-450484628E0E}"/>
            </c:ext>
          </c:extLst>
        </c:ser>
        <c:ser>
          <c:idx val="1"/>
          <c:order val="1"/>
          <c:tx>
            <c:strRef>
              <c:f>Sheet1!$C$1</c:f>
              <c:strCache>
                <c:ptCount val="1"/>
                <c:pt idx="0">
                  <c:v>Fondul de intervenție</c:v>
                </c:pt>
              </c:strCache>
            </c:strRef>
          </c:tx>
          <c:spPr>
            <a:solidFill>
              <a:schemeClr val="accent2">
                <a:lumMod val="60000"/>
                <a:lumOff val="40000"/>
              </a:schemeClr>
            </a:solidFill>
            <a:ln>
              <a:solidFill>
                <a:schemeClr val="accent2">
                  <a:lumMod val="75000"/>
                </a:schemeClr>
              </a:solid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Aprobat prin legea bugetară</c:v>
                </c:pt>
                <c:pt idx="1">
                  <c:v>Repatizat (HG emise)</c:v>
                </c:pt>
                <c:pt idx="2">
                  <c:v>Executat</c:v>
                </c:pt>
              </c:strCache>
            </c:strRef>
          </c:cat>
          <c:val>
            <c:numRef>
              <c:f>Sheet1!$C$2:$C$4</c:f>
              <c:numCache>
                <c:formatCode>0.0</c:formatCode>
                <c:ptCount val="3"/>
                <c:pt idx="0">
                  <c:v>40</c:v>
                </c:pt>
                <c:pt idx="1">
                  <c:v>15.9</c:v>
                </c:pt>
                <c:pt idx="2">
                  <c:v>14.3</c:v>
                </c:pt>
              </c:numCache>
            </c:numRef>
          </c:val>
          <c:extLst>
            <c:ext xmlns:c16="http://schemas.microsoft.com/office/drawing/2014/chart" uri="{C3380CC4-5D6E-409C-BE32-E72D297353CC}">
              <c16:uniqueId val="{00000001-B9A6-45E3-8283-450484628E0E}"/>
            </c:ext>
          </c:extLst>
        </c:ser>
        <c:dLbls>
          <c:showLegendKey val="0"/>
          <c:showVal val="1"/>
          <c:showCatName val="0"/>
          <c:showSerName val="0"/>
          <c:showPercent val="0"/>
          <c:showBubbleSize val="0"/>
        </c:dLbls>
        <c:gapWidth val="150"/>
        <c:shape val="cylinder"/>
        <c:axId val="242257135"/>
        <c:axId val="242261295"/>
        <c:axId val="0"/>
      </c:bar3DChart>
      <c:catAx>
        <c:axId val="24225713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crossAx val="242261295"/>
        <c:crosses val="autoZero"/>
        <c:auto val="1"/>
        <c:lblAlgn val="ctr"/>
        <c:lblOffset val="100"/>
        <c:noMultiLvlLbl val="0"/>
      </c:catAx>
      <c:valAx>
        <c:axId val="242261295"/>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242257135"/>
        <c:crosses val="autoZero"/>
        <c:crossBetween val="between"/>
      </c:valAx>
      <c:spPr>
        <a:solidFill>
          <a:srgbClr val="A5A5A5">
            <a:lumMod val="20000"/>
            <a:lumOff val="80000"/>
          </a:srgbClr>
        </a:solidFill>
        <a:ln>
          <a:solidFill>
            <a:srgbClr val="ED7D31">
              <a:lumMod val="75000"/>
            </a:srgbClr>
          </a:solid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legend>
    <c:plotVisOnly val="1"/>
    <c:dispBlanksAs val="gap"/>
    <c:showDLblsOverMax val="0"/>
  </c:chart>
  <c:spPr>
    <a:pattFill prst="pct60">
      <a:fgClr>
        <a:srgbClr val="ED7D31">
          <a:lumMod val="20000"/>
          <a:lumOff val="80000"/>
        </a:srgbClr>
      </a:fgClr>
      <a:bgClr>
        <a:sysClr val="window" lastClr="FFFFFF"/>
      </a:bgClr>
    </a:patt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39735119316982E-2"/>
          <c:y val="4.2735042735042736E-2"/>
          <c:w val="0.91626165263824777"/>
          <c:h val="0.67837043206137693"/>
        </c:manualLayout>
      </c:layout>
      <c:barChart>
        <c:barDir val="col"/>
        <c:grouping val="clustered"/>
        <c:varyColors val="0"/>
        <c:ser>
          <c:idx val="0"/>
          <c:order val="0"/>
          <c:tx>
            <c:strRef>
              <c:f>Sheet1!$B$1</c:f>
              <c:strCache>
                <c:ptCount val="1"/>
                <c:pt idx="0">
                  <c:v>Executori de buget</c:v>
                </c:pt>
              </c:strCache>
            </c:strRef>
          </c:tx>
          <c:spPr>
            <a:solidFill>
              <a:schemeClr val="accent2"/>
            </a:solidFill>
            <a:ln>
              <a:noFill/>
            </a:ln>
            <a:effectLst/>
          </c:spPr>
          <c:invertIfNegative val="0"/>
          <c:dPt>
            <c:idx val="0"/>
            <c:invertIfNegative val="0"/>
            <c:bubble3D val="0"/>
            <c:spPr>
              <a:pattFill prst="sphere">
                <a:fgClr>
                  <a:schemeClr val="tx1"/>
                </a:fgClr>
                <a:bgClr>
                  <a:schemeClr val="bg1"/>
                </a:bgClr>
              </a:pattFill>
              <a:ln>
                <a:noFill/>
              </a:ln>
              <a:effectLst/>
            </c:spPr>
            <c:extLst>
              <c:ext xmlns:c16="http://schemas.microsoft.com/office/drawing/2014/chart" uri="{C3380CC4-5D6E-409C-BE32-E72D297353CC}">
                <c16:uniqueId val="{00000001-532D-4320-ABF8-D2F61A96C891}"/>
              </c:ext>
            </c:extLst>
          </c:dPt>
          <c:dPt>
            <c:idx val="1"/>
            <c:invertIfNegative val="0"/>
            <c:bubble3D val="0"/>
            <c:spPr>
              <a:pattFill prst="sphere">
                <a:fgClr>
                  <a:schemeClr val="tx1"/>
                </a:fgClr>
                <a:bgClr>
                  <a:schemeClr val="bg1"/>
                </a:bgClr>
              </a:pattFill>
              <a:ln>
                <a:noFill/>
              </a:ln>
              <a:effectLst/>
            </c:spPr>
            <c:extLst>
              <c:ext xmlns:c16="http://schemas.microsoft.com/office/drawing/2014/chart" uri="{C3380CC4-5D6E-409C-BE32-E72D297353CC}">
                <c16:uniqueId val="{00000003-532D-4320-ABF8-D2F61A96C891}"/>
              </c:ext>
            </c:extLst>
          </c:dPt>
          <c:dPt>
            <c:idx val="2"/>
            <c:invertIfNegative val="0"/>
            <c:bubble3D val="0"/>
            <c:spPr>
              <a:pattFill prst="sphere">
                <a:fgClr>
                  <a:schemeClr val="tx1"/>
                </a:fgClr>
                <a:bgClr>
                  <a:schemeClr val="bg1"/>
                </a:bgClr>
              </a:pattFill>
              <a:ln>
                <a:noFill/>
              </a:ln>
              <a:effectLst/>
            </c:spPr>
            <c:extLst>
              <c:ext xmlns:c16="http://schemas.microsoft.com/office/drawing/2014/chart" uri="{C3380CC4-5D6E-409C-BE32-E72D297353CC}">
                <c16:uniqueId val="{00000005-532D-4320-ABF8-D2F61A96C89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Sheet1!$B$2:$B$4</c:f>
              <c:numCache>
                <c:formatCode>General</c:formatCode>
                <c:ptCount val="3"/>
                <c:pt idx="0">
                  <c:v>7.4</c:v>
                </c:pt>
                <c:pt idx="1">
                  <c:v>12.9</c:v>
                </c:pt>
                <c:pt idx="2">
                  <c:v>17.5</c:v>
                </c:pt>
              </c:numCache>
            </c:numRef>
          </c:val>
          <c:extLst>
            <c:ext xmlns:c16="http://schemas.microsoft.com/office/drawing/2014/chart" uri="{C3380CC4-5D6E-409C-BE32-E72D297353CC}">
              <c16:uniqueId val="{00000006-532D-4320-ABF8-D2F61A96C891}"/>
            </c:ext>
          </c:extLst>
        </c:ser>
        <c:ser>
          <c:idx val="1"/>
          <c:order val="1"/>
          <c:tx>
            <c:strRef>
              <c:f>Sheet1!$C$1</c:f>
              <c:strCache>
                <c:ptCount val="1"/>
                <c:pt idx="0">
                  <c:v>Ministerul Finanțelor</c:v>
                </c:pt>
              </c:strCache>
            </c:strRef>
          </c:tx>
          <c:spPr>
            <a:pattFill prst="dkUpDiag">
              <a:fgClr>
                <a:schemeClr val="accent4">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Sheet1!$C$2:$C$4</c:f>
              <c:numCache>
                <c:formatCode>General</c:formatCode>
                <c:ptCount val="3"/>
                <c:pt idx="0">
                  <c:v>24.9</c:v>
                </c:pt>
                <c:pt idx="1">
                  <c:v>13.6</c:v>
                </c:pt>
                <c:pt idx="2">
                  <c:v>44.6</c:v>
                </c:pt>
              </c:numCache>
            </c:numRef>
          </c:val>
          <c:extLst>
            <c:ext xmlns:c16="http://schemas.microsoft.com/office/drawing/2014/chart" uri="{C3380CC4-5D6E-409C-BE32-E72D297353CC}">
              <c16:uniqueId val="{00000007-532D-4320-ABF8-D2F61A96C891}"/>
            </c:ext>
          </c:extLst>
        </c:ser>
        <c:ser>
          <c:idx val="2"/>
          <c:order val="2"/>
          <c:tx>
            <c:strRef>
              <c:f>Sheet1!$D$1</c:f>
              <c:strCache>
                <c:ptCount val="1"/>
                <c:pt idx="0">
                  <c:v>Total</c:v>
                </c:pt>
              </c:strCache>
            </c:strRef>
          </c:tx>
          <c:spPr>
            <a:pattFill prst="pct90">
              <a:fgClr>
                <a:srgbClr val="FF0000"/>
              </a:fgClr>
              <a:bgClr>
                <a:schemeClr val="bg1"/>
              </a:bgClr>
            </a:pattFill>
            <a:ln cmpd="thinThick">
              <a:solidFill>
                <a:schemeClr val="accent1"/>
              </a:solidFill>
            </a:ln>
            <a:effectLst>
              <a:glow rad="76200">
                <a:schemeClr val="accent1">
                  <a:alpha val="40000"/>
                </a:schemeClr>
              </a:glow>
            </a:effectLst>
          </c:spPr>
          <c:invertIfNegative val="0"/>
          <c:dPt>
            <c:idx val="0"/>
            <c:invertIfNegative val="0"/>
            <c:bubble3D val="0"/>
            <c:spPr>
              <a:pattFill prst="pct90">
                <a:fgClr>
                  <a:srgbClr val="FF0000"/>
                </a:fgClr>
                <a:bgClr>
                  <a:schemeClr val="bg1"/>
                </a:bgClr>
              </a:pattFill>
              <a:ln cap="sq" cmpd="thinThick">
                <a:solidFill>
                  <a:schemeClr val="accent1"/>
                </a:solidFill>
                <a:miter lim="800000"/>
              </a:ln>
              <a:effectLst>
                <a:glow rad="76200">
                  <a:schemeClr val="accent1">
                    <a:alpha val="40000"/>
                  </a:schemeClr>
                </a:glow>
              </a:effectLst>
            </c:spPr>
            <c:extLst>
              <c:ext xmlns:c16="http://schemas.microsoft.com/office/drawing/2014/chart" uri="{C3380CC4-5D6E-409C-BE32-E72D297353CC}">
                <c16:uniqueId val="{00000009-532D-4320-ABF8-D2F61A96C891}"/>
              </c:ext>
            </c:extLst>
          </c:dPt>
          <c:dLbls>
            <c:dLbl>
              <c:idx val="2"/>
              <c:layout>
                <c:manualLayout>
                  <c:x val="-1.7560461252441368E-16"/>
                  <c:y val="5.3418803418803437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0033524904214562E-2"/>
                      <c:h val="6.639957264957265E-2"/>
                    </c:manualLayout>
                  </c15:layout>
                </c:ext>
                <c:ext xmlns:c16="http://schemas.microsoft.com/office/drawing/2014/chart" uri="{C3380CC4-5D6E-409C-BE32-E72D297353CC}">
                  <c16:uniqueId val="{0000000A-532D-4320-ABF8-D2F61A96C89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Sheet1!$D$2:$D$4</c:f>
              <c:numCache>
                <c:formatCode>General</c:formatCode>
                <c:ptCount val="3"/>
                <c:pt idx="0">
                  <c:v>32.299999999999997</c:v>
                </c:pt>
                <c:pt idx="1">
                  <c:v>26.5</c:v>
                </c:pt>
                <c:pt idx="2">
                  <c:v>62.1</c:v>
                </c:pt>
              </c:numCache>
            </c:numRef>
          </c:val>
          <c:extLst>
            <c:ext xmlns:c16="http://schemas.microsoft.com/office/drawing/2014/chart" uri="{C3380CC4-5D6E-409C-BE32-E72D297353CC}">
              <c16:uniqueId val="{0000000B-532D-4320-ABF8-D2F61A96C891}"/>
            </c:ext>
          </c:extLst>
        </c:ser>
        <c:dLbls>
          <c:showLegendKey val="0"/>
          <c:showVal val="0"/>
          <c:showCatName val="0"/>
          <c:showSerName val="0"/>
          <c:showPercent val="0"/>
          <c:showBubbleSize val="0"/>
        </c:dLbls>
        <c:gapWidth val="142"/>
        <c:overlap val="17"/>
        <c:axId val="1868409680"/>
        <c:axId val="1868411760"/>
      </c:barChart>
      <c:catAx>
        <c:axId val="186840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crossAx val="1868411760"/>
        <c:crosses val="autoZero"/>
        <c:auto val="1"/>
        <c:lblAlgn val="ctr"/>
        <c:lblOffset val="100"/>
        <c:noMultiLvlLbl val="0"/>
      </c:catAx>
      <c:valAx>
        <c:axId val="186841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1868409680"/>
        <c:crosses val="autoZero"/>
        <c:crossBetween val="between"/>
      </c:valAx>
      <c:spPr>
        <a:solidFill>
          <a:schemeClr val="accent1">
            <a:lumMod val="20000"/>
            <a:lumOff val="80000"/>
          </a:schemeClr>
        </a:solidFill>
        <a:ln>
          <a:solidFill>
            <a:schemeClr val="accent1"/>
          </a:solidFill>
          <a:prstDash val="sysDot"/>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j-lt"/>
              <a:ea typeface="+mn-ea"/>
              <a:cs typeface="+mn-cs"/>
            </a:defRPr>
          </a:pPr>
          <a:endParaRPr lang="en-US"/>
        </a:p>
      </c:txPr>
    </c:legend>
    <c:plotVisOnly val="1"/>
    <c:dispBlanksAs val="gap"/>
    <c:showDLblsOverMax val="0"/>
  </c:chart>
  <c:spPr>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Aprobat</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Anul 2016</c:v>
                </c:pt>
                <c:pt idx="1">
                  <c:v>Anul 2017</c:v>
                </c:pt>
                <c:pt idx="2">
                  <c:v>Anul 2018</c:v>
                </c:pt>
              </c:strCache>
            </c:strRef>
          </c:cat>
          <c:val>
            <c:numRef>
              <c:f>Sheet1!$B$2:$B$4</c:f>
              <c:numCache>
                <c:formatCode>General</c:formatCode>
                <c:ptCount val="3"/>
                <c:pt idx="0">
                  <c:v>1526.5</c:v>
                </c:pt>
                <c:pt idx="1">
                  <c:v>1802.8</c:v>
                </c:pt>
                <c:pt idx="2">
                  <c:v>3336.7</c:v>
                </c:pt>
              </c:numCache>
            </c:numRef>
          </c:val>
          <c:extLst>
            <c:ext xmlns:c16="http://schemas.microsoft.com/office/drawing/2014/chart" uri="{C3380CC4-5D6E-409C-BE32-E72D297353CC}">
              <c16:uniqueId val="{00000000-8474-4E43-BEB1-96F6F4A8DC8B}"/>
            </c:ext>
          </c:extLst>
        </c:ser>
        <c:ser>
          <c:idx val="1"/>
          <c:order val="1"/>
          <c:tx>
            <c:strRef>
              <c:f>Sheet1!$C$1</c:f>
              <c:strCache>
                <c:ptCount val="1"/>
                <c:pt idx="0">
                  <c:v>Precizat</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a:solidFill>
                        <a:schemeClr val="tx1">
                          <a:lumMod val="35000"/>
                          <a:lumOff val="65000"/>
                        </a:schemeClr>
                      </a:solidFill>
                    </a:ln>
                    <a:effectLst/>
                  </c:spPr>
                </c15:leaderLines>
              </c:ext>
            </c:extLst>
          </c:dLbls>
          <c:cat>
            <c:strRef>
              <c:f>Sheet1!$A$2:$A$4</c:f>
              <c:strCache>
                <c:ptCount val="3"/>
                <c:pt idx="0">
                  <c:v>Anul 2016</c:v>
                </c:pt>
                <c:pt idx="1">
                  <c:v>Anul 2017</c:v>
                </c:pt>
                <c:pt idx="2">
                  <c:v>Anul 2018</c:v>
                </c:pt>
              </c:strCache>
            </c:strRef>
          </c:cat>
          <c:val>
            <c:numRef>
              <c:f>Sheet1!$C$2:$C$4</c:f>
              <c:numCache>
                <c:formatCode>General</c:formatCode>
                <c:ptCount val="3"/>
                <c:pt idx="0">
                  <c:v>1445.3</c:v>
                </c:pt>
                <c:pt idx="1">
                  <c:v>1363.2</c:v>
                </c:pt>
                <c:pt idx="2">
                  <c:v>1906.5</c:v>
                </c:pt>
              </c:numCache>
            </c:numRef>
          </c:val>
          <c:extLst>
            <c:ext xmlns:c16="http://schemas.microsoft.com/office/drawing/2014/chart" uri="{C3380CC4-5D6E-409C-BE32-E72D297353CC}">
              <c16:uniqueId val="{00000001-8474-4E43-BEB1-96F6F4A8DC8B}"/>
            </c:ext>
          </c:extLst>
        </c:ser>
        <c:ser>
          <c:idx val="2"/>
          <c:order val="2"/>
          <c:tx>
            <c:strRef>
              <c:f>Sheet1!$D$1</c:f>
              <c:strCache>
                <c:ptCount val="1"/>
                <c:pt idx="0">
                  <c:v>Executat</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a:solidFill>
                        <a:schemeClr val="tx1">
                          <a:lumMod val="35000"/>
                          <a:lumOff val="65000"/>
                        </a:schemeClr>
                      </a:solidFill>
                    </a:ln>
                    <a:effectLst/>
                  </c:spPr>
                </c15:leaderLines>
              </c:ext>
            </c:extLst>
          </c:dLbls>
          <c:cat>
            <c:strRef>
              <c:f>Sheet1!$A$2:$A$4</c:f>
              <c:strCache>
                <c:ptCount val="3"/>
                <c:pt idx="0">
                  <c:v>Anul 2016</c:v>
                </c:pt>
                <c:pt idx="1">
                  <c:v>Anul 2017</c:v>
                </c:pt>
                <c:pt idx="2">
                  <c:v>Anul 2018</c:v>
                </c:pt>
              </c:strCache>
            </c:strRef>
          </c:cat>
          <c:val>
            <c:numRef>
              <c:f>Sheet1!$D$2:$D$4</c:f>
              <c:numCache>
                <c:formatCode>General</c:formatCode>
                <c:ptCount val="3"/>
                <c:pt idx="0">
                  <c:v>959.9</c:v>
                </c:pt>
                <c:pt idx="1">
                  <c:v>824.4</c:v>
                </c:pt>
                <c:pt idx="2">
                  <c:v>849.7</c:v>
                </c:pt>
              </c:numCache>
            </c:numRef>
          </c:val>
          <c:extLst>
            <c:ext xmlns:c16="http://schemas.microsoft.com/office/drawing/2014/chart" uri="{C3380CC4-5D6E-409C-BE32-E72D297353CC}">
              <c16:uniqueId val="{00000002-8474-4E43-BEB1-96F6F4A8DC8B}"/>
            </c:ext>
          </c:extLst>
        </c:ser>
        <c:dLbls>
          <c:dLblPos val="outEnd"/>
          <c:showLegendKey val="0"/>
          <c:showVal val="1"/>
          <c:showCatName val="0"/>
          <c:showSerName val="0"/>
          <c:showPercent val="0"/>
          <c:showBubbleSize val="0"/>
        </c:dLbls>
        <c:gapWidth val="80"/>
        <c:overlap val="25"/>
        <c:axId val="2078001807"/>
        <c:axId val="2077994319"/>
      </c:barChart>
      <c:catAx>
        <c:axId val="2078001807"/>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mj-lt"/>
                <a:ea typeface="+mn-ea"/>
                <a:cs typeface="+mn-cs"/>
              </a:defRPr>
            </a:pPr>
            <a:endParaRPr lang="en-US"/>
          </a:p>
        </c:txPr>
        <c:crossAx val="2077994319"/>
        <c:crosses val="autoZero"/>
        <c:auto val="1"/>
        <c:lblAlgn val="ctr"/>
        <c:lblOffset val="100"/>
        <c:noMultiLvlLbl val="0"/>
      </c:catAx>
      <c:valAx>
        <c:axId val="207799431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07800180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39661708953049E-2"/>
          <c:y val="4.3650793650793648E-2"/>
          <c:w val="0.90849737532808394"/>
          <c:h val="0.80526434195725538"/>
        </c:manualLayout>
      </c:layout>
      <c:bar3DChart>
        <c:barDir val="col"/>
        <c:grouping val="clustered"/>
        <c:varyColors val="0"/>
        <c:ser>
          <c:idx val="0"/>
          <c:order val="0"/>
          <c:tx>
            <c:strRef>
              <c:f>Sheet1!$B$1</c:f>
              <c:strCache>
                <c:ptCount val="1"/>
                <c:pt idx="0">
                  <c:v>Aprobat</c:v>
                </c:pt>
              </c:strCache>
            </c:strRef>
          </c:tx>
          <c:spPr>
            <a:solidFill>
              <a:srgbClr val="00B0F0"/>
            </a:solidFill>
            <a:ln>
              <a:noFill/>
            </a:ln>
            <a:effectLst/>
            <a:sp3d/>
          </c:spPr>
          <c:invertIfNegative val="0"/>
          <c:dLbls>
            <c:spPr>
              <a:noFill/>
              <a:ln>
                <a:noFill/>
              </a:ln>
              <a:effectLst/>
            </c:spPr>
            <c:txPr>
              <a:bodyPr rot="0" spcFirstLastPara="1" vertOverflow="ellipsis" vert="horz" wrap="square" lIns="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Sheet1!$B$2:$B$4</c:f>
              <c:numCache>
                <c:formatCode>General</c:formatCode>
                <c:ptCount val="3"/>
                <c:pt idx="0">
                  <c:v>70.599999999999994</c:v>
                </c:pt>
                <c:pt idx="1">
                  <c:v>31.5</c:v>
                </c:pt>
                <c:pt idx="2">
                  <c:v>109</c:v>
                </c:pt>
              </c:numCache>
            </c:numRef>
          </c:val>
          <c:shape val="cylinder"/>
          <c:extLst>
            <c:ext xmlns:c16="http://schemas.microsoft.com/office/drawing/2014/chart" uri="{C3380CC4-5D6E-409C-BE32-E72D297353CC}">
              <c16:uniqueId val="{00000000-DC1A-4787-BB93-C3EA8844E97E}"/>
            </c:ext>
          </c:extLst>
        </c:ser>
        <c:ser>
          <c:idx val="1"/>
          <c:order val="1"/>
          <c:tx>
            <c:strRef>
              <c:f>Sheet1!$C$1</c:f>
              <c:strCache>
                <c:ptCount val="1"/>
                <c:pt idx="0">
                  <c:v>Precizat</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27432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Sheet1!$C$2:$C$4</c:f>
              <c:numCache>
                <c:formatCode>General</c:formatCode>
                <c:ptCount val="3"/>
                <c:pt idx="0">
                  <c:v>80.900000000000006</c:v>
                </c:pt>
                <c:pt idx="1">
                  <c:v>34.700000000000003</c:v>
                </c:pt>
                <c:pt idx="2">
                  <c:v>27.8</c:v>
                </c:pt>
              </c:numCache>
            </c:numRef>
          </c:val>
          <c:shape val="cylinder"/>
          <c:extLst>
            <c:ext xmlns:c16="http://schemas.microsoft.com/office/drawing/2014/chart" uri="{C3380CC4-5D6E-409C-BE32-E72D297353CC}">
              <c16:uniqueId val="{00000001-DC1A-4787-BB93-C3EA8844E97E}"/>
            </c:ext>
          </c:extLst>
        </c:ser>
        <c:ser>
          <c:idx val="2"/>
          <c:order val="2"/>
          <c:tx>
            <c:strRef>
              <c:f>Sheet1!$D$1</c:f>
              <c:strCache>
                <c:ptCount val="1"/>
                <c:pt idx="0">
                  <c:v>Executat</c:v>
                </c:pt>
              </c:strCache>
            </c:strRef>
          </c:tx>
          <c:spPr>
            <a:solidFill>
              <a:schemeClr val="accent3"/>
            </a:solidFill>
            <a:ln>
              <a:noFill/>
            </a:ln>
            <a:effectLst/>
            <a:sp3d/>
          </c:spPr>
          <c:invertIfNegative val="0"/>
          <c:dLbls>
            <c:spPr>
              <a:noFill/>
              <a:ln>
                <a:noFill/>
              </a:ln>
              <a:effectLst/>
            </c:spPr>
            <c:txPr>
              <a:bodyPr rot="0" spcFirstLastPara="1" vertOverflow="ellipsis" vert="horz" wrap="square" lIns="18288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2016</c:v>
                </c:pt>
                <c:pt idx="1">
                  <c:v>Anul 2017</c:v>
                </c:pt>
                <c:pt idx="2">
                  <c:v>Anul 2018</c:v>
                </c:pt>
              </c:strCache>
            </c:strRef>
          </c:cat>
          <c:val>
            <c:numRef>
              <c:f>Sheet1!$D$2:$D$4</c:f>
              <c:numCache>
                <c:formatCode>General</c:formatCode>
                <c:ptCount val="3"/>
                <c:pt idx="0">
                  <c:v>68.900000000000006</c:v>
                </c:pt>
                <c:pt idx="1">
                  <c:v>12.5</c:v>
                </c:pt>
                <c:pt idx="2">
                  <c:v>3.7</c:v>
                </c:pt>
              </c:numCache>
            </c:numRef>
          </c:val>
          <c:shape val="cylinder"/>
          <c:extLst>
            <c:ext xmlns:c16="http://schemas.microsoft.com/office/drawing/2014/chart" uri="{C3380CC4-5D6E-409C-BE32-E72D297353CC}">
              <c16:uniqueId val="{00000002-DC1A-4787-BB93-C3EA8844E97E}"/>
            </c:ext>
          </c:extLst>
        </c:ser>
        <c:dLbls>
          <c:showLegendKey val="0"/>
          <c:showVal val="1"/>
          <c:showCatName val="0"/>
          <c:showSerName val="0"/>
          <c:showPercent val="0"/>
          <c:showBubbleSize val="0"/>
        </c:dLbls>
        <c:gapWidth val="150"/>
        <c:shape val="box"/>
        <c:axId val="2077988911"/>
        <c:axId val="2077986415"/>
        <c:axId val="0"/>
      </c:bar3DChart>
      <c:catAx>
        <c:axId val="20779889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crossAx val="2077986415"/>
        <c:crosses val="autoZero"/>
        <c:auto val="1"/>
        <c:lblAlgn val="ctr"/>
        <c:lblOffset val="100"/>
        <c:noMultiLvlLbl val="0"/>
      </c:catAx>
      <c:valAx>
        <c:axId val="2077986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988911"/>
        <c:crosses val="autoZero"/>
        <c:crossBetween val="between"/>
      </c:valAx>
      <c:spPr>
        <a:noFill/>
        <a:ln>
          <a:noFill/>
        </a:ln>
        <a:effectLst/>
      </c:spPr>
    </c:plotArea>
    <c:legend>
      <c:legendPos val="b"/>
      <c:layout>
        <c:manualLayout>
          <c:xMode val="edge"/>
          <c:yMode val="edge"/>
          <c:x val="0.30389890089187466"/>
          <c:y val="0.91357546652822241"/>
          <c:w val="0.39220219821625069"/>
          <c:h val="5.895200599925009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BASS 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venituri proprii</c:v>
                </c:pt>
              </c:strCache>
            </c:strRef>
          </c:tx>
          <c:spPr>
            <a:pattFill prst="pct40">
              <a:fgClr>
                <a:schemeClr val="accent4">
                  <a:lumMod val="75000"/>
                </a:schemeClr>
              </a:fgClr>
              <a:bgClr>
                <a:schemeClr val="bg1"/>
              </a:bgClr>
            </a:pattFill>
            <a:ln w="6350">
              <a:solidFill>
                <a:schemeClr val="tx1">
                  <a:lumMod val="50000"/>
                  <a:lumOff val="50000"/>
                </a:schemeClr>
              </a:solidFill>
              <a:miter lim="800000"/>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0"/>
              <c:layout>
                <c:manualLayout>
                  <c:x val="-1.3877787807814457E-17"/>
                  <c:y val="-3.6258158085569862E-3"/>
                </c:manualLayout>
              </c:layout>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91440" bIns="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1893687707641194"/>
                      <c:h val="0.14793328498912256"/>
                    </c:manualLayout>
                  </c15:layout>
                </c:ext>
                <c:ext xmlns:c16="http://schemas.microsoft.com/office/drawing/2014/chart" uri="{C3380CC4-5D6E-409C-BE32-E72D297353CC}">
                  <c16:uniqueId val="{00000000-67C3-408F-90AA-051F364EC86F}"/>
                </c:ext>
              </c:extLst>
            </c:dLbl>
            <c:dLbl>
              <c:idx val="2"/>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67C3-408F-90AA-051F364EC86F}"/>
                </c:ext>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10044.6</c:v>
                </c:pt>
                <c:pt idx="1">
                  <c:v>11877.7</c:v>
                </c:pt>
                <c:pt idx="2">
                  <c:v>13120.1</c:v>
                </c:pt>
              </c:numCache>
            </c:numRef>
          </c:val>
          <c:extLst>
            <c:ext xmlns:c16="http://schemas.microsoft.com/office/drawing/2014/chart" uri="{C3380CC4-5D6E-409C-BE32-E72D297353CC}">
              <c16:uniqueId val="{00000002-67C3-408F-90AA-051F364EC86F}"/>
            </c:ext>
          </c:extLst>
        </c:ser>
        <c:ser>
          <c:idx val="1"/>
          <c:order val="1"/>
          <c:tx>
            <c:strRef>
              <c:f>Sheet1!$C$1</c:f>
              <c:strCache>
                <c:ptCount val="1"/>
                <c:pt idx="0">
                  <c:v>transferuri</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softEdge rad="127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5016</c:v>
                </c:pt>
                <c:pt idx="1">
                  <c:v>5941</c:v>
                </c:pt>
                <c:pt idx="2">
                  <c:v>6670</c:v>
                </c:pt>
              </c:numCache>
            </c:numRef>
          </c:val>
          <c:extLst>
            <c:ext xmlns:c16="http://schemas.microsoft.com/office/drawing/2014/chart" uri="{C3380CC4-5D6E-409C-BE32-E72D297353CC}">
              <c16:uniqueId val="{00000003-67C3-408F-90AA-051F364EC86F}"/>
            </c:ext>
          </c:extLst>
        </c:ser>
        <c:dLbls>
          <c:showLegendKey val="0"/>
          <c:showVal val="1"/>
          <c:showCatName val="0"/>
          <c:showSerName val="0"/>
          <c:showPercent val="0"/>
          <c:showBubbleSize val="0"/>
        </c:dLbls>
        <c:gapWidth val="46"/>
        <c:axId val="402479432"/>
        <c:axId val="193200496"/>
      </c:barChart>
      <c:catAx>
        <c:axId val="4024794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193200496"/>
        <c:crosses val="autoZero"/>
        <c:auto val="1"/>
        <c:lblAlgn val="ctr"/>
        <c:lblOffset val="100"/>
        <c:noMultiLvlLbl val="0"/>
      </c:catAx>
      <c:valAx>
        <c:axId val="193200496"/>
        <c:scaling>
          <c:orientation val="minMax"/>
          <c:max val="18000"/>
          <c:min val="0"/>
        </c:scaling>
        <c:delete val="1"/>
        <c:axPos val="b"/>
        <c:majorGridlines>
          <c:spPr>
            <a:ln w="6350">
              <a:solidFill>
                <a:schemeClr val="bg1"/>
              </a:solidFill>
              <a:prstDash val="sysDot"/>
            </a:ln>
          </c:spPr>
        </c:majorGridlines>
        <c:numFmt formatCode="General" sourceLinked="1"/>
        <c:majorTickMark val="out"/>
        <c:minorTickMark val="none"/>
        <c:tickLblPos val="nextTo"/>
        <c:crossAx val="402479432"/>
        <c:crosses val="autoZero"/>
        <c:crossBetween val="between"/>
        <c:majorUnit val="15000"/>
        <c:minorUnit val="5000"/>
      </c:valAx>
      <c:spPr>
        <a:ln>
          <a:noFill/>
        </a:ln>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FAOAM 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venituri proprii</c:v>
                </c:pt>
              </c:strCache>
            </c:strRef>
          </c:tx>
          <c:spPr>
            <a:pattFill prst="pct40">
              <a:fgClr>
                <a:schemeClr val="accent4">
                  <a:lumMod val="75000"/>
                </a:schemeClr>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E22C-4420-B7A8-0ACD77DD86F9}"/>
                </c:ext>
              </c:extLst>
            </c:dLbl>
            <c:dLbl>
              <c:idx val="1"/>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E22C-4420-B7A8-0ACD77DD86F9}"/>
                </c:ext>
              </c:extLst>
            </c:dLbl>
            <c:dLbl>
              <c:idx val="2"/>
              <c:layout>
                <c:manualLayout>
                  <c:x val="0"/>
                  <c:y val="-1.450326323422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2C-4420-B7A8-0ACD77DD86F9}"/>
                </c:ext>
              </c:extLst>
            </c:dLbl>
            <c:spPr>
              <a:noFill/>
              <a:ln>
                <a:noFill/>
              </a:ln>
              <a:effectLst/>
            </c:spPr>
            <c:txPr>
              <a:bodyPr rot="0" spcFirstLastPara="1" vertOverflow="ellipsis" vert="horz" wrap="square" lIns="0" tIns="0" rIns="0" bIns="45720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3251.5</c:v>
                </c:pt>
                <c:pt idx="1">
                  <c:v>3663.6</c:v>
                </c:pt>
                <c:pt idx="2">
                  <c:v>4149.3999999999996</c:v>
                </c:pt>
              </c:numCache>
            </c:numRef>
          </c:val>
          <c:extLst>
            <c:ext xmlns:c16="http://schemas.microsoft.com/office/drawing/2014/chart" uri="{C3380CC4-5D6E-409C-BE32-E72D297353CC}">
              <c16:uniqueId val="{00000003-E22C-4420-B7A8-0ACD77DD86F9}"/>
            </c:ext>
          </c:extLst>
        </c:ser>
        <c:ser>
          <c:idx val="1"/>
          <c:order val="1"/>
          <c:tx>
            <c:strRef>
              <c:f>Sheet1!$C$1</c:f>
              <c:strCache>
                <c:ptCount val="1"/>
                <c:pt idx="0">
                  <c:v>transferuri</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22C-4420-B7A8-0ACD77DD86F9}"/>
                </c:ext>
              </c:extLst>
            </c:dLbl>
            <c:dLbl>
              <c:idx val="1"/>
              <c:layout>
                <c:manualLayout>
                  <c:x val="0"/>
                  <c:y val="-6.6472521927298002E-17"/>
                </c:manualLayout>
              </c:layout>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E22C-4420-B7A8-0ACD77DD86F9}"/>
                </c:ext>
              </c:extLst>
            </c:dLbl>
            <c:dLbl>
              <c:idx val="2"/>
              <c:layout>
                <c:manualLayout>
                  <c:x val="-2.5789813023855634E-2"/>
                  <c:y val="-7.2516316171138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2C-4420-B7A8-0ACD77DD86F9}"/>
                </c:ext>
              </c:extLst>
            </c:dLbl>
            <c:spPr>
              <a:noFill/>
              <a:ln>
                <a:noFill/>
              </a:ln>
              <a:effectLst/>
            </c:spPr>
            <c:txPr>
              <a:bodyPr rot="0" spcFirstLastPara="1" vertOverflow="ellipsis" vert="horz" wrap="square" lIns="38100" tIns="19050" rIns="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2512.6999999999998</c:v>
                </c:pt>
                <c:pt idx="1">
                  <c:v>2593</c:v>
                </c:pt>
                <c:pt idx="2">
                  <c:v>2728</c:v>
                </c:pt>
              </c:numCache>
            </c:numRef>
          </c:val>
          <c:extLst>
            <c:ext xmlns:c16="http://schemas.microsoft.com/office/drawing/2014/chart" uri="{C3380CC4-5D6E-409C-BE32-E72D297353CC}">
              <c16:uniqueId val="{00000007-E22C-4420-B7A8-0ACD77DD86F9}"/>
            </c:ext>
          </c:extLst>
        </c:ser>
        <c:dLbls>
          <c:showLegendKey val="0"/>
          <c:showVal val="1"/>
          <c:showCatName val="0"/>
          <c:showSerName val="0"/>
          <c:showPercent val="0"/>
          <c:showBubbleSize val="0"/>
        </c:dLbls>
        <c:gapWidth val="47"/>
        <c:axId val="406238192"/>
        <c:axId val="406238584"/>
      </c:barChart>
      <c:catAx>
        <c:axId val="4062381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406238584"/>
        <c:crosses val="autoZero"/>
        <c:auto val="1"/>
        <c:lblAlgn val="ctr"/>
        <c:lblOffset val="100"/>
        <c:noMultiLvlLbl val="0"/>
      </c:catAx>
      <c:valAx>
        <c:axId val="406238584"/>
        <c:scaling>
          <c:orientation val="minMax"/>
          <c:max val="15000"/>
        </c:scaling>
        <c:delete val="1"/>
        <c:axPos val="b"/>
        <c:majorGridlines>
          <c:spPr>
            <a:ln w="6350">
              <a:solidFill>
                <a:schemeClr val="bg2">
                  <a:lumMod val="75000"/>
                </a:schemeClr>
              </a:solidFill>
              <a:prstDash val="sysDot"/>
            </a:ln>
          </c:spPr>
        </c:majorGridlines>
        <c:numFmt formatCode="General" sourceLinked="1"/>
        <c:majorTickMark val="none"/>
        <c:minorTickMark val="none"/>
        <c:tickLblPos val="nextTo"/>
        <c:crossAx val="406238192"/>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BUAT 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venituri proprii</c:v>
                </c:pt>
              </c:strCache>
            </c:strRef>
          </c:tx>
          <c:spPr>
            <a:pattFill prst="pct40">
              <a:fgClr>
                <a:schemeClr val="accent4">
                  <a:lumMod val="75000"/>
                </a:schemeClr>
              </a:fgClr>
              <a:bgClr>
                <a:schemeClr val="bg1"/>
              </a:bgClr>
            </a:pattFill>
            <a:ln w="6350">
              <a:solidFill>
                <a:schemeClr val="tx1">
                  <a:lumMod val="50000"/>
                  <a:lumOff val="50000"/>
                </a:schemeClr>
              </a:solidFill>
            </a:ln>
            <a:effectLst>
              <a:innerShdw blurRad="63500" dist="50800" dir="129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94FD-4094-A47B-77322B53B79B}"/>
                </c:ext>
              </c:extLst>
            </c:dLbl>
            <c:dLbl>
              <c:idx val="1"/>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4FD-4094-A47B-77322B53B79B}"/>
                </c:ext>
              </c:extLst>
            </c:dLbl>
            <c:spPr>
              <a:noFill/>
              <a:ln>
                <a:noFill/>
              </a:ln>
              <a:effectLst/>
            </c:spPr>
            <c:txPr>
              <a:bodyPr rot="0" spcFirstLastPara="1" vertOverflow="ellipsis" vert="horz" wrap="square" lIns="38100" tIns="0" rIns="38100" bIns="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3789.3</c:v>
                </c:pt>
                <c:pt idx="1">
                  <c:v>3909</c:v>
                </c:pt>
                <c:pt idx="2">
                  <c:v>4326.2</c:v>
                </c:pt>
              </c:numCache>
            </c:numRef>
          </c:val>
          <c:extLst>
            <c:ext xmlns:c16="http://schemas.microsoft.com/office/drawing/2014/chart" uri="{C3380CC4-5D6E-409C-BE32-E72D297353CC}">
              <c16:uniqueId val="{00000002-94FD-4094-A47B-77322B53B79B}"/>
            </c:ext>
          </c:extLst>
        </c:ser>
        <c:ser>
          <c:idx val="1"/>
          <c:order val="1"/>
          <c:tx>
            <c:strRef>
              <c:f>Sheet1!$C$1</c:f>
              <c:strCache>
                <c:ptCount val="1"/>
                <c:pt idx="0">
                  <c:v>transferuri</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19050" rIns="38100" bIns="1905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94FD-4094-A47B-77322B53B79B}"/>
                </c:ext>
              </c:extLst>
            </c:dLbl>
            <c:spPr>
              <a:noFill/>
              <a:ln>
                <a:noFill/>
              </a:ln>
              <a:effectLst/>
            </c:spPr>
            <c:txPr>
              <a:bodyPr rot="0" spcFirstLastPara="1" vertOverflow="ellipsis" vert="horz" wrap="square" lIns="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8263.7000000000007</c:v>
                </c:pt>
                <c:pt idx="1">
                  <c:v>9552.5</c:v>
                </c:pt>
                <c:pt idx="2">
                  <c:v>10357.4</c:v>
                </c:pt>
              </c:numCache>
            </c:numRef>
          </c:val>
          <c:extLst>
            <c:ext xmlns:c16="http://schemas.microsoft.com/office/drawing/2014/chart" uri="{C3380CC4-5D6E-409C-BE32-E72D297353CC}">
              <c16:uniqueId val="{00000004-94FD-4094-A47B-77322B53B79B}"/>
            </c:ext>
          </c:extLst>
        </c:ser>
        <c:dLbls>
          <c:showLegendKey val="0"/>
          <c:showVal val="1"/>
          <c:showCatName val="0"/>
          <c:showSerName val="0"/>
          <c:showPercent val="0"/>
          <c:showBubbleSize val="0"/>
        </c:dLbls>
        <c:gapWidth val="46"/>
        <c:axId val="406239368"/>
        <c:axId val="406239760"/>
      </c:barChart>
      <c:catAx>
        <c:axId val="406239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406239760"/>
        <c:crosses val="autoZero"/>
        <c:auto val="1"/>
        <c:lblAlgn val="ctr"/>
        <c:lblOffset val="100"/>
        <c:noMultiLvlLbl val="0"/>
      </c:catAx>
      <c:valAx>
        <c:axId val="406239760"/>
        <c:scaling>
          <c:orientation val="minMax"/>
          <c:max val="15000"/>
        </c:scaling>
        <c:delete val="1"/>
        <c:axPos val="b"/>
        <c:majorGridlines>
          <c:spPr>
            <a:ln w="6350">
              <a:solidFill>
                <a:schemeClr val="bg2">
                  <a:lumMod val="75000"/>
                </a:schemeClr>
              </a:solidFill>
              <a:prstDash val="sysDot"/>
            </a:ln>
          </c:spPr>
        </c:majorGridlines>
        <c:numFmt formatCode="General" sourceLinked="1"/>
        <c:majorTickMark val="none"/>
        <c:minorTickMark val="none"/>
        <c:tickLblPos val="nextTo"/>
        <c:crossAx val="406239368"/>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Executat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j-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Sheet1!$A$2:$A$7</c:f>
              <c:strCache>
                <c:ptCount val="6"/>
                <c:pt idx="0">
                  <c:v>Anul 2007</c:v>
                </c:pt>
                <c:pt idx="1">
                  <c:v>Anul 2014</c:v>
                </c:pt>
                <c:pt idx="2">
                  <c:v>Anul 2015</c:v>
                </c:pt>
                <c:pt idx="3">
                  <c:v>Anul 2016</c:v>
                </c:pt>
                <c:pt idx="4">
                  <c:v>Anul 2017</c:v>
                </c:pt>
                <c:pt idx="5">
                  <c:v>Anul 2018</c:v>
                </c:pt>
              </c:strCache>
            </c:strRef>
          </c:cat>
          <c:val>
            <c:numRef>
              <c:f>Sheet1!$B$2:$B$7</c:f>
              <c:numCache>
                <c:formatCode>0.0</c:formatCode>
                <c:ptCount val="6"/>
                <c:pt idx="0">
                  <c:v>1424</c:v>
                </c:pt>
                <c:pt idx="1">
                  <c:v>1345</c:v>
                </c:pt>
                <c:pt idx="2">
                  <c:v>1323</c:v>
                </c:pt>
                <c:pt idx="3">
                  <c:v>1273</c:v>
                </c:pt>
                <c:pt idx="4">
                  <c:v>1239</c:v>
                </c:pt>
                <c:pt idx="5">
                  <c:v>1193</c:v>
                </c:pt>
              </c:numCache>
            </c:numRef>
          </c:val>
          <c:extLst>
            <c:ext xmlns:c16="http://schemas.microsoft.com/office/drawing/2014/chart" uri="{C3380CC4-5D6E-409C-BE32-E72D297353CC}">
              <c16:uniqueId val="{00000000-46C7-4B82-9BEC-4858CEA9AA95}"/>
            </c:ext>
          </c:extLst>
        </c:ser>
        <c:dLbls>
          <c:dLblPos val="outEnd"/>
          <c:showLegendKey val="0"/>
          <c:showVal val="1"/>
          <c:showCatName val="0"/>
          <c:showSerName val="0"/>
          <c:showPercent val="0"/>
          <c:showBubbleSize val="0"/>
        </c:dLbls>
        <c:gapWidth val="219"/>
        <c:overlap val="-27"/>
        <c:axId val="712828767"/>
        <c:axId val="712827935"/>
      </c:barChart>
      <c:catAx>
        <c:axId val="712828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crossAx val="712827935"/>
        <c:crosses val="autoZero"/>
        <c:auto val="1"/>
        <c:lblAlgn val="ctr"/>
        <c:lblOffset val="100"/>
        <c:noMultiLvlLbl val="0"/>
      </c:catAx>
      <c:valAx>
        <c:axId val="71282793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828767"/>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Sheet3!$A$17:$A$28</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Sheet3!$B$17:$B$28</c:f>
              <c:numCache>
                <c:formatCode>General</c:formatCode>
                <c:ptCount val="12"/>
                <c:pt idx="0">
                  <c:v>253.7</c:v>
                </c:pt>
                <c:pt idx="1">
                  <c:v>454.3</c:v>
                </c:pt>
                <c:pt idx="2">
                  <c:v>467.4</c:v>
                </c:pt>
                <c:pt idx="3">
                  <c:v>422.9</c:v>
                </c:pt>
                <c:pt idx="4">
                  <c:v>397.2</c:v>
                </c:pt>
                <c:pt idx="5">
                  <c:v>790.5</c:v>
                </c:pt>
                <c:pt idx="6">
                  <c:v>382.7</c:v>
                </c:pt>
                <c:pt idx="7">
                  <c:v>295.2</c:v>
                </c:pt>
                <c:pt idx="8">
                  <c:v>305.10000000000002</c:v>
                </c:pt>
                <c:pt idx="9">
                  <c:v>445.4</c:v>
                </c:pt>
                <c:pt idx="10">
                  <c:v>483.7</c:v>
                </c:pt>
                <c:pt idx="11">
                  <c:v>808.6</c:v>
                </c:pt>
              </c:numCache>
            </c:numRef>
          </c:val>
          <c:extLst>
            <c:ext xmlns:c16="http://schemas.microsoft.com/office/drawing/2014/chart" uri="{C3380CC4-5D6E-409C-BE32-E72D297353CC}">
              <c16:uniqueId val="{00000000-A606-4DE4-9DCF-A782FF143E2E}"/>
            </c:ext>
          </c:extLst>
        </c:ser>
        <c:dLbls>
          <c:dLblPos val="outEnd"/>
          <c:showLegendKey val="0"/>
          <c:showVal val="1"/>
          <c:showCatName val="0"/>
          <c:showSerName val="0"/>
          <c:showPercent val="0"/>
          <c:showBubbleSize val="0"/>
        </c:dLbls>
        <c:gapWidth val="219"/>
        <c:axId val="1326065135"/>
        <c:axId val="1326065551"/>
        <c:extLst>
          <c:ext xmlns:c15="http://schemas.microsoft.com/office/drawing/2012/chart" uri="{02D57815-91ED-43cb-92C2-25804820EDAC}">
            <c15:filteredBarSeries>
              <c15: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Sheet3!$A$17:$A$28</c15:sqref>
                        </c15:formulaRef>
                      </c:ext>
                    </c:extLst>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extLst>
                      <c:ext uri="{02D57815-91ED-43cb-92C2-25804820EDAC}">
                        <c15:formulaRef>
                          <c15:sqref>Sheet3!$C$17:$C$28</c15:sqref>
                        </c15:formulaRef>
                      </c:ext>
                    </c:extLst>
                    <c:numCache>
                      <c:formatCode>0.0</c:formatCode>
                      <c:ptCount val="12"/>
                      <c:pt idx="0">
                        <c:v>413577.77</c:v>
                      </c:pt>
                      <c:pt idx="1">
                        <c:v>320041.64</c:v>
                      </c:pt>
                      <c:pt idx="2">
                        <c:v>453044.73999999987</c:v>
                      </c:pt>
                      <c:pt idx="3">
                        <c:v>340078.07000000007</c:v>
                      </c:pt>
                      <c:pt idx="4">
                        <c:v>364104.34000000008</c:v>
                      </c:pt>
                      <c:pt idx="5">
                        <c:v>703629.68000000017</c:v>
                      </c:pt>
                      <c:pt idx="6">
                        <c:v>344763.73999999976</c:v>
                      </c:pt>
                      <c:pt idx="7">
                        <c:v>297666.60000000009</c:v>
                      </c:pt>
                      <c:pt idx="8">
                        <c:v>286431.98</c:v>
                      </c:pt>
                      <c:pt idx="9">
                        <c:v>403756.48999999976</c:v>
                      </c:pt>
                      <c:pt idx="10">
                        <c:v>426903.91999999993</c:v>
                      </c:pt>
                      <c:pt idx="11">
                        <c:v>1492653.9000000004</c:v>
                      </c:pt>
                    </c:numCache>
                  </c:numRef>
                </c:val>
                <c:extLst>
                  <c:ext xmlns:c16="http://schemas.microsoft.com/office/drawing/2014/chart" uri="{C3380CC4-5D6E-409C-BE32-E72D297353CC}">
                    <c16:uniqueId val="{00000001-A606-4DE4-9DCF-A782FF143E2E}"/>
                  </c:ext>
                </c:extLst>
              </c15:ser>
            </c15:filteredBarSeries>
          </c:ext>
        </c:extLst>
      </c:barChart>
      <c:catAx>
        <c:axId val="13260651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crossAx val="1326065551"/>
        <c:crosses val="autoZero"/>
        <c:auto val="1"/>
        <c:lblAlgn val="ctr"/>
        <c:lblOffset val="100"/>
        <c:noMultiLvlLbl val="0"/>
      </c:catAx>
      <c:valAx>
        <c:axId val="1326065551"/>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6065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Plăți de bază</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0.0</c:formatCode>
                <c:ptCount val="3"/>
                <c:pt idx="0">
                  <c:v>745.2</c:v>
                </c:pt>
                <c:pt idx="1">
                  <c:v>955.7</c:v>
                </c:pt>
                <c:pt idx="2">
                  <c:v>891.2</c:v>
                </c:pt>
              </c:numCache>
            </c:numRef>
          </c:val>
          <c:extLst>
            <c:ext xmlns:c16="http://schemas.microsoft.com/office/drawing/2014/chart" uri="{C3380CC4-5D6E-409C-BE32-E72D297353CC}">
              <c16:uniqueId val="{00000000-7BEF-4D76-8E29-9EBC79FEE558}"/>
            </c:ext>
          </c:extLst>
        </c:ser>
        <c:ser>
          <c:idx val="1"/>
          <c:order val="1"/>
          <c:tx>
            <c:strRef>
              <c:f>Лист1!$C$1</c:f>
              <c:strCache>
                <c:ptCount val="1"/>
                <c:pt idx="0">
                  <c:v>Amenzi</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0.0</c:formatCode>
                <c:ptCount val="3"/>
                <c:pt idx="0">
                  <c:v>336.9</c:v>
                </c:pt>
                <c:pt idx="1">
                  <c:v>448</c:v>
                </c:pt>
                <c:pt idx="2">
                  <c:v>303</c:v>
                </c:pt>
              </c:numCache>
            </c:numRef>
          </c:val>
          <c:extLst>
            <c:ext xmlns:c16="http://schemas.microsoft.com/office/drawing/2014/chart" uri="{C3380CC4-5D6E-409C-BE32-E72D297353CC}">
              <c16:uniqueId val="{00000001-7BEF-4D76-8E29-9EBC79FEE558}"/>
            </c:ext>
          </c:extLst>
        </c:ser>
        <c:ser>
          <c:idx val="2"/>
          <c:order val="2"/>
          <c:tx>
            <c:strRef>
              <c:f>Лист1!$D$1</c:f>
              <c:strCache>
                <c:ptCount val="1"/>
                <c:pt idx="0">
                  <c:v>Majorări de întârziere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0.0</c:formatCode>
                <c:ptCount val="3"/>
                <c:pt idx="0">
                  <c:v>358</c:v>
                </c:pt>
                <c:pt idx="1">
                  <c:v>449</c:v>
                </c:pt>
                <c:pt idx="2">
                  <c:v>427.3</c:v>
                </c:pt>
              </c:numCache>
            </c:numRef>
          </c:val>
          <c:extLst>
            <c:ext xmlns:c16="http://schemas.microsoft.com/office/drawing/2014/chart" uri="{C3380CC4-5D6E-409C-BE32-E72D297353CC}">
              <c16:uniqueId val="{00000002-7BEF-4D76-8E29-9EBC79FEE558}"/>
            </c:ext>
          </c:extLst>
        </c:ser>
        <c:dLbls>
          <c:showLegendKey val="0"/>
          <c:showVal val="0"/>
          <c:showCatName val="0"/>
          <c:showSerName val="0"/>
          <c:showPercent val="0"/>
          <c:showBubbleSize val="0"/>
        </c:dLbls>
        <c:gapWidth val="55"/>
        <c:overlap val="100"/>
        <c:axId val="406240544"/>
        <c:axId val="406240936"/>
      </c:barChart>
      <c:lineChart>
        <c:grouping val="standard"/>
        <c:varyColors val="0"/>
        <c:ser>
          <c:idx val="3"/>
          <c:order val="3"/>
          <c:tx>
            <c:strRef>
              <c:f>Лист1!$E$1</c:f>
              <c:strCache>
                <c:ptCount val="1"/>
                <c:pt idx="0">
                  <c:v>Total restanțe</c:v>
                </c:pt>
              </c:strCache>
            </c:strRef>
          </c:tx>
          <c:spPr>
            <a:ln w="19050" cap="rnd" cmpd="sng" algn="ctr">
              <a:solidFill>
                <a:schemeClr val="accent2">
                  <a:lumMod val="60000"/>
                </a:schemeClr>
              </a:solidFill>
              <a:prstDash val="solid"/>
              <a:round/>
            </a:ln>
            <a:effectLst/>
          </c:spPr>
          <c:marker>
            <c:symbol val="none"/>
          </c:marker>
          <c:dPt>
            <c:idx val="0"/>
            <c:bubble3D val="0"/>
            <c:spPr>
              <a:ln w="19050" cap="rnd" cmpd="sng" algn="ctr">
                <a:solidFill>
                  <a:schemeClr val="accent2">
                    <a:lumMod val="60000"/>
                  </a:schemeClr>
                </a:solidFill>
                <a:prstDash val="solid"/>
                <a:round/>
              </a:ln>
              <a:effectLst/>
            </c:spPr>
            <c:extLst>
              <c:ext xmlns:c16="http://schemas.microsoft.com/office/drawing/2014/chart" uri="{C3380CC4-5D6E-409C-BE32-E72D297353CC}">
                <c16:uniqueId val="{00000004-7BEF-4D76-8E29-9EBC79FEE558}"/>
              </c:ext>
            </c:extLst>
          </c:dPt>
          <c:dPt>
            <c:idx val="1"/>
            <c:bubble3D val="0"/>
            <c:spPr>
              <a:ln w="19050" cap="rnd" cmpd="sng" algn="ctr">
                <a:solidFill>
                  <a:schemeClr val="accent2">
                    <a:lumMod val="60000"/>
                  </a:schemeClr>
                </a:solidFill>
                <a:prstDash val="solid"/>
                <a:round/>
              </a:ln>
              <a:effectLst/>
            </c:spPr>
            <c:extLst>
              <c:ext xmlns:c16="http://schemas.microsoft.com/office/drawing/2014/chart" uri="{C3380CC4-5D6E-409C-BE32-E72D297353CC}">
                <c16:uniqueId val="{00000006-7BEF-4D76-8E29-9EBC79FEE558}"/>
              </c:ext>
            </c:extLst>
          </c:dPt>
          <c:dLbls>
            <c:dLbl>
              <c:idx val="0"/>
              <c:layout>
                <c:manualLayout>
                  <c:x val="-4.730489385029403E-2"/>
                  <c:y val="-6.57519932649928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EF-4D76-8E29-9EBC79FEE558}"/>
                </c:ext>
              </c:extLst>
            </c:dLbl>
            <c:dLbl>
              <c:idx val="1"/>
              <c:layout>
                <c:manualLayout>
                  <c:x val="-4.7304893850294107E-2"/>
                  <c:y val="-4.04516416580002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EF-4D76-8E29-9EBC79FEE558}"/>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Лист1!$A$2:$A$4</c:f>
              <c:numCache>
                <c:formatCode>General</c:formatCode>
                <c:ptCount val="3"/>
                <c:pt idx="0">
                  <c:v>2016</c:v>
                </c:pt>
                <c:pt idx="1">
                  <c:v>2017</c:v>
                </c:pt>
                <c:pt idx="2">
                  <c:v>2018</c:v>
                </c:pt>
              </c:numCache>
            </c:numRef>
          </c:cat>
          <c:val>
            <c:numRef>
              <c:f>Лист1!$E$2:$E$4</c:f>
              <c:numCache>
                <c:formatCode>0.0</c:formatCode>
                <c:ptCount val="3"/>
                <c:pt idx="0">
                  <c:v>1440.1</c:v>
                </c:pt>
                <c:pt idx="1">
                  <c:v>1852.7</c:v>
                </c:pt>
                <c:pt idx="2">
                  <c:v>1621.5</c:v>
                </c:pt>
              </c:numCache>
            </c:numRef>
          </c:val>
          <c:smooth val="0"/>
          <c:extLst>
            <c:ext xmlns:c16="http://schemas.microsoft.com/office/drawing/2014/chart" uri="{C3380CC4-5D6E-409C-BE32-E72D297353CC}">
              <c16:uniqueId val="{00000007-7BEF-4D76-8E29-9EBC79FEE558}"/>
            </c:ext>
          </c:extLst>
        </c:ser>
        <c:dLbls>
          <c:dLblPos val="ctr"/>
          <c:showLegendKey val="0"/>
          <c:showVal val="1"/>
          <c:showCatName val="0"/>
          <c:showSerName val="0"/>
          <c:showPercent val="0"/>
          <c:showBubbleSize val="0"/>
        </c:dLbls>
        <c:marker val="1"/>
        <c:smooth val="0"/>
        <c:axId val="406240544"/>
        <c:axId val="406240936"/>
      </c:lineChart>
      <c:catAx>
        <c:axId val="406240544"/>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crossAx val="406240936"/>
        <c:crosses val="autoZero"/>
        <c:auto val="1"/>
        <c:lblAlgn val="ctr"/>
        <c:lblOffset val="100"/>
        <c:noMultiLvlLbl val="0"/>
      </c:catAx>
      <c:valAx>
        <c:axId val="406240936"/>
        <c:scaling>
          <c:orientation val="minMax"/>
        </c:scaling>
        <c:delete val="1"/>
        <c:axPos val="l"/>
        <c:majorGridlines>
          <c:spPr>
            <a:ln w="6350" cap="flat" cmpd="sng" algn="ctr">
              <a:solidFill>
                <a:schemeClr val="tx1">
                  <a:tint val="75000"/>
                </a:schemeClr>
              </a:solidFill>
              <a:prstDash val="solid"/>
              <a:round/>
            </a:ln>
            <a:effectLst/>
          </c:spPr>
        </c:majorGridlines>
        <c:numFmt formatCode="General" sourceLinked="0"/>
        <c:majorTickMark val="none"/>
        <c:minorTickMark val="none"/>
        <c:tickLblPos val="none"/>
        <c:crossAx val="406240544"/>
        <c:crosses val="autoZero"/>
        <c:crossBetween val="between"/>
      </c:valAx>
      <c:spPr>
        <a:pattFill prst="dkUpDiag">
          <a:fgClr>
            <a:schemeClr val="accent6">
              <a:lumMod val="20000"/>
              <a:lumOff val="80000"/>
            </a:schemeClr>
          </a:fgClr>
          <a:bgClr>
            <a:schemeClr val="bg1"/>
          </a:bgClr>
        </a:pattFill>
        <a:ln>
          <a:noFill/>
        </a:ln>
        <a:effectLst/>
      </c:spPr>
    </c:plotArea>
    <c:legend>
      <c:legendPos val="r"/>
      <c:layout>
        <c:manualLayout>
          <c:xMode val="edge"/>
          <c:yMode val="edge"/>
          <c:x val="0.69113305752035237"/>
          <c:y val="0.23238399445352351"/>
          <c:w val="0.28852795942880022"/>
          <c:h val="0.5932808398950131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legend>
    <c:plotVisOnly val="1"/>
    <c:dispBlanksAs val="gap"/>
    <c:showDLblsOverMax val="0"/>
  </c:chart>
  <c:spPr>
    <a:solidFill>
      <a:schemeClr val="accent6">
        <a:lumMod val="40000"/>
        <a:lumOff val="60000"/>
      </a:schemeClr>
    </a:solidFill>
    <a:ln w="6350" cap="flat" cmpd="sng" algn="ctr">
      <a:solidFill>
        <a:schemeClr val="tx1">
          <a:tint val="75000"/>
        </a:schemeClr>
      </a:solidFill>
      <a:prstDash val="solid"/>
      <a:round/>
    </a:ln>
    <a:effectLst>
      <a:glow rad="101600">
        <a:schemeClr val="accent6">
          <a:satMod val="175000"/>
          <a:alpha val="40000"/>
        </a:schemeClr>
      </a:glow>
      <a:outerShdw blurRad="50800" dist="38100" dir="2700000" algn="tl" rotWithShape="0">
        <a:prstClr val="black">
          <a:alpha val="40000"/>
        </a:prstClr>
      </a:outerShdw>
    </a:effectLst>
  </c:spPr>
  <c:txPr>
    <a:bodyPr/>
    <a:lstStyle/>
    <a:p>
      <a:pPr>
        <a:defRPr>
          <a:latin typeface="+mj-l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41B3-EEBE-49D9-815E-D48C40E0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58</Pages>
  <Words>21140</Words>
  <Characters>120502</Characters>
  <Application>Microsoft Office Word</Application>
  <DocSecurity>0</DocSecurity>
  <Lines>1004</Lines>
  <Paragraphs>282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OPINIE FĂRĂ REZERVE</vt:lpstr>
      <vt:lpstr>BAZA PENTRU OPINIA FĂRĂ REZERVE</vt:lpstr>
      <vt:lpstr>ASPECTELE-CHEIE DE AUDIT</vt:lpstr>
      <vt:lpstr>    3.1 PREZENTAREA DOMENIULUI AUDITAT.</vt:lpstr>
      <vt:lpstr>    </vt:lpstr>
      <vt:lpstr>    ASPECTE FINANCIARE</vt:lpstr>
      <vt:lpstr>        3.2.1 Indicatorii generali ai bugetului de stat pe anul 2018 au fost executați s</vt:lpstr>
      <vt:lpstr>        3.2.2 Veniturile bugetului de stat în anul 2018 nu au atins nivelul precizat, da</vt:lpstr>
      <vt:lpstr>        3.2.3 Debursările în bugetul de stat a mijloacelor financiare provenite din gran</vt:lpstr>
      <vt:lpstr>        3.2.4 Corectitudinea raportării sumelor provenite din privatizarea proprietății </vt:lpstr>
      <vt:lpstr>        3.2.5	Cheltuielile bugetare efectuate în scopul majorării capitalului social al </vt:lpstr>
      <vt:lpstr>        3.2.6 Executarea cheltuielilor destinate investițiilor capitale se menține la un</vt:lpstr>
      <vt:lpstr>        3.2.7 Soldurile de mijloace bănești la finele anului 2018 au fost raportate reg</vt:lpstr>
      <vt:lpstr>        3.2.8 Rezultatul execuției bugetului de stat înregistrează un deficit de 2 275,6</vt:lpstr>
      <vt:lpstr>        3.2.9 Efectuarea transferurilor interbugetare relevă o tendință de creștere, fii</vt:lpstr>
      <vt:lpstr>        3.2.10 Soldul creanțelor înregistrează o descreștere, iar al datoriilor este în </vt:lpstr>
      <vt:lpstr>    3.3 ASPECTE DE CONFORMITATE</vt:lpstr>
      <vt:lpstr>        3.3.1 Nerespectarea calendarului bugetar pentru elaborarea, aprobarea și raporta</vt:lpstr>
      <vt:lpstr>        3.3.2 Nivelul scăzut al acurateței programării bugetare.</vt:lpstr>
      <vt:lpstr>        3.3.3 Nivelul de colectare în aspectul tipurilor de venituri variază și denotă r</vt:lpstr>
      <vt:lpstr>        3.3.4 Cheltuielile de casă ale bugetului de stat în anul 2018 au fost executate </vt:lpstr>
    </vt:vector>
  </TitlesOfParts>
  <Company/>
  <LinksUpToDate>false</LinksUpToDate>
  <CharactersWithSpaces>141360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Savva Maia</cp:lastModifiedBy>
  <cp:revision>41</cp:revision>
  <cp:lastPrinted>2019-05-30T13:39:00Z</cp:lastPrinted>
  <dcterms:created xsi:type="dcterms:W3CDTF">2019-05-30T07:27:00Z</dcterms:created>
  <dcterms:modified xsi:type="dcterms:W3CDTF">2019-05-30T13:40:00Z</dcterms:modified>
</cp:coreProperties>
</file>