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22" w:rsidRPr="002751FC" w:rsidRDefault="00804522" w:rsidP="00974C87">
      <w:pPr>
        <w:tabs>
          <w:tab w:val="left" w:pos="720"/>
        </w:tabs>
        <w:spacing w:after="0" w:line="240" w:lineRule="auto"/>
        <w:jc w:val="right"/>
        <w:rPr>
          <w:rFonts w:asciiTheme="majorHAnsi" w:eastAsia="Times New Roman" w:hAnsiTheme="majorHAnsi" w:cstheme="majorHAnsi"/>
          <w:bCs/>
          <w:sz w:val="28"/>
          <w:szCs w:val="28"/>
          <w:lang w:val="ro-MD"/>
        </w:rPr>
      </w:pPr>
    </w:p>
    <w:p w:rsidR="00C43640" w:rsidRPr="002751FC" w:rsidRDefault="00C43640" w:rsidP="00974C87">
      <w:pPr>
        <w:tabs>
          <w:tab w:val="left" w:pos="720"/>
        </w:tabs>
        <w:spacing w:after="0" w:line="240" w:lineRule="auto"/>
        <w:jc w:val="right"/>
        <w:rPr>
          <w:rFonts w:asciiTheme="majorHAnsi" w:eastAsia="Times New Roman" w:hAnsiTheme="majorHAnsi" w:cstheme="majorHAnsi"/>
          <w:bCs/>
          <w:sz w:val="28"/>
          <w:szCs w:val="28"/>
          <w:lang w:val="ro-MD"/>
        </w:rPr>
      </w:pPr>
    </w:p>
    <w:p w:rsidR="00974C87" w:rsidRPr="002751FC" w:rsidRDefault="00974C87" w:rsidP="00974C87">
      <w:pPr>
        <w:tabs>
          <w:tab w:val="left" w:pos="720"/>
        </w:tabs>
        <w:spacing w:after="0" w:line="240" w:lineRule="auto"/>
        <w:jc w:val="right"/>
        <w:rPr>
          <w:rFonts w:asciiTheme="majorHAnsi" w:eastAsia="Times New Roman" w:hAnsiTheme="majorHAnsi" w:cstheme="majorHAnsi"/>
          <w:bCs/>
          <w:sz w:val="28"/>
          <w:szCs w:val="28"/>
          <w:lang w:val="ro-MD"/>
        </w:rPr>
      </w:pPr>
      <w:r w:rsidRPr="002751FC">
        <w:rPr>
          <w:rFonts w:asciiTheme="majorHAnsi" w:eastAsia="Times New Roman" w:hAnsiTheme="majorHAnsi" w:cstheme="majorHAnsi"/>
          <w:bCs/>
          <w:sz w:val="28"/>
          <w:szCs w:val="28"/>
          <w:lang w:val="ro-MD"/>
        </w:rPr>
        <w:t xml:space="preserve">Anexă </w:t>
      </w:r>
    </w:p>
    <w:p w:rsidR="00974C87" w:rsidRPr="002751FC" w:rsidRDefault="00974C87" w:rsidP="00974C87">
      <w:pPr>
        <w:tabs>
          <w:tab w:val="left" w:pos="720"/>
        </w:tabs>
        <w:spacing w:after="0" w:line="240" w:lineRule="auto"/>
        <w:jc w:val="right"/>
        <w:rPr>
          <w:rFonts w:asciiTheme="majorHAnsi" w:eastAsia="Times New Roman" w:hAnsiTheme="majorHAnsi" w:cstheme="majorHAnsi"/>
          <w:bCs/>
          <w:sz w:val="28"/>
          <w:szCs w:val="28"/>
          <w:lang w:val="ro-MD"/>
        </w:rPr>
      </w:pPr>
      <w:r w:rsidRPr="002751FC">
        <w:rPr>
          <w:rFonts w:asciiTheme="majorHAnsi" w:eastAsia="Times New Roman" w:hAnsiTheme="majorHAnsi" w:cstheme="majorHAnsi"/>
          <w:bCs/>
          <w:sz w:val="28"/>
          <w:szCs w:val="28"/>
          <w:lang w:val="ro-MD"/>
        </w:rPr>
        <w:t xml:space="preserve">la Hotărârea Curții de Conturi </w:t>
      </w:r>
    </w:p>
    <w:p w:rsidR="00974C87" w:rsidRPr="002751FC" w:rsidRDefault="00974C87" w:rsidP="00974C87">
      <w:pPr>
        <w:tabs>
          <w:tab w:val="left" w:pos="720"/>
        </w:tabs>
        <w:spacing w:after="0" w:line="240" w:lineRule="auto"/>
        <w:jc w:val="right"/>
        <w:rPr>
          <w:rFonts w:asciiTheme="majorHAnsi" w:eastAsia="Times New Roman" w:hAnsiTheme="majorHAnsi" w:cstheme="majorHAnsi"/>
          <w:bCs/>
          <w:color w:val="1F4E79" w:themeColor="accent1" w:themeShade="80"/>
          <w:sz w:val="28"/>
          <w:szCs w:val="28"/>
          <w:lang w:val="ro-MD"/>
        </w:rPr>
      </w:pPr>
      <w:r w:rsidRPr="002751FC">
        <w:rPr>
          <w:rFonts w:asciiTheme="majorHAnsi" w:eastAsia="Times New Roman" w:hAnsiTheme="majorHAnsi" w:cstheme="majorHAnsi"/>
          <w:bCs/>
          <w:sz w:val="28"/>
          <w:szCs w:val="28"/>
          <w:lang w:val="ro-MD"/>
        </w:rPr>
        <w:t>nr.</w:t>
      </w:r>
      <w:r w:rsidR="00442EA1" w:rsidRPr="002751FC">
        <w:rPr>
          <w:rFonts w:asciiTheme="majorHAnsi" w:eastAsia="Times New Roman" w:hAnsiTheme="majorHAnsi" w:cstheme="majorHAnsi"/>
          <w:bCs/>
          <w:sz w:val="28"/>
          <w:szCs w:val="28"/>
          <w:lang w:val="ro-MD"/>
        </w:rPr>
        <w:t>57</w:t>
      </w:r>
      <w:r w:rsidRPr="002751FC">
        <w:rPr>
          <w:rFonts w:asciiTheme="majorHAnsi" w:eastAsia="Times New Roman" w:hAnsiTheme="majorHAnsi" w:cstheme="majorHAnsi"/>
          <w:bCs/>
          <w:sz w:val="28"/>
          <w:szCs w:val="28"/>
          <w:lang w:val="ro-MD"/>
        </w:rPr>
        <w:t xml:space="preserve"> din 24 octombrie 2019</w:t>
      </w:r>
    </w:p>
    <w:p w:rsidR="00974C87" w:rsidRPr="002751FC" w:rsidRDefault="00974C87" w:rsidP="00974C87">
      <w:pPr>
        <w:spacing w:after="0" w:line="240" w:lineRule="auto"/>
        <w:rPr>
          <w:rFonts w:asciiTheme="majorHAnsi" w:hAnsiTheme="majorHAnsi" w:cstheme="majorHAnsi"/>
          <w:sz w:val="28"/>
          <w:szCs w:val="28"/>
          <w:lang w:val="ro-MD"/>
        </w:rPr>
      </w:pPr>
    </w:p>
    <w:p w:rsidR="00974C87" w:rsidRPr="002751FC" w:rsidRDefault="00974C87" w:rsidP="00974C87">
      <w:pPr>
        <w:spacing w:after="0" w:line="240" w:lineRule="auto"/>
        <w:jc w:val="center"/>
        <w:rPr>
          <w:rFonts w:asciiTheme="majorHAnsi" w:hAnsiTheme="majorHAnsi" w:cstheme="majorHAnsi"/>
          <w:sz w:val="28"/>
          <w:szCs w:val="28"/>
          <w:lang w:val="ro-MD"/>
        </w:rPr>
      </w:pPr>
    </w:p>
    <w:p w:rsidR="00974C87" w:rsidRPr="002751FC" w:rsidRDefault="00540171" w:rsidP="00974C87">
      <w:pPr>
        <w:spacing w:after="0" w:line="240" w:lineRule="auto"/>
        <w:rPr>
          <w:rFonts w:asciiTheme="majorHAnsi" w:hAnsiTheme="majorHAnsi" w:cstheme="majorHAnsi"/>
          <w:sz w:val="28"/>
          <w:szCs w:val="28"/>
          <w:lang w:val="ro-M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3.4pt;margin-top:123.45pt;width:74.25pt;height:74.25pt;z-index:251661312;mso-position-horizontal-relative:margin;mso-position-vertical-relative:margin">
            <v:imagedata r:id="rId8" o:title="Emblema_email"/>
            <w10:wrap type="square" anchorx="margin" anchory="margin"/>
          </v:shape>
        </w:pict>
      </w:r>
    </w:p>
    <w:p w:rsidR="00974C87" w:rsidRPr="002751FC" w:rsidRDefault="00974C87" w:rsidP="00974C87">
      <w:pPr>
        <w:spacing w:after="0" w:line="240" w:lineRule="auto"/>
        <w:rPr>
          <w:rFonts w:asciiTheme="majorHAnsi" w:hAnsiTheme="majorHAnsi" w:cstheme="majorHAnsi"/>
          <w:sz w:val="28"/>
          <w:szCs w:val="28"/>
          <w:lang w:val="ro-MD"/>
        </w:rPr>
      </w:pPr>
    </w:p>
    <w:p w:rsidR="00974C87" w:rsidRPr="002751FC" w:rsidRDefault="00974C87" w:rsidP="00974C87">
      <w:pPr>
        <w:spacing w:after="0" w:line="240" w:lineRule="auto"/>
        <w:jc w:val="center"/>
        <w:rPr>
          <w:rFonts w:asciiTheme="majorHAnsi" w:hAnsiTheme="majorHAnsi" w:cstheme="majorHAnsi"/>
          <w:b/>
          <w:sz w:val="28"/>
          <w:szCs w:val="28"/>
          <w:lang w:val="ro-MD"/>
        </w:rPr>
      </w:pPr>
    </w:p>
    <w:p w:rsidR="00974C87" w:rsidRPr="002751FC" w:rsidRDefault="00974C87" w:rsidP="00974C87">
      <w:pPr>
        <w:spacing w:after="0" w:line="240" w:lineRule="auto"/>
        <w:jc w:val="center"/>
        <w:rPr>
          <w:rFonts w:asciiTheme="majorHAnsi" w:hAnsiTheme="majorHAnsi" w:cstheme="majorHAnsi"/>
          <w:b/>
          <w:sz w:val="28"/>
          <w:szCs w:val="28"/>
          <w:lang w:val="ro-MD"/>
        </w:rPr>
      </w:pPr>
    </w:p>
    <w:p w:rsidR="00476842" w:rsidRPr="002751FC" w:rsidRDefault="00476842" w:rsidP="00476842">
      <w:pPr>
        <w:spacing w:after="0" w:line="276" w:lineRule="auto"/>
        <w:rPr>
          <w:rFonts w:asciiTheme="majorHAnsi" w:hAnsiTheme="majorHAnsi" w:cstheme="majorHAnsi"/>
          <w:sz w:val="24"/>
          <w:szCs w:val="24"/>
          <w:lang w:val="ro-MD"/>
        </w:rPr>
      </w:pPr>
    </w:p>
    <w:p w:rsidR="00476842" w:rsidRPr="002751FC" w:rsidRDefault="00476842" w:rsidP="00476842">
      <w:pPr>
        <w:spacing w:after="0" w:line="276" w:lineRule="auto"/>
        <w:rPr>
          <w:rFonts w:asciiTheme="majorHAnsi" w:hAnsiTheme="majorHAnsi" w:cstheme="majorHAnsi"/>
          <w:b/>
          <w:sz w:val="24"/>
          <w:szCs w:val="24"/>
          <w:lang w:val="ro-MD"/>
        </w:rPr>
      </w:pPr>
    </w:p>
    <w:p w:rsidR="00476842" w:rsidRPr="002751FC" w:rsidRDefault="00476842" w:rsidP="00476842">
      <w:pPr>
        <w:spacing w:after="0" w:line="276" w:lineRule="auto"/>
        <w:jc w:val="center"/>
        <w:rPr>
          <w:rFonts w:asciiTheme="majorHAnsi" w:hAnsiTheme="majorHAnsi" w:cstheme="majorHAnsi"/>
          <w:b/>
          <w:sz w:val="24"/>
          <w:szCs w:val="24"/>
          <w:lang w:val="ro-MD"/>
        </w:rPr>
      </w:pPr>
      <w:r w:rsidRPr="002751FC">
        <w:rPr>
          <w:rFonts w:asciiTheme="majorHAnsi" w:hAnsiTheme="majorHAnsi" w:cstheme="majorHAnsi"/>
          <w:b/>
          <w:sz w:val="24"/>
          <w:szCs w:val="24"/>
          <w:lang w:val="ro-MD"/>
        </w:rPr>
        <w:t>CURTEA DE CONTURI A REPUBLICII MOLDOVA</w:t>
      </w:r>
    </w:p>
    <w:p w:rsidR="00476842" w:rsidRPr="002751FC" w:rsidRDefault="00476842" w:rsidP="00476842">
      <w:pPr>
        <w:spacing w:after="0" w:line="276" w:lineRule="auto"/>
        <w:jc w:val="center"/>
        <w:rPr>
          <w:rFonts w:asciiTheme="majorHAnsi" w:hAnsiTheme="majorHAnsi" w:cstheme="majorHAnsi"/>
          <w:b/>
          <w:sz w:val="24"/>
          <w:szCs w:val="24"/>
          <w:lang w:val="ro-MD"/>
        </w:rPr>
      </w:pPr>
    </w:p>
    <w:p w:rsidR="00476842" w:rsidRPr="002751FC" w:rsidRDefault="00476842" w:rsidP="00476842">
      <w:pPr>
        <w:spacing w:after="0" w:line="276" w:lineRule="auto"/>
        <w:jc w:val="center"/>
        <w:rPr>
          <w:rFonts w:asciiTheme="majorHAnsi" w:hAnsiTheme="majorHAnsi" w:cstheme="majorHAnsi"/>
          <w:b/>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476842" w:rsidRPr="002751FC" w:rsidTr="008E6A80">
        <w:trPr>
          <w:trHeight w:val="435"/>
        </w:trPr>
        <w:tc>
          <w:tcPr>
            <w:tcW w:w="9350" w:type="dxa"/>
          </w:tcPr>
          <w:p w:rsidR="00476842" w:rsidRPr="002751FC" w:rsidRDefault="00476842" w:rsidP="008E6A80">
            <w:pPr>
              <w:tabs>
                <w:tab w:val="left" w:pos="720"/>
              </w:tabs>
              <w:spacing w:after="0" w:line="276" w:lineRule="auto"/>
              <w:jc w:val="center"/>
              <w:rPr>
                <w:rFonts w:asciiTheme="majorHAnsi" w:hAnsiTheme="majorHAnsi" w:cstheme="majorHAnsi"/>
                <w:sz w:val="20"/>
                <w:szCs w:val="20"/>
                <w:lang w:val="ro-MD"/>
              </w:rPr>
            </w:pPr>
            <w:r w:rsidRPr="002751FC">
              <w:rPr>
                <w:rFonts w:asciiTheme="majorHAnsi" w:hAnsiTheme="majorHAnsi" w:cstheme="majorHAnsi"/>
                <w:sz w:val="20"/>
                <w:szCs w:val="20"/>
                <w:lang w:val="ro-MD"/>
              </w:rPr>
              <w:t>MD-2001, mun. Chișinău, bd. Ștefan cel Mare și Sfânt nr.69, tel.: (+373) 22 23 25 79, fax: (+373) 22 23 30 20,</w:t>
            </w:r>
          </w:p>
          <w:p w:rsidR="00476842" w:rsidRPr="002751FC" w:rsidRDefault="00540171" w:rsidP="008E6A80">
            <w:pPr>
              <w:tabs>
                <w:tab w:val="left" w:pos="720"/>
              </w:tabs>
              <w:spacing w:after="0" w:line="276" w:lineRule="auto"/>
              <w:jc w:val="center"/>
              <w:rPr>
                <w:rFonts w:asciiTheme="majorHAnsi" w:hAnsiTheme="majorHAnsi" w:cstheme="majorHAnsi"/>
                <w:b/>
                <w:color w:val="0563C1" w:themeColor="hyperlink"/>
                <w:sz w:val="20"/>
                <w:szCs w:val="20"/>
                <w:u w:val="single"/>
                <w:lang w:val="ro-MD"/>
              </w:rPr>
            </w:pPr>
            <w:hyperlink r:id="rId9" w:history="1">
              <w:r w:rsidR="00476842" w:rsidRPr="002751FC">
                <w:rPr>
                  <w:rStyle w:val="af"/>
                  <w:rFonts w:asciiTheme="majorHAnsi" w:hAnsiTheme="majorHAnsi" w:cstheme="majorHAnsi"/>
                  <w:b/>
                  <w:lang w:val="ro-MD"/>
                </w:rPr>
                <w:t>www.ccrm.md</w:t>
              </w:r>
            </w:hyperlink>
            <w:r w:rsidR="00476842" w:rsidRPr="002751FC">
              <w:rPr>
                <w:rStyle w:val="af"/>
                <w:rFonts w:asciiTheme="majorHAnsi" w:hAnsiTheme="majorHAnsi" w:cstheme="majorHAnsi"/>
                <w:lang w:val="ro-MD"/>
              </w:rPr>
              <w:t xml:space="preserve">; </w:t>
            </w:r>
            <w:r w:rsidR="00476842" w:rsidRPr="002751FC">
              <w:rPr>
                <w:rFonts w:asciiTheme="majorHAnsi" w:hAnsiTheme="majorHAnsi" w:cstheme="majorHAnsi"/>
                <w:sz w:val="20"/>
                <w:szCs w:val="20"/>
                <w:lang w:val="ro-MD"/>
              </w:rPr>
              <w:t xml:space="preserve">e-mail: </w:t>
            </w:r>
            <w:hyperlink r:id="rId10" w:history="1">
              <w:r w:rsidR="00476842" w:rsidRPr="002751FC">
                <w:rPr>
                  <w:rStyle w:val="af"/>
                  <w:rFonts w:asciiTheme="majorHAnsi" w:hAnsiTheme="majorHAnsi" w:cstheme="majorHAnsi"/>
                  <w:b/>
                  <w:lang w:val="ro-MD"/>
                </w:rPr>
                <w:t>ccrm@ccrm.md</w:t>
              </w:r>
            </w:hyperlink>
          </w:p>
        </w:tc>
      </w:tr>
    </w:tbl>
    <w:p w:rsidR="00476842" w:rsidRPr="002751FC" w:rsidRDefault="00476842" w:rsidP="004768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rsidR="00974C87" w:rsidRPr="002751FC" w:rsidRDefault="00974C87" w:rsidP="00974C87">
      <w:pPr>
        <w:tabs>
          <w:tab w:val="left" w:pos="720"/>
        </w:tabs>
        <w:spacing w:after="0" w:line="240" w:lineRule="auto"/>
        <w:jc w:val="right"/>
        <w:rPr>
          <w:rFonts w:asciiTheme="majorHAnsi" w:eastAsia="Times New Roman" w:hAnsiTheme="majorHAnsi" w:cstheme="majorHAnsi"/>
          <w:b/>
          <w:bCs/>
          <w:color w:val="1F4E79" w:themeColor="accent1" w:themeShade="80"/>
          <w:sz w:val="28"/>
          <w:szCs w:val="28"/>
          <w:lang w:val="ro-MD"/>
        </w:rPr>
      </w:pPr>
    </w:p>
    <w:p w:rsidR="00974C87" w:rsidRPr="002751FC" w:rsidRDefault="00974C87" w:rsidP="00974C87">
      <w:pPr>
        <w:tabs>
          <w:tab w:val="left" w:pos="720"/>
        </w:tabs>
        <w:spacing w:after="0" w:line="240" w:lineRule="auto"/>
        <w:jc w:val="right"/>
        <w:rPr>
          <w:rFonts w:asciiTheme="majorHAnsi" w:eastAsia="Times New Roman" w:hAnsiTheme="majorHAnsi" w:cstheme="majorHAnsi"/>
          <w:b/>
          <w:bCs/>
          <w:color w:val="1F4E79" w:themeColor="accent1" w:themeShade="80"/>
          <w:sz w:val="28"/>
          <w:szCs w:val="28"/>
          <w:lang w:val="ro-MD"/>
        </w:rPr>
      </w:pPr>
    </w:p>
    <w:p w:rsidR="00974C87" w:rsidRPr="002751FC" w:rsidRDefault="00974C87" w:rsidP="00974C87">
      <w:pPr>
        <w:tabs>
          <w:tab w:val="left" w:pos="720"/>
        </w:tabs>
        <w:spacing w:after="0" w:line="240" w:lineRule="auto"/>
        <w:jc w:val="center"/>
        <w:rPr>
          <w:rFonts w:asciiTheme="majorHAnsi" w:eastAsia="Times New Roman" w:hAnsiTheme="majorHAnsi" w:cstheme="majorHAnsi"/>
          <w:b/>
          <w:bCs/>
          <w:color w:val="1F4E79" w:themeColor="accent1" w:themeShade="80"/>
          <w:sz w:val="28"/>
          <w:szCs w:val="28"/>
          <w:lang w:val="ro-MD"/>
        </w:rPr>
      </w:pPr>
    </w:p>
    <w:p w:rsidR="00974C87" w:rsidRPr="002751FC" w:rsidRDefault="00974C87" w:rsidP="00476842">
      <w:pPr>
        <w:tabs>
          <w:tab w:val="left" w:pos="720"/>
        </w:tabs>
        <w:spacing w:after="0" w:line="240" w:lineRule="auto"/>
        <w:jc w:val="center"/>
        <w:rPr>
          <w:rFonts w:asciiTheme="majorHAnsi" w:eastAsia="Times New Roman" w:hAnsiTheme="majorHAnsi" w:cstheme="majorHAnsi"/>
          <w:b/>
          <w:bCs/>
          <w:sz w:val="36"/>
          <w:szCs w:val="36"/>
          <w:lang w:val="ro-MD"/>
        </w:rPr>
      </w:pPr>
      <w:r w:rsidRPr="002751FC">
        <w:rPr>
          <w:rFonts w:asciiTheme="majorHAnsi" w:eastAsia="Times New Roman" w:hAnsiTheme="majorHAnsi" w:cstheme="majorHAnsi"/>
          <w:b/>
          <w:bCs/>
          <w:sz w:val="36"/>
          <w:szCs w:val="36"/>
          <w:lang w:val="ro-MD"/>
        </w:rPr>
        <w:t xml:space="preserve">RAPORTUL </w:t>
      </w:r>
    </w:p>
    <w:p w:rsidR="00974C87" w:rsidRPr="002751FC" w:rsidRDefault="00974C87" w:rsidP="00974C87">
      <w:pPr>
        <w:spacing w:after="0" w:line="240" w:lineRule="auto"/>
        <w:jc w:val="center"/>
        <w:rPr>
          <w:rFonts w:asciiTheme="majorHAnsi" w:eastAsia="Times New Roman" w:hAnsiTheme="majorHAnsi" w:cstheme="majorHAnsi"/>
          <w:b/>
          <w:bCs/>
          <w:sz w:val="36"/>
          <w:szCs w:val="36"/>
          <w:lang w:val="ro-MD"/>
        </w:rPr>
      </w:pPr>
      <w:r w:rsidRPr="002751FC">
        <w:rPr>
          <w:rFonts w:asciiTheme="majorHAnsi" w:eastAsia="Times New Roman" w:hAnsiTheme="majorHAnsi" w:cstheme="majorHAnsi"/>
          <w:b/>
          <w:bCs/>
          <w:sz w:val="36"/>
          <w:szCs w:val="36"/>
          <w:lang w:val="ro-MD"/>
        </w:rPr>
        <w:t xml:space="preserve">auditului conformității gestionării mijloacelor </w:t>
      </w:r>
    </w:p>
    <w:p w:rsidR="00974C87" w:rsidRPr="002751FC" w:rsidRDefault="00974C87" w:rsidP="00974C87">
      <w:pPr>
        <w:spacing w:after="0" w:line="240" w:lineRule="auto"/>
        <w:jc w:val="center"/>
        <w:rPr>
          <w:rFonts w:asciiTheme="majorHAnsi" w:eastAsia="Times New Roman" w:hAnsiTheme="majorHAnsi" w:cstheme="majorHAnsi"/>
          <w:b/>
          <w:bCs/>
          <w:sz w:val="36"/>
          <w:szCs w:val="36"/>
          <w:lang w:val="ro-MD"/>
        </w:rPr>
      </w:pPr>
      <w:r w:rsidRPr="002751FC">
        <w:rPr>
          <w:rFonts w:asciiTheme="majorHAnsi" w:eastAsia="Times New Roman" w:hAnsiTheme="majorHAnsi" w:cstheme="majorHAnsi"/>
          <w:b/>
          <w:bCs/>
          <w:sz w:val="36"/>
          <w:szCs w:val="36"/>
          <w:lang w:val="ro-MD"/>
        </w:rPr>
        <w:t xml:space="preserve">Fondului </w:t>
      </w:r>
      <w:r w:rsidR="00D378CC" w:rsidRPr="002751FC">
        <w:rPr>
          <w:rFonts w:asciiTheme="majorHAnsi" w:eastAsia="Times New Roman" w:hAnsiTheme="majorHAnsi" w:cstheme="majorHAnsi"/>
          <w:b/>
          <w:bCs/>
          <w:sz w:val="36"/>
          <w:szCs w:val="36"/>
          <w:lang w:val="ro-MD"/>
        </w:rPr>
        <w:t>V</w:t>
      </w:r>
      <w:r w:rsidRPr="002751FC">
        <w:rPr>
          <w:rFonts w:asciiTheme="majorHAnsi" w:eastAsia="Times New Roman" w:hAnsiTheme="majorHAnsi" w:cstheme="majorHAnsi"/>
          <w:b/>
          <w:bCs/>
          <w:sz w:val="36"/>
          <w:szCs w:val="36"/>
          <w:lang w:val="ro-MD"/>
        </w:rPr>
        <w:t xml:space="preserve">iei și </w:t>
      </w:r>
      <w:r w:rsidR="00D378CC" w:rsidRPr="002751FC">
        <w:rPr>
          <w:rFonts w:asciiTheme="majorHAnsi" w:eastAsia="Times New Roman" w:hAnsiTheme="majorHAnsi" w:cstheme="majorHAnsi"/>
          <w:b/>
          <w:bCs/>
          <w:sz w:val="36"/>
          <w:szCs w:val="36"/>
          <w:lang w:val="ro-MD"/>
        </w:rPr>
        <w:t>V</w:t>
      </w:r>
      <w:r w:rsidRPr="002751FC">
        <w:rPr>
          <w:rFonts w:asciiTheme="majorHAnsi" w:eastAsia="Times New Roman" w:hAnsiTheme="majorHAnsi" w:cstheme="majorHAnsi"/>
          <w:b/>
          <w:bCs/>
          <w:sz w:val="36"/>
          <w:szCs w:val="36"/>
          <w:lang w:val="ro-MD"/>
        </w:rPr>
        <w:t>inului</w:t>
      </w:r>
    </w:p>
    <w:p w:rsidR="00974C87" w:rsidRPr="002751FC" w:rsidRDefault="00974C87" w:rsidP="00974C87">
      <w:pPr>
        <w:spacing w:after="0" w:line="240" w:lineRule="auto"/>
        <w:jc w:val="center"/>
        <w:rPr>
          <w:rFonts w:asciiTheme="majorHAnsi" w:eastAsia="Times New Roman" w:hAnsiTheme="majorHAnsi" w:cstheme="majorHAnsi"/>
          <w:b/>
          <w:bCs/>
          <w:sz w:val="36"/>
          <w:szCs w:val="36"/>
          <w:lang w:val="ro-MD"/>
        </w:rPr>
      </w:pPr>
    </w:p>
    <w:p w:rsidR="00974C87" w:rsidRPr="002751FC" w:rsidRDefault="00974C87" w:rsidP="00974C87">
      <w:pPr>
        <w:spacing w:after="0" w:line="240" w:lineRule="auto"/>
        <w:jc w:val="center"/>
        <w:rPr>
          <w:rFonts w:asciiTheme="majorHAnsi" w:eastAsia="Times New Roman" w:hAnsiTheme="majorHAnsi" w:cstheme="majorHAnsi"/>
          <w:b/>
          <w:bCs/>
          <w:sz w:val="28"/>
          <w:szCs w:val="28"/>
          <w:lang w:val="ro-MD"/>
        </w:rPr>
      </w:pPr>
    </w:p>
    <w:p w:rsidR="00974C87" w:rsidRPr="002751FC" w:rsidRDefault="00974C87" w:rsidP="00974C87">
      <w:pPr>
        <w:spacing w:after="0" w:line="240" w:lineRule="auto"/>
        <w:jc w:val="center"/>
        <w:rPr>
          <w:rFonts w:asciiTheme="majorHAnsi" w:eastAsia="Times New Roman" w:hAnsiTheme="majorHAnsi" w:cstheme="majorHAnsi"/>
          <w:b/>
          <w:bCs/>
          <w:sz w:val="28"/>
          <w:szCs w:val="28"/>
          <w:lang w:val="ro-MD"/>
        </w:rPr>
      </w:pPr>
    </w:p>
    <w:p w:rsidR="00974C87" w:rsidRPr="002751FC" w:rsidRDefault="00974C87" w:rsidP="00974C87">
      <w:pPr>
        <w:spacing w:after="0" w:line="240" w:lineRule="auto"/>
        <w:jc w:val="center"/>
        <w:rPr>
          <w:rFonts w:asciiTheme="majorHAnsi" w:eastAsia="Times New Roman" w:hAnsiTheme="majorHAnsi" w:cstheme="majorHAnsi"/>
          <w:b/>
          <w:bCs/>
          <w:sz w:val="28"/>
          <w:szCs w:val="28"/>
          <w:lang w:val="ro-MD"/>
        </w:rPr>
      </w:pPr>
    </w:p>
    <w:p w:rsidR="00974C87" w:rsidRPr="002751FC" w:rsidRDefault="00974C87" w:rsidP="00974C87">
      <w:pPr>
        <w:spacing w:after="0" w:line="240" w:lineRule="auto"/>
        <w:jc w:val="center"/>
        <w:rPr>
          <w:rFonts w:asciiTheme="majorHAnsi" w:eastAsia="Times New Roman" w:hAnsiTheme="majorHAnsi" w:cstheme="majorHAnsi"/>
          <w:b/>
          <w:bCs/>
          <w:sz w:val="28"/>
          <w:szCs w:val="28"/>
          <w:lang w:val="ro-MD"/>
        </w:rPr>
      </w:pPr>
    </w:p>
    <w:p w:rsidR="00974C87" w:rsidRPr="002751FC" w:rsidRDefault="00974C87" w:rsidP="00974C87">
      <w:pPr>
        <w:tabs>
          <w:tab w:val="left" w:pos="720"/>
        </w:tabs>
        <w:spacing w:after="0" w:line="240" w:lineRule="auto"/>
        <w:ind w:firstLine="720"/>
        <w:jc w:val="center"/>
        <w:rPr>
          <w:rFonts w:asciiTheme="majorHAnsi" w:eastAsia="Times New Roman" w:hAnsiTheme="majorHAnsi" w:cstheme="majorHAnsi"/>
          <w:b/>
          <w:bCs/>
          <w:sz w:val="28"/>
          <w:szCs w:val="28"/>
          <w:lang w:val="ro-MD"/>
        </w:rPr>
      </w:pPr>
    </w:p>
    <w:p w:rsidR="00FE1A9F" w:rsidRPr="002751FC" w:rsidRDefault="00FE1A9F">
      <w:pPr>
        <w:rPr>
          <w:rFonts w:asciiTheme="majorHAnsi" w:hAnsiTheme="majorHAnsi" w:cstheme="majorHAnsi"/>
          <w:sz w:val="28"/>
          <w:szCs w:val="28"/>
          <w:lang w:val="ro-MD"/>
        </w:rPr>
      </w:pPr>
      <w:r w:rsidRPr="002751FC">
        <w:rPr>
          <w:rFonts w:asciiTheme="majorHAnsi" w:hAnsiTheme="majorHAnsi" w:cstheme="majorHAnsi"/>
          <w:sz w:val="28"/>
          <w:szCs w:val="28"/>
          <w:lang w:val="ro-MD"/>
        </w:rPr>
        <w:br w:type="page"/>
      </w:r>
    </w:p>
    <w:bookmarkStart w:id="0" w:name="_Toc510185761" w:displacedByCustomXml="next"/>
    <w:bookmarkStart w:id="1" w:name="_Toc509412839" w:displacedByCustomXml="next"/>
    <w:sdt>
      <w:sdtPr>
        <w:rPr>
          <w:rFonts w:asciiTheme="majorHAnsi" w:eastAsiaTheme="minorHAnsi" w:hAnsiTheme="majorHAnsi" w:cstheme="majorHAnsi"/>
          <w:b w:val="0"/>
          <w:caps w:val="0"/>
          <w:color w:val="auto"/>
          <w:sz w:val="28"/>
          <w:szCs w:val="28"/>
          <w:lang w:val="ro-MD"/>
        </w:rPr>
        <w:id w:val="-128792434"/>
        <w:docPartObj>
          <w:docPartGallery w:val="Table of Contents"/>
          <w:docPartUnique/>
        </w:docPartObj>
      </w:sdtPr>
      <w:sdtEndPr>
        <w:rPr>
          <w:bCs/>
          <w:noProof/>
          <w:sz w:val="22"/>
          <w:szCs w:val="22"/>
        </w:rPr>
      </w:sdtEndPr>
      <w:sdtContent>
        <w:p w:rsidR="00974C87" w:rsidRPr="002751FC" w:rsidRDefault="00974C87" w:rsidP="00974C87">
          <w:pPr>
            <w:pStyle w:val="af4"/>
            <w:rPr>
              <w:rFonts w:asciiTheme="majorHAnsi" w:hAnsiTheme="majorHAnsi" w:cstheme="majorHAnsi"/>
              <w:sz w:val="28"/>
              <w:szCs w:val="28"/>
              <w:lang w:val="ro-MD"/>
            </w:rPr>
          </w:pPr>
          <w:r w:rsidRPr="002751FC">
            <w:rPr>
              <w:rFonts w:asciiTheme="majorHAnsi" w:hAnsiTheme="majorHAnsi" w:cstheme="majorHAnsi"/>
              <w:sz w:val="28"/>
              <w:szCs w:val="28"/>
              <w:lang w:val="ro-MD"/>
            </w:rPr>
            <w:t>CUPRINS</w:t>
          </w:r>
          <w:r w:rsidR="00C50159" w:rsidRPr="002751FC">
            <w:rPr>
              <w:rFonts w:asciiTheme="majorHAnsi" w:hAnsiTheme="majorHAnsi" w:cstheme="majorHAnsi"/>
              <w:sz w:val="28"/>
              <w:szCs w:val="28"/>
              <w:lang w:val="ro-MD"/>
            </w:rPr>
            <w:t>:</w:t>
          </w:r>
        </w:p>
        <w:p w:rsidR="00202BE8" w:rsidRPr="002751FC" w:rsidRDefault="00974C87">
          <w:pPr>
            <w:pStyle w:val="13"/>
            <w:rPr>
              <w:rFonts w:asciiTheme="minorHAnsi" w:eastAsiaTheme="minorEastAsia" w:hAnsiTheme="minorHAnsi" w:cstheme="minorBidi"/>
              <w:b w:val="0"/>
              <w:lang w:val="ro-MD"/>
            </w:rPr>
          </w:pPr>
          <w:r w:rsidRPr="002751FC">
            <w:rPr>
              <w:lang w:val="ro-MD"/>
            </w:rPr>
            <w:fldChar w:fldCharType="begin"/>
          </w:r>
          <w:r w:rsidRPr="002751FC">
            <w:rPr>
              <w:lang w:val="ro-MD"/>
            </w:rPr>
            <w:instrText xml:space="preserve"> TOC \o "1-4" \h \z \u </w:instrText>
          </w:r>
          <w:r w:rsidRPr="002751FC">
            <w:rPr>
              <w:lang w:val="ro-MD"/>
            </w:rPr>
            <w:fldChar w:fldCharType="separate"/>
          </w:r>
          <w:hyperlink w:anchor="_Toc23259081" w:history="1">
            <w:r w:rsidR="00202BE8" w:rsidRPr="002751FC">
              <w:rPr>
                <w:rStyle w:val="af"/>
                <w:lang w:val="ro-MD"/>
              </w:rPr>
              <w:t>LISTA ACRONIMELOR</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_Toc23259081 \h </w:instrText>
            </w:r>
            <w:r w:rsidR="00202BE8" w:rsidRPr="002751FC">
              <w:rPr>
                <w:webHidden/>
                <w:lang w:val="ro-MD"/>
              </w:rPr>
            </w:r>
            <w:r w:rsidR="00202BE8" w:rsidRPr="002751FC">
              <w:rPr>
                <w:webHidden/>
                <w:lang w:val="ro-MD"/>
              </w:rPr>
              <w:fldChar w:fldCharType="separate"/>
            </w:r>
            <w:r w:rsidR="0082388F">
              <w:rPr>
                <w:webHidden/>
                <w:lang w:val="ro-MD"/>
              </w:rPr>
              <w:t>5</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82" w:history="1">
            <w:r w:rsidR="00202BE8" w:rsidRPr="002751FC">
              <w:rPr>
                <w:rStyle w:val="af"/>
                <w:lang w:val="ro-MD"/>
              </w:rPr>
              <w:t>GLOSAR</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_Toc23259082 \h </w:instrText>
            </w:r>
            <w:r w:rsidR="00202BE8" w:rsidRPr="002751FC">
              <w:rPr>
                <w:webHidden/>
                <w:lang w:val="ro-MD"/>
              </w:rPr>
            </w:r>
            <w:r w:rsidR="00202BE8" w:rsidRPr="002751FC">
              <w:rPr>
                <w:webHidden/>
                <w:lang w:val="ro-MD"/>
              </w:rPr>
              <w:fldChar w:fldCharType="separate"/>
            </w:r>
            <w:r w:rsidR="0082388F">
              <w:rPr>
                <w:webHidden/>
                <w:lang w:val="ro-MD"/>
              </w:rPr>
              <w:t>6</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83" w:history="1">
            <w:r w:rsidR="00202BE8" w:rsidRPr="002751FC">
              <w:rPr>
                <w:rStyle w:val="af"/>
                <w:lang w:val="ro-MD"/>
              </w:rPr>
              <w:t>I. SINTEZA</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_Toc23259083 \h </w:instrText>
            </w:r>
            <w:r w:rsidR="00202BE8" w:rsidRPr="002751FC">
              <w:rPr>
                <w:webHidden/>
                <w:lang w:val="ro-MD"/>
              </w:rPr>
            </w:r>
            <w:r w:rsidR="00202BE8" w:rsidRPr="002751FC">
              <w:rPr>
                <w:webHidden/>
                <w:lang w:val="ro-MD"/>
              </w:rPr>
              <w:fldChar w:fldCharType="separate"/>
            </w:r>
            <w:r w:rsidR="0082388F">
              <w:rPr>
                <w:webHidden/>
                <w:lang w:val="ro-MD"/>
              </w:rPr>
              <w:t>8</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84" w:history="1">
            <w:r w:rsidR="00202BE8" w:rsidRPr="002751FC">
              <w:rPr>
                <w:rStyle w:val="af"/>
                <w:rFonts w:eastAsia="Times New Roman"/>
                <w:lang w:val="ro-MD"/>
              </w:rPr>
              <w:t xml:space="preserve">II. </w:t>
            </w:r>
            <w:r w:rsidR="00202BE8" w:rsidRPr="002751FC">
              <w:rPr>
                <w:rStyle w:val="af"/>
                <w:lang w:val="ro-MD"/>
              </w:rPr>
              <w:t>PREZENTARE GENERALĂ</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_Toc23259084 \h </w:instrText>
            </w:r>
            <w:r w:rsidR="00202BE8" w:rsidRPr="002751FC">
              <w:rPr>
                <w:webHidden/>
                <w:lang w:val="ro-MD"/>
              </w:rPr>
            </w:r>
            <w:r w:rsidR="00202BE8" w:rsidRPr="002751FC">
              <w:rPr>
                <w:webHidden/>
                <w:lang w:val="ro-MD"/>
              </w:rPr>
              <w:fldChar w:fldCharType="separate"/>
            </w:r>
            <w:r w:rsidR="0082388F">
              <w:rPr>
                <w:webHidden/>
                <w:lang w:val="ro-MD"/>
              </w:rPr>
              <w:t>12</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85" w:history="1">
            <w:r w:rsidR="00202BE8" w:rsidRPr="002751FC">
              <w:rPr>
                <w:rStyle w:val="af"/>
                <w:lang w:val="ro-MD"/>
              </w:rPr>
              <w:t>2.1. Informații generale despre Fondul Viei și Vinului</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_Toc23259085 \h </w:instrText>
            </w:r>
            <w:r w:rsidR="00202BE8" w:rsidRPr="002751FC">
              <w:rPr>
                <w:webHidden/>
                <w:lang w:val="ro-MD"/>
              </w:rPr>
            </w:r>
            <w:r w:rsidR="00202BE8" w:rsidRPr="002751FC">
              <w:rPr>
                <w:webHidden/>
                <w:lang w:val="ro-MD"/>
              </w:rPr>
              <w:fldChar w:fldCharType="separate"/>
            </w:r>
            <w:r w:rsidR="0082388F">
              <w:rPr>
                <w:webHidden/>
                <w:lang w:val="ro-MD"/>
              </w:rPr>
              <w:t>12</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86" w:history="1">
            <w:r w:rsidR="00202BE8" w:rsidRPr="002751FC">
              <w:rPr>
                <w:rStyle w:val="af"/>
                <w:lang w:val="ro-MD"/>
              </w:rPr>
              <w:t>2.2</w:t>
            </w:r>
            <w:r w:rsidR="00765F14">
              <w:rPr>
                <w:rStyle w:val="af"/>
                <w:lang w:val="ro-MD"/>
              </w:rPr>
              <w:t>.</w:t>
            </w:r>
            <w:r w:rsidR="00202BE8" w:rsidRPr="002751FC">
              <w:rPr>
                <w:rStyle w:val="af"/>
                <w:lang w:val="ro-MD"/>
              </w:rPr>
              <w:t xml:space="preserve"> Informații generale privind Oficiul Naţional al Viei şi Vinului</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_Toc23259086 \h </w:instrText>
            </w:r>
            <w:r w:rsidR="00202BE8" w:rsidRPr="002751FC">
              <w:rPr>
                <w:webHidden/>
                <w:lang w:val="ro-MD"/>
              </w:rPr>
            </w:r>
            <w:r w:rsidR="00202BE8" w:rsidRPr="002751FC">
              <w:rPr>
                <w:webHidden/>
                <w:lang w:val="ro-MD"/>
              </w:rPr>
              <w:fldChar w:fldCharType="separate"/>
            </w:r>
            <w:r w:rsidR="0082388F">
              <w:rPr>
                <w:webHidden/>
                <w:lang w:val="ro-MD"/>
              </w:rPr>
              <w:t>13</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87" w:history="1">
            <w:r w:rsidR="00202BE8" w:rsidRPr="002751FC">
              <w:rPr>
                <w:rStyle w:val="af"/>
                <w:rFonts w:eastAsia="Times New Roman"/>
                <w:lang w:val="ro-MD"/>
              </w:rPr>
              <w:t>2.3.</w:t>
            </w:r>
            <w:r w:rsidR="00202BE8" w:rsidRPr="002751FC">
              <w:rPr>
                <w:rStyle w:val="af"/>
                <w:rFonts w:eastAsia="Times New Roman"/>
                <w:i/>
                <w:lang w:val="ro-MD"/>
              </w:rPr>
              <w:t xml:space="preserve"> </w:t>
            </w:r>
            <w:r w:rsidR="00202BE8" w:rsidRPr="002751FC">
              <w:rPr>
                <w:rStyle w:val="af"/>
                <w:rFonts w:eastAsia="Times New Roman"/>
                <w:lang w:val="ro-MD"/>
              </w:rPr>
              <w:t>Bugetul Fondului Viei și Vinului</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_Toc23259087 \h </w:instrText>
            </w:r>
            <w:r w:rsidR="00202BE8" w:rsidRPr="002751FC">
              <w:rPr>
                <w:webHidden/>
                <w:lang w:val="ro-MD"/>
              </w:rPr>
            </w:r>
            <w:r w:rsidR="00202BE8" w:rsidRPr="002751FC">
              <w:rPr>
                <w:webHidden/>
                <w:lang w:val="ro-MD"/>
              </w:rPr>
              <w:fldChar w:fldCharType="separate"/>
            </w:r>
            <w:r w:rsidR="0082388F">
              <w:rPr>
                <w:webHidden/>
                <w:lang w:val="ro-MD"/>
              </w:rPr>
              <w:t>14</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88" w:history="1">
            <w:r w:rsidR="00202BE8" w:rsidRPr="002751FC">
              <w:rPr>
                <w:rStyle w:val="af"/>
                <w:lang w:val="ro-MD"/>
              </w:rPr>
              <w:t>III</w:t>
            </w:r>
            <w:r w:rsidR="00202BE8" w:rsidRPr="002751FC">
              <w:rPr>
                <w:rStyle w:val="af"/>
                <w:rFonts w:eastAsia="Times New Roman"/>
                <w:lang w:val="ro-MD"/>
              </w:rPr>
              <w:t xml:space="preserve">. </w:t>
            </w:r>
            <w:r w:rsidR="00202BE8" w:rsidRPr="002751FC">
              <w:rPr>
                <w:rStyle w:val="af"/>
                <w:lang w:val="ro-MD"/>
              </w:rPr>
              <w:t>SFERA</w:t>
            </w:r>
            <w:r w:rsidR="00202BE8" w:rsidRPr="002751FC">
              <w:rPr>
                <w:rStyle w:val="af"/>
                <w:rFonts w:eastAsia="Times New Roman"/>
                <w:lang w:val="ro-MD"/>
              </w:rPr>
              <w:t xml:space="preserve"> ȘI ABORDAREA AUDITULUI</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_Toc23259088 \h </w:instrText>
            </w:r>
            <w:r w:rsidR="00202BE8" w:rsidRPr="002751FC">
              <w:rPr>
                <w:webHidden/>
                <w:lang w:val="ro-MD"/>
              </w:rPr>
            </w:r>
            <w:r w:rsidR="00202BE8" w:rsidRPr="002751FC">
              <w:rPr>
                <w:webHidden/>
                <w:lang w:val="ro-MD"/>
              </w:rPr>
              <w:fldChar w:fldCharType="separate"/>
            </w:r>
            <w:r w:rsidR="0082388F">
              <w:rPr>
                <w:webHidden/>
                <w:lang w:val="ro-MD"/>
              </w:rPr>
              <w:t>15</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89" w:history="1">
            <w:r w:rsidR="00202BE8" w:rsidRPr="002751FC">
              <w:rPr>
                <w:rStyle w:val="af"/>
                <w:rFonts w:eastAsia="Times New Roman"/>
                <w:bCs/>
                <w:iCs/>
                <w:lang w:val="ro-MD"/>
              </w:rPr>
              <w:t xml:space="preserve">IV. </w:t>
            </w:r>
            <w:r w:rsidR="00202BE8" w:rsidRPr="002751FC">
              <w:rPr>
                <w:rStyle w:val="af"/>
                <w:lang w:val="ro-MD"/>
              </w:rPr>
              <w:t>CONSTATĂRI</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_Toc23259089 \h </w:instrText>
            </w:r>
            <w:r w:rsidR="00202BE8" w:rsidRPr="002751FC">
              <w:rPr>
                <w:webHidden/>
                <w:lang w:val="ro-MD"/>
              </w:rPr>
            </w:r>
            <w:r w:rsidR="00202BE8" w:rsidRPr="002751FC">
              <w:rPr>
                <w:webHidden/>
                <w:lang w:val="ro-MD"/>
              </w:rPr>
              <w:fldChar w:fldCharType="separate"/>
            </w:r>
            <w:r w:rsidR="0082388F">
              <w:rPr>
                <w:webHidden/>
                <w:lang w:val="ro-MD"/>
              </w:rPr>
              <w:t>16</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90" w:history="1">
            <w:r w:rsidR="00202BE8" w:rsidRPr="002751FC">
              <w:rPr>
                <w:rStyle w:val="af"/>
                <w:lang w:val="ro-MD"/>
              </w:rPr>
              <w:t xml:space="preserve">4.1. </w:t>
            </w:r>
            <w:r w:rsidR="00202BE8" w:rsidRPr="002751FC">
              <w:rPr>
                <w:rStyle w:val="af"/>
                <w:bCs/>
                <w:iCs/>
                <w:lang w:val="ro-MD"/>
              </w:rPr>
              <w:t>Aprobarea, alocarea şi utilizarea mijloacelor din FVV s-a efectuat cu nerespectarea cadrului regulator în vigoare</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_Toc23259090 \h </w:instrText>
            </w:r>
            <w:r w:rsidR="00202BE8" w:rsidRPr="002751FC">
              <w:rPr>
                <w:webHidden/>
                <w:lang w:val="ro-MD"/>
              </w:rPr>
            </w:r>
            <w:r w:rsidR="00202BE8" w:rsidRPr="002751FC">
              <w:rPr>
                <w:webHidden/>
                <w:lang w:val="ro-MD"/>
              </w:rPr>
              <w:fldChar w:fldCharType="separate"/>
            </w:r>
            <w:r w:rsidR="0082388F">
              <w:rPr>
                <w:webHidden/>
                <w:lang w:val="ro-MD"/>
              </w:rPr>
              <w:t>16</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91" w:history="1">
            <w:r w:rsidR="00202BE8" w:rsidRPr="002751FC">
              <w:rPr>
                <w:rStyle w:val="af"/>
                <w:bCs/>
                <w:iCs/>
                <w:lang w:val="ro-MD"/>
              </w:rPr>
              <w:t>4.1.1. Aprobarea volumului de alocații de la bugetul de stat destinate FVV s-a realizat cu devieri de la cadrul normativ</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_Toc23259091 \h </w:instrText>
            </w:r>
            <w:r w:rsidR="00202BE8" w:rsidRPr="002751FC">
              <w:rPr>
                <w:webHidden/>
                <w:lang w:val="ro-MD"/>
              </w:rPr>
            </w:r>
            <w:r w:rsidR="00202BE8" w:rsidRPr="002751FC">
              <w:rPr>
                <w:webHidden/>
                <w:lang w:val="ro-MD"/>
              </w:rPr>
              <w:fldChar w:fldCharType="separate"/>
            </w:r>
            <w:r w:rsidR="0082388F">
              <w:rPr>
                <w:webHidden/>
                <w:lang w:val="ro-MD"/>
              </w:rPr>
              <w:t>16</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92" w:history="1">
            <w:r w:rsidR="00202BE8" w:rsidRPr="002751FC">
              <w:rPr>
                <w:rStyle w:val="af"/>
                <w:rFonts w:eastAsia="Times New Roman"/>
                <w:lang w:val="ro-MD"/>
              </w:rPr>
              <w:t>4.1.2. Alocarea mijloacelor financiare de la bugetul de stat se efectuează cu nerespectarea cadrului regulator</w:t>
            </w:r>
            <w:r w:rsidR="00CC01F2" w:rsidRPr="002751FC">
              <w:rPr>
                <w:rStyle w:val="af"/>
                <w:rFonts w:eastAsia="Times New Roman"/>
                <w:lang w:val="ro-MD"/>
              </w:rPr>
              <w:t>....</w:t>
            </w:r>
            <w:r w:rsidR="00202BE8" w:rsidRPr="002751FC">
              <w:rPr>
                <w:rStyle w:val="af"/>
                <w:rFonts w:eastAsia="Times New Roman"/>
                <w:lang w:val="ro-MD"/>
              </w:rPr>
              <w:t>.</w:t>
            </w:r>
            <w:r w:rsidR="00CC01F2" w:rsidRPr="002751FC">
              <w:rPr>
                <w:rStyle w:val="af"/>
                <w:rFonts w:eastAsia="Times New Roman"/>
                <w:lang w:val="ro-MD"/>
              </w:rPr>
              <w:t>.</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_Toc23259092 \h </w:instrText>
            </w:r>
            <w:r w:rsidR="00202BE8" w:rsidRPr="002751FC">
              <w:rPr>
                <w:webHidden/>
                <w:lang w:val="ro-MD"/>
              </w:rPr>
            </w:r>
            <w:r w:rsidR="00202BE8" w:rsidRPr="002751FC">
              <w:rPr>
                <w:webHidden/>
                <w:lang w:val="ro-MD"/>
              </w:rPr>
              <w:fldChar w:fldCharType="separate"/>
            </w:r>
            <w:r w:rsidR="0082388F">
              <w:rPr>
                <w:webHidden/>
                <w:lang w:val="ro-MD"/>
              </w:rPr>
              <w:t>18</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93" w:history="1">
            <w:r w:rsidR="00202BE8" w:rsidRPr="002751FC">
              <w:rPr>
                <w:rStyle w:val="af"/>
                <w:bCs/>
                <w:lang w:val="ro-MD"/>
              </w:rPr>
              <w:t>4.1.3. Urmare a statutului dublu acordat ONVV, FVV are aprobate 2 bugete anuale diferite, unul aprobat prin Legea bugetului de stat pentru anul bugetar respectiv, altul, de Consiliul de coordonare.</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_Toc23259093 \h </w:instrText>
            </w:r>
            <w:r w:rsidR="00202BE8" w:rsidRPr="002751FC">
              <w:rPr>
                <w:webHidden/>
                <w:lang w:val="ro-MD"/>
              </w:rPr>
            </w:r>
            <w:r w:rsidR="00202BE8" w:rsidRPr="002751FC">
              <w:rPr>
                <w:webHidden/>
                <w:lang w:val="ro-MD"/>
              </w:rPr>
              <w:fldChar w:fldCharType="separate"/>
            </w:r>
            <w:r w:rsidR="0082388F">
              <w:rPr>
                <w:webHidden/>
                <w:lang w:val="ro-MD"/>
              </w:rPr>
              <w:t>20</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94" w:history="1">
            <w:r w:rsidR="00202BE8" w:rsidRPr="002751FC">
              <w:rPr>
                <w:rStyle w:val="af"/>
                <w:lang w:val="ro-MD"/>
              </w:rPr>
              <w:t>4.1.4. Lipsa unor proceduri formalizate privind rectificarea bugetului aprobat de CC a permis finanțarea unor măsuri fără identificarea surselor de acoperire a măsurilor aprobate suplimentar de acesta, efectuarea cheltuielilor neprevăzute în buget fără aprobarea de către CC, precum și efectuarea cheltuielilor cu depășirea limitelor de cheltuieli aprobate pentru activitățile respective.</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_Toc23259094 \h </w:instrText>
            </w:r>
            <w:r w:rsidR="00202BE8" w:rsidRPr="002751FC">
              <w:rPr>
                <w:webHidden/>
                <w:lang w:val="ro-MD"/>
              </w:rPr>
            </w:r>
            <w:r w:rsidR="00202BE8" w:rsidRPr="002751FC">
              <w:rPr>
                <w:webHidden/>
                <w:lang w:val="ro-MD"/>
              </w:rPr>
              <w:fldChar w:fldCharType="separate"/>
            </w:r>
            <w:r w:rsidR="0082388F">
              <w:rPr>
                <w:webHidden/>
                <w:lang w:val="ro-MD"/>
              </w:rPr>
              <w:t>21</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95" w:history="1">
            <w:r w:rsidR="00202BE8" w:rsidRPr="002751FC">
              <w:rPr>
                <w:rStyle w:val="af"/>
                <w:lang w:val="ro-MD"/>
              </w:rPr>
              <w:t>4.1.5. ONVV a depășit limitele de cheltuieli aprobate de CC pentru unele măsuri aferente domeniului de marketing și dezvoltarea piețelor și a efectuat măsuri fără aprobare de către Consiliu și fără identificarea surselor de acoperire.</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_Toc23259095 \h </w:instrText>
            </w:r>
            <w:r w:rsidR="00202BE8" w:rsidRPr="002751FC">
              <w:rPr>
                <w:webHidden/>
                <w:lang w:val="ro-MD"/>
              </w:rPr>
            </w:r>
            <w:r w:rsidR="00202BE8" w:rsidRPr="002751FC">
              <w:rPr>
                <w:webHidden/>
                <w:lang w:val="ro-MD"/>
              </w:rPr>
              <w:fldChar w:fldCharType="separate"/>
            </w:r>
            <w:r w:rsidR="0082388F">
              <w:rPr>
                <w:webHidden/>
                <w:lang w:val="ro-MD"/>
              </w:rPr>
              <w:t>23</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96" w:history="1">
            <w:r w:rsidR="00202BE8" w:rsidRPr="002751FC">
              <w:rPr>
                <w:rStyle w:val="af"/>
                <w:lang w:val="ro-MD"/>
              </w:rPr>
              <w:t xml:space="preserve">4.1.6. </w:t>
            </w:r>
            <w:r w:rsidR="00202BE8" w:rsidRPr="002751FC">
              <w:rPr>
                <w:rStyle w:val="af"/>
                <w:rFonts w:eastAsia="Times New Roman"/>
                <w:lang w:val="ro-MD"/>
              </w:rPr>
              <w:t>Planificarea neadecvată a resurselor financiare și măsurilor care urmează a fi realizate în anul bugetar respectiv a influențat nivelul de realizare a indicatorilor bugetari aprobați</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_Toc23259096 \h </w:instrText>
            </w:r>
            <w:r w:rsidR="00202BE8" w:rsidRPr="002751FC">
              <w:rPr>
                <w:webHidden/>
                <w:lang w:val="ro-MD"/>
              </w:rPr>
            </w:r>
            <w:r w:rsidR="00202BE8" w:rsidRPr="002751FC">
              <w:rPr>
                <w:webHidden/>
                <w:lang w:val="ro-MD"/>
              </w:rPr>
              <w:fldChar w:fldCharType="separate"/>
            </w:r>
            <w:r w:rsidR="0082388F">
              <w:rPr>
                <w:webHidden/>
                <w:lang w:val="ro-MD"/>
              </w:rPr>
              <w:t>25</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97" w:history="1">
            <w:r w:rsidR="00202BE8" w:rsidRPr="002751FC">
              <w:rPr>
                <w:rStyle w:val="af"/>
                <w:lang w:val="ro-MD"/>
              </w:rPr>
              <w:t>4.2. Activitatea Consiliului s-a desfășurat cu nerespectarea prevederilor cadrului regulator.</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_Toc23259097 \h </w:instrText>
            </w:r>
            <w:r w:rsidR="00202BE8" w:rsidRPr="002751FC">
              <w:rPr>
                <w:webHidden/>
                <w:lang w:val="ro-MD"/>
              </w:rPr>
            </w:r>
            <w:r w:rsidR="00202BE8" w:rsidRPr="002751FC">
              <w:rPr>
                <w:webHidden/>
                <w:lang w:val="ro-MD"/>
              </w:rPr>
              <w:fldChar w:fldCharType="separate"/>
            </w:r>
            <w:r w:rsidR="0082388F">
              <w:rPr>
                <w:webHidden/>
                <w:lang w:val="ro-MD"/>
              </w:rPr>
              <w:t>26</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098" w:history="1">
            <w:r w:rsidR="00202BE8" w:rsidRPr="002751FC">
              <w:rPr>
                <w:rStyle w:val="af"/>
                <w:lang w:val="ro-MD"/>
              </w:rPr>
              <w:t xml:space="preserve">4.2.1. Consiliul de </w:t>
            </w:r>
            <w:r w:rsidR="00F345E3">
              <w:rPr>
                <w:rStyle w:val="af"/>
                <w:lang w:val="ro-MD"/>
              </w:rPr>
              <w:t>c</w:t>
            </w:r>
            <w:r w:rsidR="00202BE8" w:rsidRPr="002751FC">
              <w:rPr>
                <w:rStyle w:val="af"/>
                <w:lang w:val="ro-MD"/>
              </w:rPr>
              <w:t>oordonare a adoptat unele decizii în lipsă de cvorum.</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_Toc23259098 \h </w:instrText>
            </w:r>
            <w:r w:rsidR="00202BE8" w:rsidRPr="002751FC">
              <w:rPr>
                <w:webHidden/>
                <w:lang w:val="ro-MD"/>
              </w:rPr>
            </w:r>
            <w:r w:rsidR="00202BE8" w:rsidRPr="002751FC">
              <w:rPr>
                <w:webHidden/>
                <w:lang w:val="ro-MD"/>
              </w:rPr>
              <w:fldChar w:fldCharType="separate"/>
            </w:r>
            <w:r w:rsidR="0082388F">
              <w:rPr>
                <w:webHidden/>
                <w:lang w:val="ro-MD"/>
              </w:rPr>
              <w:t>26</w:t>
            </w:r>
            <w:r w:rsidR="00202BE8" w:rsidRPr="002751FC">
              <w:rPr>
                <w:webHidden/>
                <w:lang w:val="ro-MD"/>
              </w:rPr>
              <w:fldChar w:fldCharType="end"/>
            </w:r>
          </w:hyperlink>
        </w:p>
        <w:p w:rsidR="00202BE8" w:rsidRPr="002751FC" w:rsidRDefault="00540171">
          <w:pPr>
            <w:pStyle w:val="13"/>
            <w:tabs>
              <w:tab w:val="left" w:pos="880"/>
            </w:tabs>
            <w:rPr>
              <w:rFonts w:asciiTheme="minorHAnsi" w:eastAsiaTheme="minorEastAsia" w:hAnsiTheme="minorHAnsi" w:cstheme="minorBidi"/>
              <w:b w:val="0"/>
              <w:lang w:val="ro-MD"/>
            </w:rPr>
          </w:pPr>
          <w:hyperlink w:anchor="_Toc23259099" w:history="1">
            <w:r w:rsidR="00202BE8" w:rsidRPr="002751FC">
              <w:rPr>
                <w:rStyle w:val="af"/>
                <w:lang w:val="ro-MD"/>
              </w:rPr>
              <w:t>4.2.2.</w:t>
            </w:r>
            <w:r w:rsidR="00202BE8" w:rsidRPr="002751FC">
              <w:rPr>
                <w:rFonts w:asciiTheme="minorHAnsi" w:eastAsiaTheme="minorEastAsia" w:hAnsiTheme="minorHAnsi" w:cstheme="minorBidi"/>
                <w:b w:val="0"/>
                <w:lang w:val="ro-MD"/>
              </w:rPr>
              <w:tab/>
            </w:r>
            <w:r w:rsidR="00202BE8" w:rsidRPr="002751FC">
              <w:rPr>
                <w:rStyle w:val="af"/>
                <w:lang w:val="ro-MD"/>
              </w:rPr>
              <w:t>Carențele în cadrul legal au condiționat imposibilitatea desemnării tuturor membrilor CC</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_Toc23259099 \h </w:instrText>
            </w:r>
            <w:r w:rsidR="00202BE8" w:rsidRPr="002751FC">
              <w:rPr>
                <w:webHidden/>
                <w:lang w:val="ro-MD"/>
              </w:rPr>
            </w:r>
            <w:r w:rsidR="00202BE8" w:rsidRPr="002751FC">
              <w:rPr>
                <w:webHidden/>
                <w:lang w:val="ro-MD"/>
              </w:rPr>
              <w:fldChar w:fldCharType="separate"/>
            </w:r>
            <w:r w:rsidR="0082388F">
              <w:rPr>
                <w:webHidden/>
                <w:lang w:val="ro-MD"/>
              </w:rPr>
              <w:t>26</w:t>
            </w:r>
            <w:r w:rsidR="00202BE8" w:rsidRPr="002751FC">
              <w:rPr>
                <w:webHidden/>
                <w:lang w:val="ro-MD"/>
              </w:rPr>
              <w:fldChar w:fldCharType="end"/>
            </w:r>
          </w:hyperlink>
        </w:p>
        <w:p w:rsidR="00202BE8" w:rsidRPr="002751FC" w:rsidRDefault="00540171">
          <w:pPr>
            <w:pStyle w:val="13"/>
            <w:tabs>
              <w:tab w:val="left" w:pos="880"/>
            </w:tabs>
            <w:rPr>
              <w:rFonts w:asciiTheme="minorHAnsi" w:eastAsiaTheme="minorEastAsia" w:hAnsiTheme="minorHAnsi" w:cstheme="minorBidi"/>
              <w:b w:val="0"/>
              <w:lang w:val="ro-MD"/>
            </w:rPr>
          </w:pPr>
          <w:hyperlink w:anchor="_Toc23259100" w:history="1">
            <w:r w:rsidR="00202BE8" w:rsidRPr="002751FC">
              <w:rPr>
                <w:rStyle w:val="af"/>
                <w:lang w:val="ro-MD"/>
              </w:rPr>
              <w:t>4.2.3.</w:t>
            </w:r>
            <w:r w:rsidR="00202BE8" w:rsidRPr="002751FC">
              <w:rPr>
                <w:rFonts w:asciiTheme="minorHAnsi" w:eastAsiaTheme="minorEastAsia" w:hAnsiTheme="minorHAnsi" w:cstheme="minorBidi"/>
                <w:b w:val="0"/>
                <w:lang w:val="ro-MD"/>
              </w:rPr>
              <w:tab/>
            </w:r>
            <w:r w:rsidR="00202BE8" w:rsidRPr="002751FC">
              <w:rPr>
                <w:rStyle w:val="af"/>
                <w:lang w:val="ro-MD"/>
              </w:rPr>
              <w:t xml:space="preserve">Consiliul de </w:t>
            </w:r>
            <w:r w:rsidR="00F345E3">
              <w:rPr>
                <w:rStyle w:val="af"/>
                <w:lang w:val="ro-MD"/>
              </w:rPr>
              <w:t>c</w:t>
            </w:r>
            <w:r w:rsidR="00202BE8" w:rsidRPr="002751FC">
              <w:rPr>
                <w:rStyle w:val="af"/>
                <w:lang w:val="ro-MD"/>
              </w:rPr>
              <w:t>oordonare nu are un Președinte permanent, acesta fiind ales în cadrul fiecărei ședințe</w:t>
            </w:r>
            <w:r w:rsidR="00CC01F2" w:rsidRPr="002751FC">
              <w:rPr>
                <w:rStyle w:val="af"/>
                <w:lang w:val="ro-MD"/>
              </w:rPr>
              <w:t>......</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_Toc23259100 \h </w:instrText>
            </w:r>
            <w:r w:rsidR="00202BE8" w:rsidRPr="002751FC">
              <w:rPr>
                <w:webHidden/>
                <w:lang w:val="ro-MD"/>
              </w:rPr>
            </w:r>
            <w:r w:rsidR="00202BE8" w:rsidRPr="002751FC">
              <w:rPr>
                <w:webHidden/>
                <w:lang w:val="ro-MD"/>
              </w:rPr>
              <w:fldChar w:fldCharType="separate"/>
            </w:r>
            <w:r w:rsidR="0082388F">
              <w:rPr>
                <w:webHidden/>
                <w:lang w:val="ro-MD"/>
              </w:rPr>
              <w:t>27</w:t>
            </w:r>
            <w:r w:rsidR="00202BE8" w:rsidRPr="002751FC">
              <w:rPr>
                <w:webHidden/>
                <w:lang w:val="ro-MD"/>
              </w:rPr>
              <w:fldChar w:fldCharType="end"/>
            </w:r>
          </w:hyperlink>
        </w:p>
        <w:p w:rsidR="00202BE8" w:rsidRPr="002751FC" w:rsidRDefault="00540171">
          <w:pPr>
            <w:pStyle w:val="13"/>
            <w:tabs>
              <w:tab w:val="left" w:pos="880"/>
            </w:tabs>
            <w:rPr>
              <w:rFonts w:asciiTheme="minorHAnsi" w:eastAsiaTheme="minorEastAsia" w:hAnsiTheme="minorHAnsi" w:cstheme="minorBidi"/>
              <w:b w:val="0"/>
              <w:lang w:val="ro-MD"/>
            </w:rPr>
          </w:pPr>
          <w:hyperlink w:anchor="_Toc23259101" w:history="1">
            <w:r w:rsidR="00202BE8" w:rsidRPr="002751FC">
              <w:rPr>
                <w:rStyle w:val="af"/>
                <w:lang w:val="ro-MD"/>
              </w:rPr>
              <w:t>4.2.4.</w:t>
            </w:r>
            <w:r w:rsidR="00202BE8" w:rsidRPr="002751FC">
              <w:rPr>
                <w:rFonts w:asciiTheme="minorHAnsi" w:eastAsiaTheme="minorEastAsia" w:hAnsiTheme="minorHAnsi" w:cstheme="minorBidi"/>
                <w:b w:val="0"/>
                <w:lang w:val="ro-MD"/>
              </w:rPr>
              <w:tab/>
            </w:r>
            <w:r w:rsidR="00202BE8" w:rsidRPr="002751FC">
              <w:rPr>
                <w:rStyle w:val="af"/>
                <w:lang w:val="ro-MD"/>
              </w:rPr>
              <w:t>Structura și efectivul-limită ale ONVV au fost aprobate cu derogare de la cadrul normativ</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_Toc23259101 \h </w:instrText>
            </w:r>
            <w:r w:rsidR="00202BE8" w:rsidRPr="002751FC">
              <w:rPr>
                <w:webHidden/>
                <w:lang w:val="ro-MD"/>
              </w:rPr>
            </w:r>
            <w:r w:rsidR="00202BE8" w:rsidRPr="002751FC">
              <w:rPr>
                <w:webHidden/>
                <w:lang w:val="ro-MD"/>
              </w:rPr>
              <w:fldChar w:fldCharType="separate"/>
            </w:r>
            <w:r w:rsidR="0082388F">
              <w:rPr>
                <w:webHidden/>
                <w:lang w:val="ro-MD"/>
              </w:rPr>
              <w:t>27</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02" w:history="1">
            <w:r w:rsidR="00202BE8" w:rsidRPr="002751FC">
              <w:rPr>
                <w:rStyle w:val="af"/>
                <w:lang w:val="ro-MD"/>
              </w:rPr>
              <w:t>4.3.</w:t>
            </w:r>
            <w:r w:rsidR="00202BE8" w:rsidRPr="002751FC">
              <w:rPr>
                <w:rFonts w:asciiTheme="minorHAnsi" w:eastAsiaTheme="minorEastAsia" w:hAnsiTheme="minorHAnsi" w:cstheme="minorBidi"/>
                <w:b w:val="0"/>
                <w:lang w:val="ro-MD"/>
              </w:rPr>
              <w:tab/>
            </w:r>
            <w:r w:rsidR="00202BE8" w:rsidRPr="002751FC">
              <w:rPr>
                <w:rStyle w:val="af"/>
                <w:lang w:val="ro-MD"/>
              </w:rPr>
              <w:t>Activitatea operațională a ONVV s-a desfășurat cu nerespectarea prevederilor cadrului regulator</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_Toc23259102 \h </w:instrText>
            </w:r>
            <w:r w:rsidR="00202BE8" w:rsidRPr="002751FC">
              <w:rPr>
                <w:webHidden/>
                <w:lang w:val="ro-MD"/>
              </w:rPr>
            </w:r>
            <w:r w:rsidR="00202BE8" w:rsidRPr="002751FC">
              <w:rPr>
                <w:webHidden/>
                <w:lang w:val="ro-MD"/>
              </w:rPr>
              <w:fldChar w:fldCharType="separate"/>
            </w:r>
            <w:r w:rsidR="0082388F">
              <w:rPr>
                <w:webHidden/>
                <w:lang w:val="ro-MD"/>
              </w:rPr>
              <w:t>28</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03" w:history="1">
            <w:r w:rsidR="00202BE8" w:rsidRPr="002751FC">
              <w:rPr>
                <w:rStyle w:val="af"/>
                <w:lang w:val="ro-MD"/>
              </w:rPr>
              <w:t>4.3.1. Acordarea sporurilor angajaţilor ONVV a fost efectuată cu abateri de la cadrul regulator</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_Toc23259103 \h </w:instrText>
            </w:r>
            <w:r w:rsidR="00202BE8" w:rsidRPr="002751FC">
              <w:rPr>
                <w:webHidden/>
                <w:lang w:val="ro-MD"/>
              </w:rPr>
            </w:r>
            <w:r w:rsidR="00202BE8" w:rsidRPr="002751FC">
              <w:rPr>
                <w:webHidden/>
                <w:lang w:val="ro-MD"/>
              </w:rPr>
              <w:fldChar w:fldCharType="separate"/>
            </w:r>
            <w:r w:rsidR="0082388F">
              <w:rPr>
                <w:webHidden/>
                <w:lang w:val="ro-MD"/>
              </w:rPr>
              <w:t>28</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04" w:history="1">
            <w:r w:rsidR="00202BE8" w:rsidRPr="002751FC">
              <w:rPr>
                <w:rStyle w:val="af"/>
                <w:lang w:val="ro-MD"/>
              </w:rPr>
              <w:t>4.3.1.1.Acordarea sporului lunar în mărime de 15% s-a efectuat în lipsa unor criterii și indicatori măsurabili</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_Toc23259104 \h </w:instrText>
            </w:r>
            <w:r w:rsidR="00202BE8" w:rsidRPr="002751FC">
              <w:rPr>
                <w:webHidden/>
                <w:lang w:val="ro-MD"/>
              </w:rPr>
            </w:r>
            <w:r w:rsidR="00202BE8" w:rsidRPr="002751FC">
              <w:rPr>
                <w:webHidden/>
                <w:lang w:val="ro-MD"/>
              </w:rPr>
              <w:fldChar w:fldCharType="separate"/>
            </w:r>
            <w:r w:rsidR="0082388F">
              <w:rPr>
                <w:webHidden/>
                <w:lang w:val="ro-MD"/>
              </w:rPr>
              <w:t>29</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05" w:history="1">
            <w:r w:rsidR="00202BE8" w:rsidRPr="002751FC">
              <w:rPr>
                <w:rStyle w:val="af"/>
                <w:lang w:val="ro-MD"/>
              </w:rPr>
              <w:t>4.3.1.2.</w:t>
            </w:r>
            <w:r w:rsidR="00E033B9">
              <w:rPr>
                <w:rStyle w:val="af"/>
                <w:lang w:val="ro-MD"/>
              </w:rPr>
              <w:t xml:space="preserve"> </w:t>
            </w:r>
            <w:r w:rsidR="00202BE8" w:rsidRPr="002751FC">
              <w:rPr>
                <w:rStyle w:val="af"/>
                <w:rFonts w:eastAsia="Times New Roman"/>
                <w:lang w:val="ro-MD" w:eastAsia="ro-RO"/>
              </w:rPr>
              <w:t>Acordarea sporului pentru performanță individuală s-a efectuat în lipsa unor obiective stabilite pentru fiecare angajat</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_Toc23259105 \h </w:instrText>
            </w:r>
            <w:r w:rsidR="00202BE8" w:rsidRPr="002751FC">
              <w:rPr>
                <w:webHidden/>
                <w:lang w:val="ro-MD"/>
              </w:rPr>
            </w:r>
            <w:r w:rsidR="00202BE8" w:rsidRPr="002751FC">
              <w:rPr>
                <w:webHidden/>
                <w:lang w:val="ro-MD"/>
              </w:rPr>
              <w:fldChar w:fldCharType="separate"/>
            </w:r>
            <w:r w:rsidR="0082388F">
              <w:rPr>
                <w:webHidden/>
                <w:lang w:val="ro-MD"/>
              </w:rPr>
              <w:t>30</w:t>
            </w:r>
            <w:r w:rsidR="00202BE8" w:rsidRPr="002751FC">
              <w:rPr>
                <w:webHidden/>
                <w:lang w:val="ro-MD"/>
              </w:rPr>
              <w:fldChar w:fldCharType="end"/>
            </w:r>
          </w:hyperlink>
        </w:p>
        <w:p w:rsidR="00202BE8" w:rsidRPr="002751FC" w:rsidRDefault="00540171">
          <w:pPr>
            <w:pStyle w:val="13"/>
            <w:tabs>
              <w:tab w:val="left" w:pos="880"/>
            </w:tabs>
            <w:rPr>
              <w:rFonts w:asciiTheme="minorHAnsi" w:eastAsiaTheme="minorEastAsia" w:hAnsiTheme="minorHAnsi" w:cstheme="minorBidi"/>
              <w:b w:val="0"/>
              <w:lang w:val="ro-MD"/>
            </w:rPr>
          </w:pPr>
          <w:hyperlink w:anchor="_Toc23259106" w:history="1">
            <w:r w:rsidR="00202BE8" w:rsidRPr="002751FC">
              <w:rPr>
                <w:rStyle w:val="af"/>
                <w:lang w:val="ro-MD"/>
              </w:rPr>
              <w:t>4.3.2.</w:t>
            </w:r>
            <w:r w:rsidR="00202BE8" w:rsidRPr="002751FC">
              <w:rPr>
                <w:rFonts w:asciiTheme="minorHAnsi" w:eastAsiaTheme="minorEastAsia" w:hAnsiTheme="minorHAnsi" w:cstheme="minorBidi"/>
                <w:b w:val="0"/>
                <w:lang w:val="ro-MD"/>
              </w:rPr>
              <w:tab/>
            </w:r>
            <w:r w:rsidR="00202BE8" w:rsidRPr="002751FC">
              <w:rPr>
                <w:rStyle w:val="af"/>
                <w:lang w:val="ro-MD"/>
              </w:rPr>
              <w:t>ONVV nu respectă normele regulatorii la emiterea ordinelor cu privire la retribuirea muncii salariaților</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_Toc23259106 \h </w:instrText>
            </w:r>
            <w:r w:rsidR="00202BE8" w:rsidRPr="002751FC">
              <w:rPr>
                <w:webHidden/>
                <w:lang w:val="ro-MD"/>
              </w:rPr>
            </w:r>
            <w:r w:rsidR="00202BE8" w:rsidRPr="002751FC">
              <w:rPr>
                <w:webHidden/>
                <w:lang w:val="ro-MD"/>
              </w:rPr>
              <w:fldChar w:fldCharType="separate"/>
            </w:r>
            <w:r w:rsidR="0082388F">
              <w:rPr>
                <w:webHidden/>
                <w:lang w:val="ro-MD"/>
              </w:rPr>
              <w:t>31</w:t>
            </w:r>
            <w:r w:rsidR="00202BE8" w:rsidRPr="002751FC">
              <w:rPr>
                <w:webHidden/>
                <w:lang w:val="ro-MD"/>
              </w:rPr>
              <w:fldChar w:fldCharType="end"/>
            </w:r>
          </w:hyperlink>
        </w:p>
        <w:p w:rsidR="00202BE8" w:rsidRPr="002751FC" w:rsidRDefault="00540171">
          <w:pPr>
            <w:pStyle w:val="13"/>
            <w:tabs>
              <w:tab w:val="left" w:pos="880"/>
            </w:tabs>
            <w:rPr>
              <w:rFonts w:asciiTheme="minorHAnsi" w:eastAsiaTheme="minorEastAsia" w:hAnsiTheme="minorHAnsi" w:cstheme="minorBidi"/>
              <w:b w:val="0"/>
              <w:lang w:val="ro-MD"/>
            </w:rPr>
          </w:pPr>
          <w:hyperlink w:anchor="_Toc23259107" w:history="1">
            <w:r w:rsidR="00202BE8" w:rsidRPr="002751FC">
              <w:rPr>
                <w:rStyle w:val="af"/>
                <w:lang w:val="ro-MD"/>
              </w:rPr>
              <w:t>4.3.3.</w:t>
            </w:r>
            <w:r w:rsidR="00202BE8" w:rsidRPr="002751FC">
              <w:rPr>
                <w:rFonts w:asciiTheme="minorHAnsi" w:eastAsiaTheme="minorEastAsia" w:hAnsiTheme="minorHAnsi" w:cstheme="minorBidi"/>
                <w:b w:val="0"/>
                <w:lang w:val="ro-MD"/>
              </w:rPr>
              <w:tab/>
            </w:r>
            <w:r w:rsidR="00202BE8" w:rsidRPr="002751FC">
              <w:rPr>
                <w:rStyle w:val="af"/>
                <w:lang w:val="ro-MD"/>
              </w:rPr>
              <w:t>ONVV nu are o abordare unică în selectarea și angajarea salariaților.</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_Toc23259107 \h </w:instrText>
            </w:r>
            <w:r w:rsidR="00202BE8" w:rsidRPr="002751FC">
              <w:rPr>
                <w:webHidden/>
                <w:lang w:val="ro-MD"/>
              </w:rPr>
            </w:r>
            <w:r w:rsidR="00202BE8" w:rsidRPr="002751FC">
              <w:rPr>
                <w:webHidden/>
                <w:lang w:val="ro-MD"/>
              </w:rPr>
              <w:fldChar w:fldCharType="separate"/>
            </w:r>
            <w:r w:rsidR="0082388F">
              <w:rPr>
                <w:webHidden/>
                <w:lang w:val="ro-MD"/>
              </w:rPr>
              <w:t>32</w:t>
            </w:r>
            <w:r w:rsidR="00202BE8" w:rsidRPr="002751FC">
              <w:rPr>
                <w:webHidden/>
                <w:lang w:val="ro-MD"/>
              </w:rPr>
              <w:fldChar w:fldCharType="end"/>
            </w:r>
          </w:hyperlink>
        </w:p>
        <w:p w:rsidR="00202BE8" w:rsidRPr="002751FC" w:rsidRDefault="00540171">
          <w:pPr>
            <w:pStyle w:val="13"/>
            <w:tabs>
              <w:tab w:val="left" w:pos="880"/>
            </w:tabs>
            <w:rPr>
              <w:rFonts w:asciiTheme="minorHAnsi" w:eastAsiaTheme="minorEastAsia" w:hAnsiTheme="minorHAnsi" w:cstheme="minorBidi"/>
              <w:b w:val="0"/>
              <w:lang w:val="ro-MD"/>
            </w:rPr>
          </w:pPr>
          <w:hyperlink w:anchor="_Toc23259108" w:history="1">
            <w:r w:rsidR="00202BE8" w:rsidRPr="002751FC">
              <w:rPr>
                <w:rStyle w:val="af"/>
                <w:lang w:val="ro-MD"/>
              </w:rPr>
              <w:t>4.3.4.</w:t>
            </w:r>
            <w:r w:rsidR="00202BE8" w:rsidRPr="002751FC">
              <w:rPr>
                <w:rFonts w:asciiTheme="minorHAnsi" w:eastAsiaTheme="minorEastAsia" w:hAnsiTheme="minorHAnsi" w:cstheme="minorBidi"/>
                <w:b w:val="0"/>
                <w:lang w:val="ro-MD"/>
              </w:rPr>
              <w:tab/>
            </w:r>
            <w:r w:rsidR="00202BE8" w:rsidRPr="002751FC">
              <w:rPr>
                <w:rStyle w:val="af"/>
                <w:lang w:val="ro-MD"/>
              </w:rPr>
              <w:t>Angajații ONVV nu au folosit integral concediile anuale de odihnă</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_Toc23259108 \h </w:instrText>
            </w:r>
            <w:r w:rsidR="00202BE8" w:rsidRPr="002751FC">
              <w:rPr>
                <w:webHidden/>
                <w:lang w:val="ro-MD"/>
              </w:rPr>
            </w:r>
            <w:r w:rsidR="00202BE8" w:rsidRPr="002751FC">
              <w:rPr>
                <w:webHidden/>
                <w:lang w:val="ro-MD"/>
              </w:rPr>
              <w:fldChar w:fldCharType="separate"/>
            </w:r>
            <w:r w:rsidR="0082388F">
              <w:rPr>
                <w:webHidden/>
                <w:lang w:val="ro-MD"/>
              </w:rPr>
              <w:t>33</w:t>
            </w:r>
            <w:r w:rsidR="00202BE8" w:rsidRPr="002751FC">
              <w:rPr>
                <w:webHidden/>
                <w:lang w:val="ro-MD"/>
              </w:rPr>
              <w:fldChar w:fldCharType="end"/>
            </w:r>
          </w:hyperlink>
        </w:p>
        <w:p w:rsidR="00202BE8" w:rsidRPr="002751FC" w:rsidRDefault="00540171">
          <w:pPr>
            <w:pStyle w:val="13"/>
            <w:tabs>
              <w:tab w:val="left" w:pos="880"/>
            </w:tabs>
            <w:rPr>
              <w:rFonts w:asciiTheme="minorHAnsi" w:eastAsiaTheme="minorEastAsia" w:hAnsiTheme="minorHAnsi" w:cstheme="minorBidi"/>
              <w:b w:val="0"/>
              <w:lang w:val="ro-MD"/>
            </w:rPr>
          </w:pPr>
          <w:hyperlink w:anchor="_Toc23259109" w:history="1">
            <w:r w:rsidR="00202BE8" w:rsidRPr="002751FC">
              <w:rPr>
                <w:rStyle w:val="af"/>
                <w:lang w:val="ro-MD"/>
              </w:rPr>
              <w:t>4.3.5.</w:t>
            </w:r>
            <w:r w:rsidR="00202BE8" w:rsidRPr="002751FC">
              <w:rPr>
                <w:rFonts w:asciiTheme="minorHAnsi" w:eastAsiaTheme="minorEastAsia" w:hAnsiTheme="minorHAnsi" w:cstheme="minorBidi"/>
                <w:b w:val="0"/>
                <w:lang w:val="ro-MD"/>
              </w:rPr>
              <w:tab/>
            </w:r>
            <w:r w:rsidR="00202BE8" w:rsidRPr="002751FC">
              <w:rPr>
                <w:rStyle w:val="af"/>
                <w:lang w:val="ro-MD"/>
              </w:rPr>
              <w:t>Lipsa unor prevederi exhaustive privitor la nivelul maxim al salariului tarifar pentru categoria I de salarizare cauzează suportarea cheltuielilor neargumentate de către instituțiile publice cu autonomie financiară finanțate integral de la bugetul de stat</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_Toc23259109 \h </w:instrText>
            </w:r>
            <w:r w:rsidR="00202BE8" w:rsidRPr="002751FC">
              <w:rPr>
                <w:webHidden/>
                <w:lang w:val="ro-MD"/>
              </w:rPr>
            </w:r>
            <w:r w:rsidR="00202BE8" w:rsidRPr="002751FC">
              <w:rPr>
                <w:webHidden/>
                <w:lang w:val="ro-MD"/>
              </w:rPr>
              <w:fldChar w:fldCharType="separate"/>
            </w:r>
            <w:r w:rsidR="0082388F">
              <w:rPr>
                <w:webHidden/>
                <w:lang w:val="ro-MD"/>
              </w:rPr>
              <w:t>33</w:t>
            </w:r>
            <w:r w:rsidR="00202BE8" w:rsidRPr="002751FC">
              <w:rPr>
                <w:webHidden/>
                <w:lang w:val="ro-MD"/>
              </w:rPr>
              <w:fldChar w:fldCharType="end"/>
            </w:r>
          </w:hyperlink>
        </w:p>
        <w:p w:rsidR="00202BE8" w:rsidRPr="002751FC" w:rsidRDefault="00540171">
          <w:pPr>
            <w:pStyle w:val="13"/>
            <w:tabs>
              <w:tab w:val="left" w:pos="880"/>
            </w:tabs>
            <w:rPr>
              <w:rFonts w:asciiTheme="minorHAnsi" w:eastAsiaTheme="minorEastAsia" w:hAnsiTheme="minorHAnsi" w:cstheme="minorBidi"/>
              <w:b w:val="0"/>
              <w:lang w:val="ro-MD"/>
            </w:rPr>
          </w:pPr>
          <w:hyperlink w:anchor="_Toc23259110" w:history="1">
            <w:r w:rsidR="00202BE8" w:rsidRPr="002751FC">
              <w:rPr>
                <w:rStyle w:val="af"/>
                <w:lang w:val="ro-MD"/>
              </w:rPr>
              <w:t>4.3.6.</w:t>
            </w:r>
            <w:r w:rsidR="00202BE8" w:rsidRPr="002751FC">
              <w:rPr>
                <w:rFonts w:asciiTheme="minorHAnsi" w:eastAsiaTheme="minorEastAsia" w:hAnsiTheme="minorHAnsi" w:cstheme="minorBidi"/>
                <w:b w:val="0"/>
                <w:lang w:val="ro-MD"/>
              </w:rPr>
              <w:tab/>
            </w:r>
            <w:r w:rsidR="00202BE8" w:rsidRPr="002751FC">
              <w:rPr>
                <w:rStyle w:val="af"/>
                <w:lang w:val="ro-MD"/>
              </w:rPr>
              <w:t>ONVV a achitat nejustificat studiile de doctorat ale unui angajat.</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_Toc23259110 \h </w:instrText>
            </w:r>
            <w:r w:rsidR="00202BE8" w:rsidRPr="002751FC">
              <w:rPr>
                <w:webHidden/>
                <w:lang w:val="ro-MD"/>
              </w:rPr>
            </w:r>
            <w:r w:rsidR="00202BE8" w:rsidRPr="002751FC">
              <w:rPr>
                <w:webHidden/>
                <w:lang w:val="ro-MD"/>
              </w:rPr>
              <w:fldChar w:fldCharType="separate"/>
            </w:r>
            <w:r w:rsidR="0082388F">
              <w:rPr>
                <w:webHidden/>
                <w:lang w:val="ro-MD"/>
              </w:rPr>
              <w:t>35</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11" w:history="1">
            <w:r w:rsidR="00202BE8" w:rsidRPr="002751FC">
              <w:rPr>
                <w:rStyle w:val="af"/>
                <w:rFonts w:eastAsia="Times New Roman"/>
                <w:lang w:val="ro-MD" w:eastAsia="ro-RO"/>
              </w:rPr>
              <w:t>4.3.7</w:t>
            </w:r>
            <w:r w:rsidR="00765F14">
              <w:rPr>
                <w:rStyle w:val="af"/>
                <w:rFonts w:eastAsia="Times New Roman"/>
                <w:lang w:val="ro-MD" w:eastAsia="ro-RO"/>
              </w:rPr>
              <w:t>.</w:t>
            </w:r>
            <w:r w:rsidR="00202BE8" w:rsidRPr="002751FC">
              <w:rPr>
                <w:rStyle w:val="af"/>
                <w:rFonts w:eastAsia="Times New Roman"/>
                <w:lang w:val="ro-MD" w:eastAsia="ro-RO"/>
              </w:rPr>
              <w:t xml:space="preserve"> ONVV a suportat cheltuieli nejustificate pentru deplasări peste hotare</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_Toc23259111 \h </w:instrText>
            </w:r>
            <w:r w:rsidR="00202BE8" w:rsidRPr="002751FC">
              <w:rPr>
                <w:webHidden/>
                <w:lang w:val="ro-MD"/>
              </w:rPr>
            </w:r>
            <w:r w:rsidR="00202BE8" w:rsidRPr="002751FC">
              <w:rPr>
                <w:webHidden/>
                <w:lang w:val="ro-MD"/>
              </w:rPr>
              <w:fldChar w:fldCharType="separate"/>
            </w:r>
            <w:r w:rsidR="0082388F">
              <w:rPr>
                <w:webHidden/>
                <w:lang w:val="ro-MD"/>
              </w:rPr>
              <w:t>36</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12" w:history="1">
            <w:r w:rsidR="00202BE8" w:rsidRPr="002751FC">
              <w:rPr>
                <w:rStyle w:val="af"/>
                <w:rFonts w:eastAsia="Times New Roman"/>
                <w:lang w:val="ro-MD" w:eastAsia="ro-RO"/>
              </w:rPr>
              <w:t>4.3.8. ONVV nu a asigurat întocmirea documentației necesare pentru primirea delegaților străine, precum și a suportat nejustificat unele cheltuieli privind primirea şi deservirea delegațiilor şi persoanelor oficiale străine</w:t>
            </w:r>
            <w:r w:rsidR="00202BE8" w:rsidRPr="002751FC">
              <w:rPr>
                <w:webHidden/>
                <w:lang w:val="ro-MD"/>
              </w:rPr>
              <w:tab/>
            </w:r>
            <w:r w:rsidR="00CC01F2" w:rsidRPr="002751FC">
              <w:rPr>
                <w:webHidden/>
                <w:lang w:val="ro-MD"/>
              </w:rPr>
              <w:t>..........................................................................................................................................................................</w:t>
            </w:r>
            <w:r w:rsidR="00202BE8" w:rsidRPr="002751FC">
              <w:rPr>
                <w:webHidden/>
                <w:lang w:val="ro-MD"/>
              </w:rPr>
              <w:fldChar w:fldCharType="begin"/>
            </w:r>
            <w:r w:rsidR="00202BE8" w:rsidRPr="002751FC">
              <w:rPr>
                <w:webHidden/>
                <w:lang w:val="ro-MD"/>
              </w:rPr>
              <w:instrText xml:space="preserve"> PAGEREF _Toc23259112 \h </w:instrText>
            </w:r>
            <w:r w:rsidR="00202BE8" w:rsidRPr="002751FC">
              <w:rPr>
                <w:webHidden/>
                <w:lang w:val="ro-MD"/>
              </w:rPr>
            </w:r>
            <w:r w:rsidR="00202BE8" w:rsidRPr="002751FC">
              <w:rPr>
                <w:webHidden/>
                <w:lang w:val="ro-MD"/>
              </w:rPr>
              <w:fldChar w:fldCharType="separate"/>
            </w:r>
            <w:r w:rsidR="0082388F">
              <w:rPr>
                <w:webHidden/>
                <w:lang w:val="ro-MD"/>
              </w:rPr>
              <w:t>37</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13" w:history="1">
            <w:r w:rsidR="00202BE8" w:rsidRPr="002751FC">
              <w:rPr>
                <w:rStyle w:val="af"/>
                <w:lang w:val="ro-MD"/>
              </w:rPr>
              <w:t>4.3.9. ONVV a achiziționat unele bunuri şi servicii cu încălcarea prevederilor cadrului legal</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_Toc23259113 \h </w:instrText>
            </w:r>
            <w:r w:rsidR="00202BE8" w:rsidRPr="002751FC">
              <w:rPr>
                <w:webHidden/>
                <w:lang w:val="ro-MD"/>
              </w:rPr>
            </w:r>
            <w:r w:rsidR="00202BE8" w:rsidRPr="002751FC">
              <w:rPr>
                <w:webHidden/>
                <w:lang w:val="ro-MD"/>
              </w:rPr>
              <w:fldChar w:fldCharType="separate"/>
            </w:r>
            <w:r w:rsidR="0082388F">
              <w:rPr>
                <w:webHidden/>
                <w:lang w:val="ro-MD"/>
              </w:rPr>
              <w:t>39</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14" w:history="1">
            <w:r w:rsidR="00202BE8" w:rsidRPr="002751FC">
              <w:rPr>
                <w:rStyle w:val="af"/>
                <w:lang w:val="ro-MD"/>
              </w:rPr>
              <w:t>4.4. Imperfecțiunea mecanismului de gestionare a colectării și evidenței contribuțiilor și penalităților în FVV, precum și urmăririi datoriilor către Fond, stabilite de actualul cadru normativ în vigoare, a cauzat faptul că acestea, pe parcursul mai multor ani, au fost gestionate segmentat de diferiți actori, nefiind întreprinse măsuri suficiente pentru colectarea restanțelor față de FVV</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_Toc23259114 \h </w:instrText>
            </w:r>
            <w:r w:rsidR="00202BE8" w:rsidRPr="002751FC">
              <w:rPr>
                <w:webHidden/>
                <w:lang w:val="ro-MD"/>
              </w:rPr>
            </w:r>
            <w:r w:rsidR="00202BE8" w:rsidRPr="002751FC">
              <w:rPr>
                <w:webHidden/>
                <w:lang w:val="ro-MD"/>
              </w:rPr>
              <w:fldChar w:fldCharType="separate"/>
            </w:r>
            <w:r w:rsidR="0082388F">
              <w:rPr>
                <w:webHidden/>
                <w:lang w:val="ro-MD"/>
              </w:rPr>
              <w:t>40</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15" w:history="1">
            <w:r w:rsidR="00202BE8" w:rsidRPr="002751FC">
              <w:rPr>
                <w:rStyle w:val="af"/>
                <w:bCs/>
                <w:iCs/>
                <w:lang w:val="ro-MD"/>
              </w:rPr>
              <w:t>4.4.1. Mecanismul creat pentru calcularea și achitarea contribuțiilor producătorilor sectorului vitivinicol în FVV este unul dificil de realizat atât pentru SFS, cât si pentru ONVV, ceea ce nu a permis administrarea acestor plăți conform prevederilor stabilite</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_Toc23259115 \h </w:instrText>
            </w:r>
            <w:r w:rsidR="00202BE8" w:rsidRPr="002751FC">
              <w:rPr>
                <w:webHidden/>
                <w:lang w:val="ro-MD"/>
              </w:rPr>
            </w:r>
            <w:r w:rsidR="00202BE8" w:rsidRPr="002751FC">
              <w:rPr>
                <w:webHidden/>
                <w:lang w:val="ro-MD"/>
              </w:rPr>
              <w:fldChar w:fldCharType="separate"/>
            </w:r>
            <w:r w:rsidR="0082388F">
              <w:rPr>
                <w:webHidden/>
                <w:lang w:val="ro-MD"/>
              </w:rPr>
              <w:t>40</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16" w:history="1">
            <w:r w:rsidR="00202BE8" w:rsidRPr="002751FC">
              <w:rPr>
                <w:rStyle w:val="af"/>
                <w:rFonts w:eastAsia="Times New Roman"/>
                <w:lang w:val="ro-MD"/>
              </w:rPr>
              <w:t>4.4.2. Ținerea evidenţei contribuabililor și contribuțiilor obligatorii în FVV este efectuată cu nerespectarea cadrului regulator</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_Toc23259116 \h </w:instrText>
            </w:r>
            <w:r w:rsidR="00202BE8" w:rsidRPr="002751FC">
              <w:rPr>
                <w:webHidden/>
                <w:lang w:val="ro-MD"/>
              </w:rPr>
            </w:r>
            <w:r w:rsidR="00202BE8" w:rsidRPr="002751FC">
              <w:rPr>
                <w:webHidden/>
                <w:lang w:val="ro-MD"/>
              </w:rPr>
              <w:fldChar w:fldCharType="separate"/>
            </w:r>
            <w:r w:rsidR="0082388F">
              <w:rPr>
                <w:webHidden/>
                <w:lang w:val="ro-MD"/>
              </w:rPr>
              <w:t>42</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17" w:history="1">
            <w:r w:rsidR="00202BE8" w:rsidRPr="002751FC">
              <w:rPr>
                <w:rStyle w:val="af"/>
                <w:rFonts w:eastAsia="Times New Roman"/>
                <w:lang w:val="ro-MD"/>
              </w:rPr>
              <w:t>4.4.3. Măsurile întreprinse de SFS și ONVV privitor la colectarea restanțelor față de FVV au fost insuficiente, mărimea acestora rămânând la un nivel semnificativ</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_Toc23259117 \h </w:instrText>
            </w:r>
            <w:r w:rsidR="00202BE8" w:rsidRPr="002751FC">
              <w:rPr>
                <w:webHidden/>
                <w:lang w:val="ro-MD"/>
              </w:rPr>
            </w:r>
            <w:r w:rsidR="00202BE8" w:rsidRPr="002751FC">
              <w:rPr>
                <w:webHidden/>
                <w:lang w:val="ro-MD"/>
              </w:rPr>
              <w:fldChar w:fldCharType="separate"/>
            </w:r>
            <w:r w:rsidR="0082388F">
              <w:rPr>
                <w:webHidden/>
                <w:lang w:val="ro-MD"/>
              </w:rPr>
              <w:t>44</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18" w:history="1">
            <w:r w:rsidR="00202BE8" w:rsidRPr="002751FC">
              <w:rPr>
                <w:rStyle w:val="af"/>
                <w:lang w:val="ro-MD"/>
              </w:rPr>
              <w:t>4.4.4. ONVV nu a contabilizat restanțele la plata contribuțiilor în FVV.</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_Toc23259118 \h </w:instrText>
            </w:r>
            <w:r w:rsidR="00202BE8" w:rsidRPr="002751FC">
              <w:rPr>
                <w:webHidden/>
                <w:lang w:val="ro-MD"/>
              </w:rPr>
            </w:r>
            <w:r w:rsidR="00202BE8" w:rsidRPr="002751FC">
              <w:rPr>
                <w:webHidden/>
                <w:lang w:val="ro-MD"/>
              </w:rPr>
              <w:fldChar w:fldCharType="separate"/>
            </w:r>
            <w:r w:rsidR="0082388F">
              <w:rPr>
                <w:webHidden/>
                <w:lang w:val="ro-MD"/>
              </w:rPr>
              <w:t>46</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19" w:history="1">
            <w:r w:rsidR="00202BE8" w:rsidRPr="002751FC">
              <w:rPr>
                <w:rStyle w:val="af"/>
                <w:lang w:val="ro-MD"/>
              </w:rPr>
              <w:t>4.5.</w:t>
            </w:r>
            <w:r w:rsidR="00202BE8" w:rsidRPr="002751FC">
              <w:rPr>
                <w:rFonts w:asciiTheme="minorHAnsi" w:eastAsiaTheme="minorEastAsia" w:hAnsiTheme="minorHAnsi" w:cstheme="minorBidi"/>
                <w:b w:val="0"/>
                <w:lang w:val="ro-MD"/>
              </w:rPr>
              <w:tab/>
            </w:r>
            <w:r w:rsidR="00202BE8" w:rsidRPr="002751FC">
              <w:rPr>
                <w:rStyle w:val="af"/>
                <w:lang w:val="ro-MD"/>
              </w:rPr>
              <w:t>Gestionarea Registrului vitivinicol se realizează cu unele abateri de la prevederile cadrului normativ</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_Toc23259119 \h </w:instrText>
            </w:r>
            <w:r w:rsidR="00202BE8" w:rsidRPr="002751FC">
              <w:rPr>
                <w:webHidden/>
                <w:lang w:val="ro-MD"/>
              </w:rPr>
            </w:r>
            <w:r w:rsidR="00202BE8" w:rsidRPr="002751FC">
              <w:rPr>
                <w:webHidden/>
                <w:lang w:val="ro-MD"/>
              </w:rPr>
              <w:fldChar w:fldCharType="separate"/>
            </w:r>
            <w:r w:rsidR="0082388F">
              <w:rPr>
                <w:webHidden/>
                <w:lang w:val="ro-MD"/>
              </w:rPr>
              <w:t>46</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20" w:history="1">
            <w:r w:rsidR="00202BE8" w:rsidRPr="002751FC">
              <w:rPr>
                <w:rStyle w:val="af"/>
                <w:bCs/>
                <w:iCs/>
                <w:lang w:val="ro-MD"/>
              </w:rPr>
              <w:t>4.6.</w:t>
            </w:r>
            <w:r w:rsidR="00202BE8" w:rsidRPr="002751FC">
              <w:rPr>
                <w:rFonts w:asciiTheme="minorHAnsi" w:eastAsiaTheme="minorEastAsia" w:hAnsiTheme="minorHAnsi" w:cstheme="minorBidi"/>
                <w:b w:val="0"/>
                <w:lang w:val="ro-MD"/>
              </w:rPr>
              <w:tab/>
            </w:r>
            <w:r w:rsidR="00202BE8" w:rsidRPr="002751FC">
              <w:rPr>
                <w:rStyle w:val="af"/>
                <w:lang w:val="ro-MD"/>
              </w:rPr>
              <w:t>Deși</w:t>
            </w:r>
            <w:r w:rsidR="00202BE8" w:rsidRPr="002751FC">
              <w:rPr>
                <w:rStyle w:val="af"/>
                <w:i/>
                <w:lang w:val="ro-MD"/>
              </w:rPr>
              <w:t xml:space="preserve"> </w:t>
            </w:r>
            <w:r w:rsidR="00202BE8" w:rsidRPr="002751FC">
              <w:rPr>
                <w:rStyle w:val="af"/>
                <w:lang w:val="ro-MD"/>
              </w:rPr>
              <w:t>ONVV</w:t>
            </w:r>
            <w:r w:rsidR="00202BE8" w:rsidRPr="002751FC">
              <w:rPr>
                <w:rStyle w:val="af"/>
                <w:bCs/>
                <w:iCs/>
                <w:lang w:val="ro-MD"/>
              </w:rPr>
              <w:t xml:space="preserve"> a desfășurat </w:t>
            </w:r>
            <w:r w:rsidR="00202BE8" w:rsidRPr="002751FC">
              <w:rPr>
                <w:rStyle w:val="af"/>
                <w:lang w:val="ro-MD"/>
              </w:rPr>
              <w:t>a</w:t>
            </w:r>
            <w:r w:rsidR="00202BE8" w:rsidRPr="002751FC">
              <w:rPr>
                <w:rStyle w:val="af"/>
                <w:bCs/>
                <w:iCs/>
                <w:lang w:val="ro-MD"/>
              </w:rPr>
              <w:t>ctivități în vederea sporirii promovării imaginii produselor vinicole autohtone şi creșterii competitivității acestora atât pe piața internă, cât şi pe cea externă, acestea nu au atins rezultatele scontate, fiind necesară fortificarea activităților în acest domeniu</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_Toc23259120 \h </w:instrText>
            </w:r>
            <w:r w:rsidR="00202BE8" w:rsidRPr="002751FC">
              <w:rPr>
                <w:webHidden/>
                <w:lang w:val="ro-MD"/>
              </w:rPr>
            </w:r>
            <w:r w:rsidR="00202BE8" w:rsidRPr="002751FC">
              <w:rPr>
                <w:webHidden/>
                <w:lang w:val="ro-MD"/>
              </w:rPr>
              <w:fldChar w:fldCharType="separate"/>
            </w:r>
            <w:r w:rsidR="0082388F">
              <w:rPr>
                <w:webHidden/>
                <w:lang w:val="ro-MD"/>
              </w:rPr>
              <w:t>48</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21" w:history="1">
            <w:r w:rsidR="00202BE8" w:rsidRPr="002751FC">
              <w:rPr>
                <w:rStyle w:val="af"/>
                <w:bCs/>
                <w:iCs/>
                <w:lang w:val="ro-MD"/>
              </w:rPr>
              <w:t>4.7.</w:t>
            </w:r>
            <w:r w:rsidR="00202BE8" w:rsidRPr="002751FC">
              <w:rPr>
                <w:rFonts w:asciiTheme="minorHAnsi" w:eastAsiaTheme="minorEastAsia" w:hAnsiTheme="minorHAnsi" w:cstheme="minorBidi"/>
                <w:b w:val="0"/>
                <w:lang w:val="ro-MD"/>
              </w:rPr>
              <w:tab/>
            </w:r>
            <w:r w:rsidR="00202BE8" w:rsidRPr="002751FC">
              <w:rPr>
                <w:rStyle w:val="af"/>
                <w:bCs/>
                <w:iCs/>
                <w:lang w:val="ro-MD"/>
              </w:rPr>
              <w:t>Alte informații</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_Toc23259121 \h </w:instrText>
            </w:r>
            <w:r w:rsidR="00202BE8" w:rsidRPr="002751FC">
              <w:rPr>
                <w:webHidden/>
                <w:lang w:val="ro-MD"/>
              </w:rPr>
            </w:r>
            <w:r w:rsidR="00202BE8" w:rsidRPr="002751FC">
              <w:rPr>
                <w:webHidden/>
                <w:lang w:val="ro-MD"/>
              </w:rPr>
              <w:fldChar w:fldCharType="separate"/>
            </w:r>
            <w:r w:rsidR="0082388F">
              <w:rPr>
                <w:webHidden/>
                <w:lang w:val="ro-MD"/>
              </w:rPr>
              <w:t>54</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22" w:history="1">
            <w:r w:rsidR="00202BE8" w:rsidRPr="002751FC">
              <w:rPr>
                <w:rStyle w:val="af"/>
                <w:lang w:val="ro-MD"/>
              </w:rPr>
              <w:t>4.7.1 ONVV a contabilizat neregulamentar suportul financiar acordat instituţiilor de învăţământ şi de cercetare din domeniul viticulturii</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_Toc23259122 \h </w:instrText>
            </w:r>
            <w:r w:rsidR="00202BE8" w:rsidRPr="002751FC">
              <w:rPr>
                <w:webHidden/>
                <w:lang w:val="ro-MD"/>
              </w:rPr>
            </w:r>
            <w:r w:rsidR="00202BE8" w:rsidRPr="002751FC">
              <w:rPr>
                <w:webHidden/>
                <w:lang w:val="ro-MD"/>
              </w:rPr>
              <w:fldChar w:fldCharType="separate"/>
            </w:r>
            <w:r w:rsidR="0082388F">
              <w:rPr>
                <w:webHidden/>
                <w:lang w:val="ro-MD"/>
              </w:rPr>
              <w:t>54</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23" w:history="1">
            <w:r w:rsidR="00202BE8" w:rsidRPr="002751FC">
              <w:rPr>
                <w:rStyle w:val="af"/>
                <w:lang w:val="ro-MD"/>
              </w:rPr>
              <w:t>4.7.2. ONVV nu plasează Rapoartele anuale pe pagina web</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_Toc23259123 \h </w:instrText>
            </w:r>
            <w:r w:rsidR="00202BE8" w:rsidRPr="002751FC">
              <w:rPr>
                <w:webHidden/>
                <w:lang w:val="ro-MD"/>
              </w:rPr>
            </w:r>
            <w:r w:rsidR="00202BE8" w:rsidRPr="002751FC">
              <w:rPr>
                <w:webHidden/>
                <w:lang w:val="ro-MD"/>
              </w:rPr>
              <w:fldChar w:fldCharType="separate"/>
            </w:r>
            <w:r w:rsidR="0082388F">
              <w:rPr>
                <w:webHidden/>
                <w:lang w:val="ro-MD"/>
              </w:rPr>
              <w:t>55</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24" w:history="1">
            <w:r w:rsidR="00202BE8" w:rsidRPr="002751FC">
              <w:rPr>
                <w:rStyle w:val="af"/>
                <w:rFonts w:eastAsia="Times New Roman"/>
                <w:lang w:val="ro-MD"/>
              </w:rPr>
              <w:t xml:space="preserve">V. </w:t>
            </w:r>
            <w:r w:rsidR="00202BE8" w:rsidRPr="002751FC">
              <w:rPr>
                <w:rStyle w:val="af"/>
                <w:lang w:val="ro-MD"/>
              </w:rPr>
              <w:t>CONCLUZIA</w:t>
            </w:r>
            <w:r w:rsidR="00202BE8" w:rsidRPr="002751FC">
              <w:rPr>
                <w:rStyle w:val="af"/>
                <w:rFonts w:eastAsia="Times New Roman"/>
                <w:lang w:val="ro-MD"/>
              </w:rPr>
              <w:t xml:space="preserve"> GENERALĂ</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_Toc23259124 \h </w:instrText>
            </w:r>
            <w:r w:rsidR="00202BE8" w:rsidRPr="002751FC">
              <w:rPr>
                <w:webHidden/>
                <w:lang w:val="ro-MD"/>
              </w:rPr>
            </w:r>
            <w:r w:rsidR="00202BE8" w:rsidRPr="002751FC">
              <w:rPr>
                <w:webHidden/>
                <w:lang w:val="ro-MD"/>
              </w:rPr>
              <w:fldChar w:fldCharType="separate"/>
            </w:r>
            <w:r w:rsidR="0082388F">
              <w:rPr>
                <w:webHidden/>
                <w:lang w:val="ro-MD"/>
              </w:rPr>
              <w:t>55</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25" w:history="1">
            <w:r w:rsidR="00202BE8" w:rsidRPr="002751FC">
              <w:rPr>
                <w:rStyle w:val="af"/>
                <w:lang w:val="ro-MD"/>
              </w:rPr>
              <w:t>VI. RECOMANDĂRI</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_Toc23259125 \h </w:instrText>
            </w:r>
            <w:r w:rsidR="00202BE8" w:rsidRPr="002751FC">
              <w:rPr>
                <w:webHidden/>
                <w:lang w:val="ro-MD"/>
              </w:rPr>
            </w:r>
            <w:r w:rsidR="00202BE8" w:rsidRPr="002751FC">
              <w:rPr>
                <w:webHidden/>
                <w:lang w:val="ro-MD"/>
              </w:rPr>
              <w:fldChar w:fldCharType="separate"/>
            </w:r>
            <w:r w:rsidR="0082388F">
              <w:rPr>
                <w:webHidden/>
                <w:lang w:val="ro-MD"/>
              </w:rPr>
              <w:t>56</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26" w:history="1">
            <w:r w:rsidR="00202BE8" w:rsidRPr="002751FC">
              <w:rPr>
                <w:rStyle w:val="af"/>
                <w:rFonts w:eastAsia="Times New Roman"/>
                <w:bCs/>
                <w:iCs/>
                <w:lang w:val="ro-MD"/>
              </w:rPr>
              <w:t>VII.</w:t>
            </w:r>
            <w:r w:rsidR="00202BE8" w:rsidRPr="002751FC">
              <w:rPr>
                <w:rStyle w:val="af"/>
                <w:lang w:val="ro-MD"/>
              </w:rPr>
              <w:t xml:space="preserve"> SEMNĂTURILE ECHIPEI DE AUDIT</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_Toc23259126 \h </w:instrText>
            </w:r>
            <w:r w:rsidR="00202BE8" w:rsidRPr="002751FC">
              <w:rPr>
                <w:webHidden/>
                <w:lang w:val="ro-MD"/>
              </w:rPr>
            </w:r>
            <w:r w:rsidR="00202BE8" w:rsidRPr="002751FC">
              <w:rPr>
                <w:webHidden/>
                <w:lang w:val="ro-MD"/>
              </w:rPr>
              <w:fldChar w:fldCharType="separate"/>
            </w:r>
            <w:r w:rsidR="0082388F">
              <w:rPr>
                <w:webHidden/>
                <w:lang w:val="ro-MD"/>
              </w:rPr>
              <w:t>57</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27" w:history="1">
            <w:r w:rsidR="00202BE8" w:rsidRPr="002751FC">
              <w:rPr>
                <w:rStyle w:val="af"/>
                <w:rFonts w:eastAsia="Times New Roman"/>
                <w:lang w:val="ro-MD"/>
              </w:rPr>
              <w:t xml:space="preserve">Anexa nr.1 </w:t>
            </w:r>
          </w:hyperlink>
          <w:hyperlink w:anchor="_Toc23259128" w:history="1">
            <w:r w:rsidR="00202BE8" w:rsidRPr="002751FC">
              <w:rPr>
                <w:rStyle w:val="af"/>
                <w:lang w:val="ro-MD"/>
              </w:rPr>
              <w:t>Sfera și abordarea auditului</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_Toc23259128 \h </w:instrText>
            </w:r>
            <w:r w:rsidR="00202BE8" w:rsidRPr="002751FC">
              <w:rPr>
                <w:webHidden/>
                <w:lang w:val="ro-MD"/>
              </w:rPr>
            </w:r>
            <w:r w:rsidR="00202BE8" w:rsidRPr="002751FC">
              <w:rPr>
                <w:webHidden/>
                <w:lang w:val="ro-MD"/>
              </w:rPr>
              <w:fldChar w:fldCharType="separate"/>
            </w:r>
            <w:r w:rsidR="0082388F">
              <w:rPr>
                <w:webHidden/>
                <w:lang w:val="ro-MD"/>
              </w:rPr>
              <w:t>58</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29" w:history="1">
            <w:r w:rsidR="00202BE8" w:rsidRPr="002751FC">
              <w:rPr>
                <w:rStyle w:val="af"/>
                <w:lang w:val="ro-MD"/>
              </w:rPr>
              <w:t xml:space="preserve">Anexa nr.2 </w:t>
            </w:r>
          </w:hyperlink>
          <w:hyperlink w:anchor="_Toc23259130" w:history="1">
            <w:r w:rsidR="00202BE8" w:rsidRPr="002751FC">
              <w:rPr>
                <w:rStyle w:val="af"/>
                <w:lang w:val="ro-MD"/>
              </w:rPr>
              <w:t>Informații relevante aferente FVV</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_Toc23259130 \h </w:instrText>
            </w:r>
            <w:r w:rsidR="00202BE8" w:rsidRPr="002751FC">
              <w:rPr>
                <w:webHidden/>
                <w:lang w:val="ro-MD"/>
              </w:rPr>
            </w:r>
            <w:r w:rsidR="00202BE8" w:rsidRPr="002751FC">
              <w:rPr>
                <w:webHidden/>
                <w:lang w:val="ro-MD"/>
              </w:rPr>
              <w:fldChar w:fldCharType="separate"/>
            </w:r>
            <w:r w:rsidR="0082388F">
              <w:rPr>
                <w:webHidden/>
                <w:lang w:val="ro-MD"/>
              </w:rPr>
              <w:t>60</w:t>
            </w:r>
            <w:r w:rsidR="00202BE8" w:rsidRPr="002751FC">
              <w:rPr>
                <w:webHidden/>
                <w:lang w:val="ro-MD"/>
              </w:rPr>
              <w:fldChar w:fldCharType="end"/>
            </w:r>
          </w:hyperlink>
          <w:r w:rsidR="00E033B9">
            <w:rPr>
              <w:rStyle w:val="af"/>
              <w:lang w:val="ro-MD"/>
            </w:rPr>
            <w:t xml:space="preserve">  </w:t>
          </w:r>
          <w:r w:rsidR="009265F6" w:rsidRPr="002751FC">
            <w:rPr>
              <w:rStyle w:val="af"/>
              <w:lang w:val="ro-MD"/>
            </w:rPr>
            <w:t xml:space="preserve"> </w:t>
          </w:r>
        </w:p>
        <w:p w:rsidR="00202BE8" w:rsidRPr="002751FC" w:rsidRDefault="00540171">
          <w:pPr>
            <w:pStyle w:val="13"/>
            <w:rPr>
              <w:rFonts w:asciiTheme="minorHAnsi" w:eastAsiaTheme="minorEastAsia" w:hAnsiTheme="minorHAnsi" w:cstheme="minorBidi"/>
              <w:b w:val="0"/>
              <w:lang w:val="ro-MD"/>
            </w:rPr>
          </w:pPr>
          <w:hyperlink w:anchor="_Toc23259131" w:history="1">
            <w:r w:rsidR="00202BE8" w:rsidRPr="002751FC">
              <w:rPr>
                <w:rStyle w:val="af"/>
                <w:rFonts w:eastAsia="Times New Roman"/>
                <w:lang w:val="ro-MD"/>
              </w:rPr>
              <w:t xml:space="preserve">Anexa nr.3 </w:t>
            </w:r>
          </w:hyperlink>
          <w:hyperlink w:anchor="_Toc23259132" w:history="1">
            <w:r w:rsidR="00202BE8" w:rsidRPr="002751FC">
              <w:rPr>
                <w:rStyle w:val="af"/>
                <w:rFonts w:eastAsia="Times New Roman"/>
                <w:lang w:val="ro-MD"/>
              </w:rPr>
              <w:t>Responsabilităţile, atribuţiile, sarcinile de bază ale ONVV şi MADRM</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_Toc23259132 \h </w:instrText>
            </w:r>
            <w:r w:rsidR="00202BE8" w:rsidRPr="002751FC">
              <w:rPr>
                <w:webHidden/>
                <w:lang w:val="ro-MD"/>
              </w:rPr>
            </w:r>
            <w:r w:rsidR="00202BE8" w:rsidRPr="002751FC">
              <w:rPr>
                <w:webHidden/>
                <w:lang w:val="ro-MD"/>
              </w:rPr>
              <w:fldChar w:fldCharType="separate"/>
            </w:r>
            <w:r w:rsidR="0082388F">
              <w:rPr>
                <w:webHidden/>
                <w:lang w:val="ro-MD"/>
              </w:rPr>
              <w:t>61</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33" w:history="1">
            <w:r w:rsidR="00202BE8" w:rsidRPr="002751FC">
              <w:rPr>
                <w:rStyle w:val="af"/>
                <w:lang w:val="ro-MD"/>
              </w:rPr>
              <w:t xml:space="preserve">Anexa nr.4 </w:t>
            </w:r>
          </w:hyperlink>
          <w:hyperlink w:anchor="_Toc23259134" w:history="1">
            <w:r w:rsidR="00202BE8" w:rsidRPr="002751FC">
              <w:rPr>
                <w:rStyle w:val="af"/>
                <w:lang w:val="ro-MD"/>
              </w:rPr>
              <w:t xml:space="preserve">Atribuțiile Consiliului de </w:t>
            </w:r>
            <w:r w:rsidR="00F345E3">
              <w:rPr>
                <w:rStyle w:val="af"/>
                <w:lang w:val="ro-MD"/>
              </w:rPr>
              <w:t>c</w:t>
            </w:r>
            <w:r w:rsidR="00202BE8" w:rsidRPr="002751FC">
              <w:rPr>
                <w:rStyle w:val="af"/>
                <w:lang w:val="ro-MD"/>
              </w:rPr>
              <w:t>oordonare</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_Toc23259134 \h </w:instrText>
            </w:r>
            <w:r w:rsidR="00202BE8" w:rsidRPr="002751FC">
              <w:rPr>
                <w:webHidden/>
                <w:lang w:val="ro-MD"/>
              </w:rPr>
            </w:r>
            <w:r w:rsidR="00202BE8" w:rsidRPr="002751FC">
              <w:rPr>
                <w:webHidden/>
                <w:lang w:val="ro-MD"/>
              </w:rPr>
              <w:fldChar w:fldCharType="separate"/>
            </w:r>
            <w:r w:rsidR="0082388F">
              <w:rPr>
                <w:webHidden/>
                <w:lang w:val="ro-MD"/>
              </w:rPr>
              <w:t>63</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35" w:history="1">
            <w:r w:rsidR="00202BE8" w:rsidRPr="002751FC">
              <w:rPr>
                <w:rStyle w:val="af"/>
                <w:rFonts w:eastAsia="Times New Roman"/>
                <w:lang w:val="ro-MD"/>
              </w:rPr>
              <w:t xml:space="preserve">Anexa nr.5 </w:t>
            </w:r>
          </w:hyperlink>
          <w:hyperlink w:anchor="_Toc23259136" w:history="1">
            <w:r w:rsidR="00202BE8" w:rsidRPr="002751FC">
              <w:rPr>
                <w:rStyle w:val="af"/>
                <w:rFonts w:eastAsia="Times New Roman"/>
                <w:lang w:val="ro-MD"/>
              </w:rPr>
              <w:t>Drepturile ONVV</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_Toc23259136 \h </w:instrText>
            </w:r>
            <w:r w:rsidR="00202BE8" w:rsidRPr="002751FC">
              <w:rPr>
                <w:webHidden/>
                <w:lang w:val="ro-MD"/>
              </w:rPr>
            </w:r>
            <w:r w:rsidR="00202BE8" w:rsidRPr="002751FC">
              <w:rPr>
                <w:webHidden/>
                <w:lang w:val="ro-MD"/>
              </w:rPr>
              <w:fldChar w:fldCharType="separate"/>
            </w:r>
            <w:r w:rsidR="0082388F">
              <w:rPr>
                <w:webHidden/>
                <w:lang w:val="ro-MD"/>
              </w:rPr>
              <w:t>64</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37" w:history="1">
            <w:r w:rsidR="00202BE8" w:rsidRPr="002751FC">
              <w:rPr>
                <w:rStyle w:val="af"/>
                <w:lang w:val="ro-MD"/>
              </w:rPr>
              <w:t xml:space="preserve">Anexa nr.6 </w:t>
            </w:r>
          </w:hyperlink>
          <w:hyperlink w:anchor="_Toc23259138" w:history="1">
            <w:r w:rsidR="00202BE8" w:rsidRPr="002751FC">
              <w:rPr>
                <w:rStyle w:val="af"/>
                <w:lang w:val="ro-MD"/>
              </w:rPr>
              <w:t>Informația privind cheltuielile suportate de ONVV sub formă de suport financiar acordat instituţiilor de învăţământ şi de cercetare din domeniul viticulturii</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_Toc23259138 \h </w:instrText>
            </w:r>
            <w:r w:rsidR="00202BE8" w:rsidRPr="002751FC">
              <w:rPr>
                <w:webHidden/>
                <w:lang w:val="ro-MD"/>
              </w:rPr>
            </w:r>
            <w:r w:rsidR="00202BE8" w:rsidRPr="002751FC">
              <w:rPr>
                <w:webHidden/>
                <w:lang w:val="ro-MD"/>
              </w:rPr>
              <w:fldChar w:fldCharType="separate"/>
            </w:r>
            <w:r w:rsidR="0082388F">
              <w:rPr>
                <w:webHidden/>
                <w:lang w:val="ro-MD"/>
              </w:rPr>
              <w:t>66</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39" w:history="1">
            <w:r w:rsidR="00202BE8" w:rsidRPr="002751FC">
              <w:rPr>
                <w:rStyle w:val="af"/>
                <w:lang w:val="ro-MD"/>
              </w:rPr>
              <w:t xml:space="preserve">Anexa nr.7 </w:t>
            </w:r>
          </w:hyperlink>
          <w:hyperlink w:anchor="_Toc23259140" w:history="1">
            <w:r w:rsidR="00202BE8" w:rsidRPr="002751FC">
              <w:rPr>
                <w:rStyle w:val="af"/>
                <w:lang w:val="ro-MD"/>
              </w:rPr>
              <w:t>Analiza neconformităților constatate la executarea activităților în domeniul viticulturii, mil.MDL</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_Toc23259140 \h </w:instrText>
            </w:r>
            <w:r w:rsidR="00202BE8" w:rsidRPr="002751FC">
              <w:rPr>
                <w:webHidden/>
                <w:lang w:val="ro-MD"/>
              </w:rPr>
            </w:r>
            <w:r w:rsidR="00202BE8" w:rsidRPr="002751FC">
              <w:rPr>
                <w:webHidden/>
                <w:lang w:val="ro-MD"/>
              </w:rPr>
              <w:fldChar w:fldCharType="separate"/>
            </w:r>
            <w:r w:rsidR="0082388F">
              <w:rPr>
                <w:webHidden/>
                <w:lang w:val="ro-MD"/>
              </w:rPr>
              <w:t>67</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41" w:history="1">
            <w:r w:rsidR="00202BE8" w:rsidRPr="002751FC">
              <w:rPr>
                <w:rStyle w:val="af"/>
                <w:lang w:val="ro-MD"/>
              </w:rPr>
              <w:t xml:space="preserve">Anexa nr.8 </w:t>
            </w:r>
          </w:hyperlink>
          <w:hyperlink w:anchor="_Toc23259142" w:history="1">
            <w:r w:rsidR="00202BE8" w:rsidRPr="002751FC">
              <w:rPr>
                <w:rStyle w:val="af"/>
                <w:rFonts w:eastAsia="Times New Roman"/>
                <w:bCs/>
                <w:lang w:val="ro-MD" w:eastAsia="ru-RU"/>
              </w:rPr>
              <w:t>Extras din Legea</w:t>
            </w:r>
            <w:r w:rsidR="00202BE8" w:rsidRPr="002751FC">
              <w:rPr>
                <w:rStyle w:val="af"/>
                <w:rFonts w:eastAsia="Times New Roman"/>
                <w:bCs/>
                <w:lang w:val="ro-MD"/>
              </w:rPr>
              <w:t xml:space="preserve"> nr.227 din 10.12.2015 cu privire la plata de către producătorii de produse vitivinicole</w:t>
            </w:r>
            <w:r w:rsidR="00202BE8" w:rsidRPr="002751FC">
              <w:rPr>
                <w:rStyle w:val="af"/>
                <w:lang w:val="ro-MD"/>
              </w:rPr>
              <w:t xml:space="preserve"> </w:t>
            </w:r>
            <w:r w:rsidR="00202BE8" w:rsidRPr="002751FC">
              <w:rPr>
                <w:rStyle w:val="af"/>
                <w:rFonts w:eastAsia="Times New Roman"/>
                <w:bCs/>
                <w:lang w:val="ro-MD"/>
              </w:rPr>
              <w:t>a contribuțiilor obligatorii în Fondul Viei şi Vinului</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_Toc23259142 \h </w:instrText>
            </w:r>
            <w:r w:rsidR="00202BE8" w:rsidRPr="002751FC">
              <w:rPr>
                <w:webHidden/>
                <w:lang w:val="ro-MD"/>
              </w:rPr>
            </w:r>
            <w:r w:rsidR="00202BE8" w:rsidRPr="002751FC">
              <w:rPr>
                <w:webHidden/>
                <w:lang w:val="ro-MD"/>
              </w:rPr>
              <w:fldChar w:fldCharType="separate"/>
            </w:r>
            <w:r w:rsidR="0082388F">
              <w:rPr>
                <w:webHidden/>
                <w:lang w:val="ro-MD"/>
              </w:rPr>
              <w:t>67</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43" w:history="1">
            <w:r w:rsidR="00202BE8" w:rsidRPr="002751FC">
              <w:rPr>
                <w:rStyle w:val="af"/>
                <w:rFonts w:eastAsia="Times New Roman"/>
                <w:lang w:val="ro-MD"/>
              </w:rPr>
              <w:t xml:space="preserve">Anexa nr.9 </w:t>
            </w:r>
          </w:hyperlink>
          <w:hyperlink w:anchor="_Toc23259144" w:history="1">
            <w:r w:rsidR="00202BE8" w:rsidRPr="002751FC">
              <w:rPr>
                <w:rStyle w:val="af"/>
                <w:rFonts w:eastAsia="Times New Roman"/>
                <w:lang w:val="ro-MD"/>
              </w:rPr>
              <w:t>Sinteza realizării cheltuielilor operaționale ale ONVV în anii 2014-2018, mil.MDL</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_Toc23259144 \h </w:instrText>
            </w:r>
            <w:r w:rsidR="00202BE8" w:rsidRPr="002751FC">
              <w:rPr>
                <w:webHidden/>
                <w:lang w:val="ro-MD"/>
              </w:rPr>
            </w:r>
            <w:r w:rsidR="00202BE8" w:rsidRPr="002751FC">
              <w:rPr>
                <w:webHidden/>
                <w:lang w:val="ro-MD"/>
              </w:rPr>
              <w:fldChar w:fldCharType="separate"/>
            </w:r>
            <w:r w:rsidR="0082388F">
              <w:rPr>
                <w:webHidden/>
                <w:lang w:val="ro-MD"/>
              </w:rPr>
              <w:t>69</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45" w:history="1">
            <w:r w:rsidR="00202BE8" w:rsidRPr="002751FC">
              <w:rPr>
                <w:rStyle w:val="af"/>
                <w:lang w:val="ro-MD"/>
              </w:rPr>
              <w:t xml:space="preserve">Anexa nr.10 </w:t>
            </w:r>
          </w:hyperlink>
          <w:hyperlink w:anchor="_Toc23259146" w:history="1">
            <w:r w:rsidR="00202BE8" w:rsidRPr="002751FC">
              <w:rPr>
                <w:rStyle w:val="af"/>
                <w:lang w:val="ro-MD"/>
              </w:rPr>
              <w:t>Sinteza salariilor de bază stabilite angajaţilor ONVV pentru anul 2018</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_Toc23259146 \h </w:instrText>
            </w:r>
            <w:r w:rsidR="00202BE8" w:rsidRPr="002751FC">
              <w:rPr>
                <w:webHidden/>
                <w:lang w:val="ro-MD"/>
              </w:rPr>
            </w:r>
            <w:r w:rsidR="00202BE8" w:rsidRPr="002751FC">
              <w:rPr>
                <w:webHidden/>
                <w:lang w:val="ro-MD"/>
              </w:rPr>
              <w:fldChar w:fldCharType="separate"/>
            </w:r>
            <w:r w:rsidR="0082388F">
              <w:rPr>
                <w:webHidden/>
                <w:lang w:val="ro-MD"/>
              </w:rPr>
              <w:t>70</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47" w:history="1">
            <w:r w:rsidR="00202BE8" w:rsidRPr="002751FC">
              <w:rPr>
                <w:rStyle w:val="af"/>
                <w:lang w:val="ro-MD"/>
              </w:rPr>
              <w:t xml:space="preserve">Anexa nr.11 </w:t>
            </w:r>
          </w:hyperlink>
          <w:hyperlink w:anchor="_Toc23259148" w:history="1">
            <w:r w:rsidR="00202BE8" w:rsidRPr="002751FC">
              <w:rPr>
                <w:rStyle w:val="af"/>
                <w:lang w:val="ro-MD"/>
              </w:rPr>
              <w:t>Tabelul nr.11.1. Sinteza rezultatelor concursurilor internaţionale în domeniul vinificației la care au participat vinificatorii din Republica Moldova pe parcursul anului 2018, cheltuielile de participare fiind suportate din FVV</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_Toc23259148 \h </w:instrText>
            </w:r>
            <w:r w:rsidR="00202BE8" w:rsidRPr="002751FC">
              <w:rPr>
                <w:webHidden/>
                <w:lang w:val="ro-MD"/>
              </w:rPr>
            </w:r>
            <w:r w:rsidR="00202BE8" w:rsidRPr="002751FC">
              <w:rPr>
                <w:webHidden/>
                <w:lang w:val="ro-MD"/>
              </w:rPr>
              <w:fldChar w:fldCharType="separate"/>
            </w:r>
            <w:r w:rsidR="0082388F">
              <w:rPr>
                <w:webHidden/>
                <w:lang w:val="ro-MD"/>
              </w:rPr>
              <w:t>71</w:t>
            </w:r>
            <w:r w:rsidR="00202BE8" w:rsidRPr="002751FC">
              <w:rPr>
                <w:webHidden/>
                <w:lang w:val="ro-MD"/>
              </w:rPr>
              <w:fldChar w:fldCharType="end"/>
            </w:r>
          </w:hyperlink>
        </w:p>
        <w:p w:rsidR="00202BE8" w:rsidRPr="002751FC" w:rsidRDefault="00540171">
          <w:pPr>
            <w:pStyle w:val="13"/>
            <w:rPr>
              <w:rFonts w:asciiTheme="minorHAnsi" w:eastAsiaTheme="minorEastAsia" w:hAnsiTheme="minorHAnsi" w:cstheme="minorBidi"/>
              <w:b w:val="0"/>
              <w:lang w:val="ro-MD"/>
            </w:rPr>
          </w:pPr>
          <w:hyperlink w:anchor="_Toc23259149" w:history="1">
            <w:r w:rsidR="00202BE8" w:rsidRPr="002751FC">
              <w:rPr>
                <w:rStyle w:val="af"/>
                <w:lang w:val="ro-MD"/>
              </w:rPr>
              <w:t>Tabelul nr.11.2. Sinteza rezultatelor concursurilor internaţionale în domeniul vinificației la care au participat vinificatorii din Republica Moldova pe parcursul anului 2018, cheltuielile de participare fiind suportate de producătorii vinicoli</w:t>
            </w:r>
            <w:r w:rsidR="00202BE8" w:rsidRPr="002751FC">
              <w:rPr>
                <w:webHidden/>
                <w:lang w:val="ro-MD"/>
              </w:rPr>
              <w:tab/>
            </w:r>
            <w:r w:rsidR="00202BE8" w:rsidRPr="002751FC">
              <w:rPr>
                <w:webHidden/>
                <w:lang w:val="ro-MD"/>
              </w:rPr>
              <w:fldChar w:fldCharType="begin"/>
            </w:r>
            <w:r w:rsidR="00202BE8" w:rsidRPr="002751FC">
              <w:rPr>
                <w:webHidden/>
                <w:lang w:val="ro-MD"/>
              </w:rPr>
              <w:instrText xml:space="preserve"> PAGEREF _Toc23259149 \h </w:instrText>
            </w:r>
            <w:r w:rsidR="00202BE8" w:rsidRPr="002751FC">
              <w:rPr>
                <w:webHidden/>
                <w:lang w:val="ro-MD"/>
              </w:rPr>
            </w:r>
            <w:r w:rsidR="00202BE8" w:rsidRPr="002751FC">
              <w:rPr>
                <w:webHidden/>
                <w:lang w:val="ro-MD"/>
              </w:rPr>
              <w:fldChar w:fldCharType="separate"/>
            </w:r>
            <w:r w:rsidR="0082388F">
              <w:rPr>
                <w:webHidden/>
                <w:lang w:val="ro-MD"/>
              </w:rPr>
              <w:t>72</w:t>
            </w:r>
            <w:r w:rsidR="00202BE8" w:rsidRPr="002751FC">
              <w:rPr>
                <w:webHidden/>
                <w:lang w:val="ro-MD"/>
              </w:rPr>
              <w:fldChar w:fldCharType="end"/>
            </w:r>
          </w:hyperlink>
        </w:p>
        <w:p w:rsidR="00974C87" w:rsidRPr="002751FC" w:rsidRDefault="00974C87" w:rsidP="00391ADC">
          <w:pPr>
            <w:spacing w:line="240" w:lineRule="auto"/>
            <w:rPr>
              <w:rFonts w:asciiTheme="majorHAnsi" w:hAnsiTheme="majorHAnsi" w:cstheme="majorHAnsi"/>
              <w:lang w:val="ro-MD"/>
            </w:rPr>
          </w:pPr>
          <w:r w:rsidRPr="002751FC">
            <w:rPr>
              <w:rFonts w:asciiTheme="majorHAnsi" w:hAnsiTheme="majorHAnsi" w:cstheme="majorHAnsi"/>
              <w:lang w:val="ro-MD"/>
            </w:rPr>
            <w:fldChar w:fldCharType="end"/>
          </w:r>
        </w:p>
      </w:sdtContent>
    </w:sdt>
    <w:p w:rsidR="00476842" w:rsidRPr="002751FC" w:rsidRDefault="00476842" w:rsidP="00391ADC">
      <w:pPr>
        <w:spacing w:line="240" w:lineRule="auto"/>
        <w:rPr>
          <w:rFonts w:asciiTheme="majorHAnsi" w:eastAsiaTheme="majorEastAsia" w:hAnsiTheme="majorHAnsi" w:cstheme="majorHAnsi"/>
          <w:b/>
          <w:sz w:val="28"/>
          <w:szCs w:val="28"/>
          <w:lang w:val="ro-MD"/>
        </w:rPr>
      </w:pPr>
      <w:r w:rsidRPr="002751FC">
        <w:rPr>
          <w:rFonts w:cstheme="majorHAnsi"/>
          <w:b/>
          <w:sz w:val="28"/>
          <w:szCs w:val="28"/>
          <w:lang w:val="ro-MD"/>
        </w:rPr>
        <w:br w:type="page"/>
      </w:r>
    </w:p>
    <w:p w:rsidR="00974C87" w:rsidRPr="002751FC" w:rsidRDefault="00974C87" w:rsidP="00A03C37">
      <w:pPr>
        <w:pStyle w:val="1"/>
        <w:spacing w:before="0" w:line="240" w:lineRule="auto"/>
        <w:rPr>
          <w:rFonts w:cstheme="majorHAnsi"/>
          <w:b/>
          <w:color w:val="auto"/>
          <w:sz w:val="28"/>
          <w:szCs w:val="28"/>
          <w:lang w:val="ro-MD"/>
        </w:rPr>
      </w:pPr>
      <w:bookmarkStart w:id="2" w:name="_Toc23259081"/>
      <w:r w:rsidRPr="002751FC">
        <w:rPr>
          <w:rFonts w:cstheme="majorHAnsi"/>
          <w:b/>
          <w:color w:val="auto"/>
          <w:sz w:val="28"/>
          <w:szCs w:val="28"/>
          <w:lang w:val="ro-MD"/>
        </w:rPr>
        <w:lastRenderedPageBreak/>
        <w:t>LISTA ACRONIMELOR</w:t>
      </w:r>
      <w:bookmarkEnd w:id="2"/>
    </w:p>
    <w:tbl>
      <w:tblPr>
        <w:tblStyle w:val="GridTable2-Accent52"/>
        <w:tblW w:w="0" w:type="auto"/>
        <w:tblLook w:val="04A0" w:firstRow="1" w:lastRow="0" w:firstColumn="1" w:lastColumn="0" w:noHBand="0" w:noVBand="1"/>
      </w:tblPr>
      <w:tblGrid>
        <w:gridCol w:w="1210"/>
        <w:gridCol w:w="8150"/>
      </w:tblGrid>
      <w:tr w:rsidR="00FF6687" w:rsidRPr="002751FC" w:rsidTr="008E6A8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10" w:type="dxa"/>
          </w:tcPr>
          <w:p w:rsidR="00FF6687"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AGEPI</w:t>
            </w:r>
          </w:p>
        </w:tc>
        <w:tc>
          <w:tcPr>
            <w:tcW w:w="8150" w:type="dxa"/>
          </w:tcPr>
          <w:p w:rsidR="00FF6687" w:rsidRPr="002751FC" w:rsidRDefault="009B50BC" w:rsidP="00A03C3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8"/>
                <w:szCs w:val="28"/>
                <w:lang w:val="ro-MD"/>
              </w:rPr>
            </w:pPr>
            <w:r w:rsidRPr="002751FC">
              <w:rPr>
                <w:rFonts w:asciiTheme="majorHAnsi" w:hAnsiTheme="majorHAnsi" w:cstheme="majorHAnsi"/>
                <w:b w:val="0"/>
                <w:bCs w:val="0"/>
                <w:sz w:val="28"/>
                <w:szCs w:val="28"/>
                <w:lang w:val="ro-MD"/>
              </w:rPr>
              <w:t>Agenţia de Stat pentru Proprietatea Intelectuală</w:t>
            </w:r>
          </w:p>
        </w:tc>
      </w:tr>
      <w:tr w:rsidR="00E3252D" w:rsidRPr="002751FC" w:rsidTr="008E6A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APC</w:t>
            </w:r>
          </w:p>
        </w:tc>
        <w:tc>
          <w:tcPr>
            <w:tcW w:w="8150" w:type="dxa"/>
          </w:tcPr>
          <w:p w:rsidR="00E3252D" w:rsidRPr="002751FC" w:rsidRDefault="00E3252D"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Autoritate publică centrală</w:t>
            </w:r>
          </w:p>
        </w:tc>
      </w:tr>
      <w:tr w:rsidR="00E3252D" w:rsidRPr="002751FC" w:rsidTr="008E6A80">
        <w:trPr>
          <w:trHeight w:val="288"/>
        </w:trPr>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BS</w:t>
            </w:r>
          </w:p>
        </w:tc>
        <w:tc>
          <w:tcPr>
            <w:tcW w:w="8150" w:type="dxa"/>
          </w:tcPr>
          <w:p w:rsidR="00E3252D" w:rsidRPr="002751FC" w:rsidRDefault="00E3252D"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Bugetul de stat</w:t>
            </w:r>
          </w:p>
        </w:tc>
      </w:tr>
      <w:tr w:rsidR="00E3252D" w:rsidRPr="002751FC" w:rsidTr="008E6A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CC</w:t>
            </w:r>
          </w:p>
        </w:tc>
        <w:tc>
          <w:tcPr>
            <w:tcW w:w="8150" w:type="dxa"/>
          </w:tcPr>
          <w:p w:rsidR="00E3252D" w:rsidRPr="002751FC" w:rsidRDefault="00E3252D"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Consiliul de coordonare al Oficiului Naţional al Viei şi Vinului</w:t>
            </w:r>
          </w:p>
        </w:tc>
      </w:tr>
      <w:tr w:rsidR="00E3252D" w:rsidRPr="002751FC" w:rsidTr="008E6A80">
        <w:trPr>
          <w:trHeight w:val="288"/>
        </w:trPr>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CUT</w:t>
            </w:r>
          </w:p>
        </w:tc>
        <w:tc>
          <w:tcPr>
            <w:tcW w:w="8150" w:type="dxa"/>
          </w:tcPr>
          <w:p w:rsidR="00E3252D" w:rsidRPr="002751FC" w:rsidRDefault="00E3252D"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Cont unic trezorerial</w:t>
            </w:r>
          </w:p>
        </w:tc>
      </w:tr>
      <w:tr w:rsidR="00E3252D" w:rsidRPr="002751FC" w:rsidTr="008E6A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DOP</w:t>
            </w:r>
          </w:p>
        </w:tc>
        <w:tc>
          <w:tcPr>
            <w:tcW w:w="8150" w:type="dxa"/>
          </w:tcPr>
          <w:p w:rsidR="00E3252D" w:rsidRPr="002751FC" w:rsidRDefault="00E3252D"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Denumire de origine protejată</w:t>
            </w:r>
          </w:p>
        </w:tc>
      </w:tr>
      <w:tr w:rsidR="00E3252D" w:rsidRPr="002751FC" w:rsidTr="008E6A80">
        <w:trPr>
          <w:trHeight w:val="288"/>
        </w:trPr>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FVV</w:t>
            </w:r>
          </w:p>
        </w:tc>
        <w:tc>
          <w:tcPr>
            <w:tcW w:w="8150" w:type="dxa"/>
          </w:tcPr>
          <w:p w:rsidR="00E3252D" w:rsidRPr="002751FC" w:rsidRDefault="00E3252D"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Fondul Viei și Vinului</w:t>
            </w:r>
          </w:p>
        </w:tc>
      </w:tr>
      <w:tr w:rsidR="00E3252D"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ha</w:t>
            </w:r>
          </w:p>
        </w:tc>
        <w:tc>
          <w:tcPr>
            <w:tcW w:w="8150" w:type="dxa"/>
          </w:tcPr>
          <w:p w:rsidR="00E3252D" w:rsidRPr="002751FC" w:rsidRDefault="00E3252D"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hectar</w:t>
            </w:r>
          </w:p>
        </w:tc>
      </w:tr>
      <w:tr w:rsidR="00E3252D" w:rsidRPr="002751FC" w:rsidTr="008E6A80">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HG</w:t>
            </w:r>
          </w:p>
        </w:tc>
        <w:tc>
          <w:tcPr>
            <w:tcW w:w="8150" w:type="dxa"/>
          </w:tcPr>
          <w:p w:rsidR="00E3252D" w:rsidRPr="002751FC" w:rsidRDefault="00E3252D"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8"/>
                <w:szCs w:val="28"/>
                <w:lang w:val="ro-MD"/>
              </w:rPr>
            </w:pPr>
            <w:r w:rsidRPr="002751FC">
              <w:rPr>
                <w:rFonts w:asciiTheme="majorHAnsi" w:hAnsiTheme="majorHAnsi" w:cstheme="majorHAnsi"/>
                <w:sz w:val="28"/>
                <w:szCs w:val="28"/>
                <w:lang w:val="ro-MD"/>
              </w:rPr>
              <w:t>Hotărârea Guvernului</w:t>
            </w:r>
          </w:p>
        </w:tc>
      </w:tr>
      <w:tr w:rsidR="00E3252D"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hl</w:t>
            </w:r>
          </w:p>
        </w:tc>
        <w:tc>
          <w:tcPr>
            <w:tcW w:w="8150" w:type="dxa"/>
          </w:tcPr>
          <w:p w:rsidR="00E3252D" w:rsidRPr="002751FC" w:rsidRDefault="00E3252D"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hectolitru</w:t>
            </w:r>
          </w:p>
        </w:tc>
      </w:tr>
      <w:tr w:rsidR="00E3252D" w:rsidRPr="002751FC" w:rsidTr="008E6A80">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IFPS</w:t>
            </w:r>
          </w:p>
        </w:tc>
        <w:tc>
          <w:tcPr>
            <w:tcW w:w="8150" w:type="dxa"/>
          </w:tcPr>
          <w:p w:rsidR="00E3252D" w:rsidRPr="002751FC" w:rsidRDefault="00E3252D"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Inspectoratul Fiscal Principal de Stat</w:t>
            </w:r>
          </w:p>
        </w:tc>
      </w:tr>
      <w:tr w:rsidR="00E3252D"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IGP</w:t>
            </w:r>
          </w:p>
        </w:tc>
        <w:tc>
          <w:tcPr>
            <w:tcW w:w="8150" w:type="dxa"/>
          </w:tcPr>
          <w:p w:rsidR="00E3252D" w:rsidRPr="002751FC" w:rsidRDefault="00E3252D"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Indicație geografică protejată</w:t>
            </w:r>
          </w:p>
        </w:tc>
      </w:tr>
      <w:tr w:rsidR="00E3252D" w:rsidRPr="002751FC" w:rsidTr="008E6A80">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IP</w:t>
            </w:r>
          </w:p>
        </w:tc>
        <w:tc>
          <w:tcPr>
            <w:tcW w:w="8150" w:type="dxa"/>
          </w:tcPr>
          <w:p w:rsidR="00E3252D" w:rsidRPr="002751FC" w:rsidRDefault="008E6A80"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I</w:t>
            </w:r>
            <w:r w:rsidR="00E3252D" w:rsidRPr="002751FC">
              <w:rPr>
                <w:rFonts w:asciiTheme="majorHAnsi" w:hAnsiTheme="majorHAnsi" w:cstheme="majorHAnsi"/>
                <w:sz w:val="28"/>
                <w:szCs w:val="28"/>
                <w:lang w:val="ro-MD"/>
              </w:rPr>
              <w:t>nstituţie publică</w:t>
            </w:r>
          </w:p>
        </w:tc>
      </w:tr>
      <w:tr w:rsidR="00B260E7"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B260E7" w:rsidRPr="002751FC" w:rsidRDefault="00B260E7"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IŞPHTA</w:t>
            </w:r>
          </w:p>
        </w:tc>
        <w:tc>
          <w:tcPr>
            <w:tcW w:w="8150" w:type="dxa"/>
          </w:tcPr>
          <w:p w:rsidR="00B260E7" w:rsidRPr="002751FC" w:rsidRDefault="002B5057"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Institutul Ştiinţifico-Practic de Horticultură şi Tehnologii Alimentare</w:t>
            </w:r>
          </w:p>
        </w:tc>
      </w:tr>
      <w:tr w:rsidR="00C31BD8" w:rsidRPr="002751FC" w:rsidTr="008E6A80">
        <w:tc>
          <w:tcPr>
            <w:cnfStyle w:val="001000000000" w:firstRow="0" w:lastRow="0" w:firstColumn="1" w:lastColumn="0" w:oddVBand="0" w:evenVBand="0" w:oddHBand="0" w:evenHBand="0" w:firstRowFirstColumn="0" w:firstRowLastColumn="0" w:lastRowFirstColumn="0" w:lastRowLastColumn="0"/>
            <w:tcW w:w="1210" w:type="dxa"/>
          </w:tcPr>
          <w:p w:rsidR="00C31BD8" w:rsidRPr="002751FC" w:rsidRDefault="00C31BD8"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LVCF</w:t>
            </w:r>
          </w:p>
        </w:tc>
        <w:tc>
          <w:tcPr>
            <w:tcW w:w="8150" w:type="dxa"/>
          </w:tcPr>
          <w:p w:rsidR="00C31BD8" w:rsidRPr="002751FC" w:rsidRDefault="00891B69"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Laboratorul de Virusologie şi Control Fitosanitar</w:t>
            </w:r>
          </w:p>
        </w:tc>
      </w:tr>
      <w:tr w:rsidR="00E3252D"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MADRM</w:t>
            </w:r>
          </w:p>
        </w:tc>
        <w:tc>
          <w:tcPr>
            <w:tcW w:w="8150" w:type="dxa"/>
          </w:tcPr>
          <w:p w:rsidR="00E3252D" w:rsidRPr="002751FC" w:rsidRDefault="00E3252D"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Ministerul Agriculturii, Dezvoltării Regionale și Mediului</w:t>
            </w:r>
          </w:p>
        </w:tc>
      </w:tr>
      <w:tr w:rsidR="00E3252D" w:rsidRPr="002751FC" w:rsidTr="008E6A80">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MF</w:t>
            </w:r>
          </w:p>
        </w:tc>
        <w:tc>
          <w:tcPr>
            <w:tcW w:w="8150" w:type="dxa"/>
          </w:tcPr>
          <w:p w:rsidR="00E3252D" w:rsidRPr="002751FC" w:rsidRDefault="00E3252D"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Ministerul Finanţelor</w:t>
            </w:r>
          </w:p>
        </w:tc>
      </w:tr>
      <w:tr w:rsidR="00E3252D"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MDL</w:t>
            </w:r>
          </w:p>
        </w:tc>
        <w:tc>
          <w:tcPr>
            <w:tcW w:w="8150" w:type="dxa"/>
          </w:tcPr>
          <w:p w:rsidR="00E3252D" w:rsidRPr="002751FC" w:rsidRDefault="00586B85"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Lei </w:t>
            </w:r>
            <w:r w:rsidR="00ED002E" w:rsidRPr="002751FC">
              <w:rPr>
                <w:rFonts w:asciiTheme="majorHAnsi" w:hAnsiTheme="majorHAnsi" w:cstheme="majorHAnsi"/>
                <w:sz w:val="28"/>
                <w:szCs w:val="28"/>
                <w:lang w:val="ro-MD"/>
              </w:rPr>
              <w:t>moldovenești</w:t>
            </w:r>
          </w:p>
        </w:tc>
      </w:tr>
      <w:tr w:rsidR="00E3252D" w:rsidRPr="002751FC" w:rsidTr="008E6A80">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mil.</w:t>
            </w:r>
          </w:p>
        </w:tc>
        <w:tc>
          <w:tcPr>
            <w:tcW w:w="8150" w:type="dxa"/>
          </w:tcPr>
          <w:p w:rsidR="00E3252D" w:rsidRPr="002751FC" w:rsidRDefault="00E3252D"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milioane</w:t>
            </w:r>
          </w:p>
        </w:tc>
      </w:tr>
      <w:tr w:rsidR="00E3252D"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ONVV </w:t>
            </w:r>
          </w:p>
        </w:tc>
        <w:tc>
          <w:tcPr>
            <w:tcW w:w="8150" w:type="dxa"/>
          </w:tcPr>
          <w:p w:rsidR="00E3252D" w:rsidRPr="002751FC" w:rsidRDefault="00E3252D"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Oficiul Naţional al Viei şi Vinului</w:t>
            </w:r>
          </w:p>
        </w:tc>
      </w:tr>
      <w:tr w:rsidR="004E2E15" w:rsidRPr="002751FC" w:rsidTr="008E6A80">
        <w:tc>
          <w:tcPr>
            <w:cnfStyle w:val="001000000000" w:firstRow="0" w:lastRow="0" w:firstColumn="1" w:lastColumn="0" w:oddVBand="0" w:evenVBand="0" w:oddHBand="0" w:evenHBand="0" w:firstRowFirstColumn="0" w:firstRowLastColumn="0" w:lastRowFirstColumn="0" w:lastRowLastColumn="0"/>
            <w:tcW w:w="1210" w:type="dxa"/>
          </w:tcPr>
          <w:p w:rsidR="004E2E15" w:rsidRPr="002751FC" w:rsidRDefault="004E2E15"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PIB</w:t>
            </w:r>
          </w:p>
        </w:tc>
        <w:tc>
          <w:tcPr>
            <w:tcW w:w="8150" w:type="dxa"/>
          </w:tcPr>
          <w:p w:rsidR="004E2E15" w:rsidRPr="002751FC" w:rsidRDefault="004E2E15"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Produs intern brut</w:t>
            </w:r>
          </w:p>
        </w:tc>
      </w:tr>
      <w:tr w:rsidR="005647B3"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5647B3" w:rsidRPr="002751FC" w:rsidRDefault="005647B3" w:rsidP="00A03C37">
            <w:pPr>
              <w:rPr>
                <w:rFonts w:asciiTheme="majorHAnsi" w:hAnsiTheme="majorHAnsi" w:cstheme="majorHAnsi"/>
                <w:sz w:val="28"/>
                <w:szCs w:val="28"/>
                <w:lang w:val="ro-MD"/>
              </w:rPr>
            </w:pPr>
            <w:proofErr w:type="spellStart"/>
            <w:r w:rsidRPr="002751FC">
              <w:rPr>
                <w:rFonts w:asciiTheme="majorHAnsi" w:hAnsiTheme="majorHAnsi" w:cstheme="majorHAnsi"/>
                <w:sz w:val="28"/>
                <w:szCs w:val="28"/>
                <w:lang w:val="ro-MD"/>
              </w:rPr>
              <w:t>p.p.</w:t>
            </w:r>
            <w:proofErr w:type="spellEnd"/>
          </w:p>
        </w:tc>
        <w:tc>
          <w:tcPr>
            <w:tcW w:w="8150" w:type="dxa"/>
          </w:tcPr>
          <w:p w:rsidR="005647B3" w:rsidRPr="002751FC" w:rsidRDefault="005647B3"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Puncte procentuale</w:t>
            </w:r>
          </w:p>
        </w:tc>
      </w:tr>
      <w:tr w:rsidR="00E3252D" w:rsidRPr="002751FC" w:rsidTr="008E6A80">
        <w:trPr>
          <w:trHeight w:val="147"/>
        </w:trPr>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RM</w:t>
            </w:r>
          </w:p>
        </w:tc>
        <w:tc>
          <w:tcPr>
            <w:tcW w:w="8150" w:type="dxa"/>
          </w:tcPr>
          <w:p w:rsidR="00E3252D" w:rsidRPr="002751FC" w:rsidRDefault="00E3252D"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Republica Moldova</w:t>
            </w:r>
          </w:p>
        </w:tc>
      </w:tr>
      <w:tr w:rsidR="00E3252D"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E3252D" w:rsidRPr="002751FC" w:rsidRDefault="00E3252D"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RVV </w:t>
            </w:r>
          </w:p>
        </w:tc>
        <w:tc>
          <w:tcPr>
            <w:tcW w:w="8150" w:type="dxa"/>
          </w:tcPr>
          <w:p w:rsidR="00E3252D" w:rsidRPr="002751FC" w:rsidRDefault="00E3252D" w:rsidP="002751F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Registrul </w:t>
            </w:r>
            <w:r w:rsidR="002751FC">
              <w:rPr>
                <w:rFonts w:asciiTheme="majorHAnsi" w:hAnsiTheme="majorHAnsi" w:cstheme="majorHAnsi"/>
                <w:sz w:val="28"/>
                <w:szCs w:val="28"/>
                <w:lang w:val="ro-MD"/>
              </w:rPr>
              <w:t>v</w:t>
            </w:r>
            <w:r w:rsidRPr="002751FC">
              <w:rPr>
                <w:rFonts w:asciiTheme="majorHAnsi" w:hAnsiTheme="majorHAnsi" w:cstheme="majorHAnsi"/>
                <w:sz w:val="28"/>
                <w:szCs w:val="28"/>
                <w:lang w:val="ro-MD"/>
              </w:rPr>
              <w:t>itivinicol</w:t>
            </w:r>
          </w:p>
        </w:tc>
      </w:tr>
      <w:tr w:rsidR="000E7523" w:rsidRPr="002751FC" w:rsidTr="008E6A80">
        <w:tc>
          <w:tcPr>
            <w:cnfStyle w:val="001000000000" w:firstRow="0" w:lastRow="0" w:firstColumn="1" w:lastColumn="0" w:oddVBand="0" w:evenVBand="0" w:oddHBand="0" w:evenHBand="0" w:firstRowFirstColumn="0" w:firstRowLastColumn="0" w:lastRowFirstColumn="0" w:lastRowLastColumn="0"/>
            <w:tcW w:w="1210" w:type="dxa"/>
          </w:tcPr>
          <w:p w:rsidR="000E7523" w:rsidRPr="002751FC" w:rsidRDefault="000E7523"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SFS</w:t>
            </w:r>
          </w:p>
        </w:tc>
        <w:tc>
          <w:tcPr>
            <w:tcW w:w="8150" w:type="dxa"/>
          </w:tcPr>
          <w:p w:rsidR="000E7523" w:rsidRPr="002751FC" w:rsidRDefault="000E7523"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Serviciul Fiscal de Stat</w:t>
            </w:r>
          </w:p>
        </w:tc>
      </w:tr>
      <w:tr w:rsidR="000E7523"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0E7523" w:rsidRPr="002751FC" w:rsidRDefault="000E7523"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SV</w:t>
            </w:r>
          </w:p>
        </w:tc>
        <w:tc>
          <w:tcPr>
            <w:tcW w:w="8150" w:type="dxa"/>
          </w:tcPr>
          <w:p w:rsidR="000E7523" w:rsidRPr="002751FC" w:rsidRDefault="000E7523"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Serviciul Vamal</w:t>
            </w:r>
          </w:p>
        </w:tc>
      </w:tr>
      <w:tr w:rsidR="000E7523" w:rsidRPr="002751FC" w:rsidTr="008E6A80">
        <w:tc>
          <w:tcPr>
            <w:cnfStyle w:val="001000000000" w:firstRow="0" w:lastRow="0" w:firstColumn="1" w:lastColumn="0" w:oddVBand="0" w:evenVBand="0" w:oddHBand="0" w:evenHBand="0" w:firstRowFirstColumn="0" w:firstRowLastColumn="0" w:lastRowFirstColumn="0" w:lastRowLastColumn="0"/>
            <w:tcW w:w="1210" w:type="dxa"/>
          </w:tcPr>
          <w:p w:rsidR="000E7523" w:rsidRPr="002751FC" w:rsidRDefault="000E7523"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SI</w:t>
            </w:r>
          </w:p>
        </w:tc>
        <w:tc>
          <w:tcPr>
            <w:tcW w:w="8150" w:type="dxa"/>
          </w:tcPr>
          <w:p w:rsidR="000E7523" w:rsidRPr="002751FC" w:rsidRDefault="00586B85"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Sistem informaţional</w:t>
            </w:r>
          </w:p>
        </w:tc>
      </w:tr>
      <w:tr w:rsidR="00ED002E"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0E7523" w:rsidRPr="002751FC" w:rsidRDefault="000E7523"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SIA</w:t>
            </w:r>
          </w:p>
        </w:tc>
        <w:tc>
          <w:tcPr>
            <w:tcW w:w="8150" w:type="dxa"/>
          </w:tcPr>
          <w:p w:rsidR="000E7523" w:rsidRPr="002751FC" w:rsidRDefault="00586B85"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Sistem informaţional automatizat</w:t>
            </w:r>
          </w:p>
        </w:tc>
      </w:tr>
      <w:tr w:rsidR="000E7523" w:rsidRPr="002751FC" w:rsidTr="008E6A80">
        <w:tc>
          <w:tcPr>
            <w:cnfStyle w:val="001000000000" w:firstRow="0" w:lastRow="0" w:firstColumn="1" w:lastColumn="0" w:oddVBand="0" w:evenVBand="0" w:oddHBand="0" w:evenHBand="0" w:firstRowFirstColumn="0" w:firstRowLastColumn="0" w:lastRowFirstColumn="0" w:lastRowLastColumn="0"/>
            <w:tcW w:w="1210" w:type="dxa"/>
          </w:tcPr>
          <w:p w:rsidR="000E7523" w:rsidRPr="002751FC" w:rsidRDefault="000E7523" w:rsidP="00A03C37">
            <w:pPr>
              <w:rPr>
                <w:rFonts w:asciiTheme="majorHAnsi" w:hAnsiTheme="majorHAnsi" w:cstheme="majorHAnsi"/>
                <w:sz w:val="28"/>
                <w:szCs w:val="28"/>
                <w:lang w:val="ro-MD"/>
              </w:rPr>
            </w:pPr>
            <w:r w:rsidRPr="002751FC">
              <w:rPr>
                <w:rFonts w:asciiTheme="majorHAnsi" w:hAnsiTheme="majorHAnsi" w:cstheme="majorHAnsi"/>
                <w:sz w:val="28"/>
                <w:szCs w:val="28"/>
                <w:lang w:val="ro-MD"/>
              </w:rPr>
              <w:t>SRL</w:t>
            </w:r>
          </w:p>
        </w:tc>
        <w:tc>
          <w:tcPr>
            <w:tcW w:w="8150" w:type="dxa"/>
          </w:tcPr>
          <w:p w:rsidR="000E7523" w:rsidRPr="002751FC" w:rsidRDefault="00586B85"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o-MD"/>
              </w:rPr>
            </w:pPr>
            <w:r w:rsidRPr="002751FC">
              <w:rPr>
                <w:rFonts w:asciiTheme="majorHAnsi" w:hAnsiTheme="majorHAnsi" w:cstheme="majorHAnsi"/>
                <w:sz w:val="28"/>
                <w:szCs w:val="28"/>
                <w:lang w:val="ro-MD"/>
              </w:rPr>
              <w:t>Societate cu răspundere limitată</w:t>
            </w:r>
          </w:p>
        </w:tc>
      </w:tr>
    </w:tbl>
    <w:p w:rsidR="00974C87" w:rsidRPr="002751FC" w:rsidRDefault="00974C87" w:rsidP="00A03C37">
      <w:pPr>
        <w:spacing w:after="0" w:line="240" w:lineRule="auto"/>
        <w:rPr>
          <w:rFonts w:asciiTheme="majorHAnsi" w:hAnsiTheme="majorHAnsi" w:cstheme="majorHAnsi"/>
          <w:sz w:val="28"/>
          <w:szCs w:val="28"/>
          <w:lang w:val="ro-MD"/>
        </w:rPr>
      </w:pPr>
    </w:p>
    <w:p w:rsidR="00974C87" w:rsidRPr="002751FC" w:rsidRDefault="00974C87" w:rsidP="00A03C37">
      <w:pPr>
        <w:spacing w:after="0" w:line="240" w:lineRule="auto"/>
        <w:rPr>
          <w:rFonts w:asciiTheme="majorHAnsi" w:eastAsia="Times New Roman" w:hAnsiTheme="majorHAnsi" w:cstheme="majorHAnsi"/>
          <w:sz w:val="28"/>
          <w:szCs w:val="28"/>
          <w:lang w:val="ro-MD"/>
        </w:rPr>
      </w:pPr>
    </w:p>
    <w:p w:rsidR="00974C87" w:rsidRPr="002751FC" w:rsidRDefault="00974C87" w:rsidP="00A03C37">
      <w:pPr>
        <w:spacing w:after="0" w:line="240" w:lineRule="auto"/>
        <w:rPr>
          <w:rFonts w:asciiTheme="majorHAnsi" w:eastAsiaTheme="majorEastAsia" w:hAnsiTheme="majorHAnsi" w:cstheme="majorHAnsi"/>
          <w:b/>
          <w:sz w:val="28"/>
          <w:szCs w:val="28"/>
          <w:lang w:val="ro-MD"/>
        </w:rPr>
      </w:pPr>
      <w:r w:rsidRPr="002751FC">
        <w:rPr>
          <w:rFonts w:asciiTheme="majorHAnsi" w:hAnsiTheme="majorHAnsi" w:cstheme="majorHAnsi"/>
          <w:b/>
          <w:sz w:val="28"/>
          <w:szCs w:val="28"/>
          <w:lang w:val="ro-MD"/>
        </w:rPr>
        <w:br w:type="page"/>
      </w:r>
    </w:p>
    <w:p w:rsidR="00974C87" w:rsidRPr="002751FC" w:rsidRDefault="00974C87" w:rsidP="00974C87">
      <w:pPr>
        <w:pStyle w:val="1"/>
        <w:spacing w:before="120"/>
        <w:jc w:val="center"/>
        <w:rPr>
          <w:rFonts w:cstheme="majorHAnsi"/>
          <w:b/>
          <w:color w:val="auto"/>
          <w:sz w:val="28"/>
          <w:szCs w:val="28"/>
          <w:lang w:val="ro-MD"/>
        </w:rPr>
      </w:pPr>
      <w:bookmarkStart w:id="3" w:name="_Toc23259082"/>
      <w:r w:rsidRPr="002751FC">
        <w:rPr>
          <w:rFonts w:cstheme="majorHAnsi"/>
          <w:b/>
          <w:color w:val="auto"/>
          <w:sz w:val="28"/>
          <w:szCs w:val="28"/>
          <w:lang w:val="ro-MD"/>
        </w:rPr>
        <w:lastRenderedPageBreak/>
        <w:t>GLOSAR</w:t>
      </w:r>
      <w:bookmarkEnd w:id="3"/>
    </w:p>
    <w:p w:rsidR="00974C87" w:rsidRPr="002751FC" w:rsidRDefault="00974C87" w:rsidP="00974C87">
      <w:pPr>
        <w:rPr>
          <w:rFonts w:asciiTheme="majorHAnsi" w:hAnsiTheme="majorHAnsi" w:cstheme="majorHAnsi"/>
          <w:sz w:val="28"/>
          <w:szCs w:val="28"/>
          <w:lang w:val="ro-MD"/>
        </w:rPr>
      </w:pPr>
    </w:p>
    <w:tbl>
      <w:tblPr>
        <w:tblStyle w:val="GridTable2-Accent51"/>
        <w:tblW w:w="0" w:type="auto"/>
        <w:tblLook w:val="04A0" w:firstRow="1" w:lastRow="0" w:firstColumn="1" w:lastColumn="0" w:noHBand="0" w:noVBand="1"/>
      </w:tblPr>
      <w:tblGrid>
        <w:gridCol w:w="2122"/>
        <w:gridCol w:w="7404"/>
      </w:tblGrid>
      <w:tr w:rsidR="00974C87" w:rsidRPr="002751FC" w:rsidTr="00A03C37">
        <w:trPr>
          <w:cnfStyle w:val="100000000000" w:firstRow="1" w:lastRow="0" w:firstColumn="0" w:lastColumn="0" w:oddVBand="0" w:evenVBand="0" w:oddHBand="0"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jc w:val="both"/>
              <w:rPr>
                <w:rFonts w:asciiTheme="majorHAnsi" w:hAnsiTheme="majorHAnsi" w:cstheme="majorHAnsi"/>
                <w:b w:val="0"/>
                <w:sz w:val="20"/>
                <w:szCs w:val="20"/>
                <w:lang w:val="ro-MD"/>
              </w:rPr>
            </w:pPr>
            <w:r w:rsidRPr="002751FC">
              <w:rPr>
                <w:rFonts w:asciiTheme="majorHAnsi" w:eastAsia="Times New Roman" w:hAnsiTheme="majorHAnsi" w:cstheme="majorHAnsi"/>
                <w:iCs/>
                <w:sz w:val="20"/>
                <w:szCs w:val="20"/>
                <w:lang w:val="ro-MD"/>
              </w:rPr>
              <w:t xml:space="preserve">Areal vitivinicol </w:t>
            </w:r>
          </w:p>
        </w:tc>
        <w:tc>
          <w:tcPr>
            <w:tcW w:w="7404" w:type="dxa"/>
          </w:tcPr>
          <w:p w:rsidR="00974C87" w:rsidRPr="002751FC" w:rsidRDefault="00974C87" w:rsidP="000D0D96">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sidRPr="002751FC">
              <w:rPr>
                <w:rFonts w:asciiTheme="majorHAnsi" w:eastAsia="Times New Roman" w:hAnsiTheme="majorHAnsi" w:cstheme="majorHAnsi"/>
                <w:b w:val="0"/>
                <w:iCs/>
                <w:sz w:val="20"/>
                <w:szCs w:val="20"/>
                <w:lang w:val="ro-MD"/>
              </w:rPr>
              <w:t xml:space="preserve">arie teritorial-geografică a culturii </w:t>
            </w:r>
            <w:proofErr w:type="spellStart"/>
            <w:r w:rsidRPr="002751FC">
              <w:rPr>
                <w:rFonts w:asciiTheme="majorHAnsi" w:eastAsia="Times New Roman" w:hAnsiTheme="majorHAnsi" w:cstheme="majorHAnsi"/>
                <w:b w:val="0"/>
                <w:iCs/>
                <w:sz w:val="20"/>
                <w:szCs w:val="20"/>
                <w:lang w:val="ro-MD"/>
              </w:rPr>
              <w:t>viţei</w:t>
            </w:r>
            <w:proofErr w:type="spellEnd"/>
            <w:r w:rsidR="000D0D96" w:rsidRPr="002751FC">
              <w:rPr>
                <w:rFonts w:asciiTheme="majorHAnsi" w:eastAsia="Times New Roman" w:hAnsiTheme="majorHAnsi" w:cstheme="majorHAnsi"/>
                <w:b w:val="0"/>
                <w:iCs/>
                <w:sz w:val="20"/>
                <w:szCs w:val="20"/>
                <w:lang w:val="ro-MD"/>
              </w:rPr>
              <w:t>-</w:t>
            </w:r>
            <w:r w:rsidRPr="002751FC">
              <w:rPr>
                <w:rFonts w:asciiTheme="majorHAnsi" w:eastAsia="Times New Roman" w:hAnsiTheme="majorHAnsi" w:cstheme="majorHAnsi"/>
                <w:b w:val="0"/>
                <w:iCs/>
                <w:sz w:val="20"/>
                <w:szCs w:val="20"/>
                <w:lang w:val="ro-MD"/>
              </w:rPr>
              <w:t>de</w:t>
            </w:r>
            <w:r w:rsidR="000D0D96" w:rsidRPr="002751FC">
              <w:rPr>
                <w:rFonts w:asciiTheme="majorHAnsi" w:eastAsia="Times New Roman" w:hAnsiTheme="majorHAnsi" w:cstheme="majorHAnsi"/>
                <w:b w:val="0"/>
                <w:iCs/>
                <w:sz w:val="20"/>
                <w:szCs w:val="20"/>
                <w:lang w:val="ro-MD"/>
              </w:rPr>
              <w:t>-</w:t>
            </w:r>
            <w:r w:rsidRPr="002751FC">
              <w:rPr>
                <w:rFonts w:asciiTheme="majorHAnsi" w:eastAsia="Times New Roman" w:hAnsiTheme="majorHAnsi" w:cstheme="majorHAnsi"/>
                <w:b w:val="0"/>
                <w:iCs/>
                <w:sz w:val="20"/>
                <w:szCs w:val="20"/>
                <w:lang w:val="ro-MD"/>
              </w:rPr>
              <w:t xml:space="preserve">vie, caracterizată prin anumite </w:t>
            </w:r>
            <w:proofErr w:type="spellStart"/>
            <w:r w:rsidRPr="002751FC">
              <w:rPr>
                <w:rFonts w:asciiTheme="majorHAnsi" w:eastAsia="Times New Roman" w:hAnsiTheme="majorHAnsi" w:cstheme="majorHAnsi"/>
                <w:b w:val="0"/>
                <w:iCs/>
                <w:sz w:val="20"/>
                <w:szCs w:val="20"/>
                <w:lang w:val="ro-MD"/>
              </w:rPr>
              <w:t>condiţii</w:t>
            </w:r>
            <w:proofErr w:type="spellEnd"/>
            <w:r w:rsidRPr="002751FC">
              <w:rPr>
                <w:rFonts w:asciiTheme="majorHAnsi" w:eastAsia="Times New Roman" w:hAnsiTheme="majorHAnsi" w:cstheme="majorHAnsi"/>
                <w:b w:val="0"/>
                <w:iCs/>
                <w:sz w:val="20"/>
                <w:szCs w:val="20"/>
                <w:lang w:val="ro-MD"/>
              </w:rPr>
              <w:t xml:space="preserve"> ecologice, metode de cultivare, </w:t>
            </w:r>
            <w:proofErr w:type="spellStart"/>
            <w:r w:rsidRPr="002751FC">
              <w:rPr>
                <w:rFonts w:asciiTheme="majorHAnsi" w:eastAsia="Times New Roman" w:hAnsiTheme="majorHAnsi" w:cstheme="majorHAnsi"/>
                <w:b w:val="0"/>
                <w:iCs/>
                <w:sz w:val="20"/>
                <w:szCs w:val="20"/>
                <w:lang w:val="ro-MD"/>
              </w:rPr>
              <w:t>direcţii</w:t>
            </w:r>
            <w:proofErr w:type="spellEnd"/>
            <w:r w:rsidRPr="002751FC">
              <w:rPr>
                <w:rFonts w:asciiTheme="majorHAnsi" w:eastAsia="Times New Roman" w:hAnsiTheme="majorHAnsi" w:cstheme="majorHAnsi"/>
                <w:b w:val="0"/>
                <w:iCs/>
                <w:sz w:val="20"/>
                <w:szCs w:val="20"/>
                <w:lang w:val="ro-MD"/>
              </w:rPr>
              <w:t xml:space="preserve"> de utilizare a strugurilor, procedee de vinificare, </w:t>
            </w:r>
            <w:proofErr w:type="spellStart"/>
            <w:r w:rsidRPr="002751FC">
              <w:rPr>
                <w:rFonts w:asciiTheme="majorHAnsi" w:eastAsia="Times New Roman" w:hAnsiTheme="majorHAnsi" w:cstheme="majorHAnsi"/>
                <w:b w:val="0"/>
                <w:iCs/>
                <w:sz w:val="20"/>
                <w:szCs w:val="20"/>
                <w:lang w:val="ro-MD"/>
              </w:rPr>
              <w:t>tradiţii</w:t>
            </w:r>
            <w:proofErr w:type="spellEnd"/>
            <w:r w:rsidRPr="002751FC">
              <w:rPr>
                <w:rFonts w:asciiTheme="majorHAnsi" w:eastAsia="Times New Roman" w:hAnsiTheme="majorHAnsi" w:cstheme="majorHAnsi"/>
                <w:b w:val="0"/>
                <w:iCs/>
                <w:sz w:val="20"/>
                <w:szCs w:val="20"/>
                <w:lang w:val="ro-MD"/>
              </w:rPr>
              <w:t xml:space="preserve"> specifice de cultivare şi de producere</w:t>
            </w:r>
          </w:p>
        </w:tc>
      </w:tr>
      <w:tr w:rsidR="00974C87"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hAnsiTheme="majorHAnsi" w:cstheme="majorHAnsi"/>
                <w:b w:val="0"/>
                <w:sz w:val="20"/>
                <w:szCs w:val="20"/>
                <w:lang w:val="ro-MD"/>
              </w:rPr>
            </w:pPr>
            <w:r w:rsidRPr="002751FC">
              <w:rPr>
                <w:rFonts w:asciiTheme="majorHAnsi" w:eastAsia="Times New Roman" w:hAnsiTheme="majorHAnsi" w:cstheme="majorHAnsi"/>
                <w:iCs/>
                <w:sz w:val="20"/>
                <w:szCs w:val="20"/>
                <w:lang w:val="ro-MD"/>
              </w:rPr>
              <w:t xml:space="preserve">Unitate vinicolă </w:t>
            </w:r>
          </w:p>
        </w:tc>
        <w:tc>
          <w:tcPr>
            <w:tcW w:w="7404" w:type="dxa"/>
          </w:tcPr>
          <w:p w:rsidR="00974C87" w:rsidRPr="002751FC" w:rsidRDefault="00974C87" w:rsidP="008E6A80">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2751FC">
              <w:rPr>
                <w:rFonts w:asciiTheme="majorHAnsi" w:eastAsia="Times New Roman" w:hAnsiTheme="majorHAnsi" w:cstheme="majorHAnsi"/>
                <w:iCs/>
                <w:sz w:val="20"/>
                <w:szCs w:val="20"/>
                <w:lang w:val="ro-MD"/>
              </w:rPr>
              <w:t>persoană fizică sau persoană juridică care practică cel puţin una din următoarele activităţi: fabricare, stocare, comercializare cu ridicata a vinurilor, produselor obţinute pe bază de must şi produselor obţinute pe bază de vin</w:t>
            </w:r>
          </w:p>
        </w:tc>
      </w:tr>
      <w:tr w:rsidR="00974C87" w:rsidRPr="002751FC"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hAnsiTheme="majorHAnsi" w:cstheme="majorHAnsi"/>
                <w:b w:val="0"/>
                <w:sz w:val="20"/>
                <w:szCs w:val="20"/>
                <w:lang w:val="ro-MD"/>
              </w:rPr>
            </w:pPr>
            <w:r w:rsidRPr="002751FC">
              <w:rPr>
                <w:rFonts w:asciiTheme="majorHAnsi" w:eastAsia="Times New Roman" w:hAnsiTheme="majorHAnsi" w:cstheme="majorHAnsi"/>
                <w:iCs/>
                <w:sz w:val="20"/>
                <w:szCs w:val="20"/>
                <w:lang w:val="ro-MD"/>
              </w:rPr>
              <w:t>Mic producător de vin</w:t>
            </w:r>
          </w:p>
        </w:tc>
        <w:tc>
          <w:tcPr>
            <w:tcW w:w="7404" w:type="dxa"/>
          </w:tcPr>
          <w:p w:rsidR="00974C87" w:rsidRPr="002751FC" w:rsidRDefault="00974C87" w:rsidP="000D0D96">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751FC">
              <w:rPr>
                <w:rFonts w:asciiTheme="majorHAnsi" w:eastAsia="Times New Roman" w:hAnsiTheme="majorHAnsi" w:cstheme="majorHAnsi"/>
                <w:iCs/>
                <w:sz w:val="20"/>
                <w:szCs w:val="20"/>
                <w:lang w:val="ro-MD"/>
              </w:rPr>
              <w:t>unitate vinicolă care produce până la 100</w:t>
            </w:r>
            <w:r w:rsidR="000D0D96" w:rsidRPr="002751FC">
              <w:rPr>
                <w:rFonts w:asciiTheme="majorHAnsi" w:eastAsia="Times New Roman" w:hAnsiTheme="majorHAnsi" w:cstheme="majorHAnsi"/>
                <w:iCs/>
                <w:sz w:val="20"/>
                <w:szCs w:val="20"/>
                <w:lang w:val="ro-MD"/>
              </w:rPr>
              <w:t xml:space="preserve"> </w:t>
            </w:r>
            <w:r w:rsidRPr="002751FC">
              <w:rPr>
                <w:rFonts w:asciiTheme="majorHAnsi" w:eastAsia="Times New Roman" w:hAnsiTheme="majorHAnsi" w:cstheme="majorHAnsi"/>
                <w:iCs/>
                <w:sz w:val="20"/>
                <w:szCs w:val="20"/>
                <w:lang w:val="ro-MD"/>
              </w:rPr>
              <w:t xml:space="preserve">000 litri de vin anual, deţine cel puţin 1 ha şi cel mult 20 ha de </w:t>
            </w:r>
            <w:proofErr w:type="spellStart"/>
            <w:r w:rsidRPr="002751FC">
              <w:rPr>
                <w:rFonts w:asciiTheme="majorHAnsi" w:eastAsia="Times New Roman" w:hAnsiTheme="majorHAnsi" w:cstheme="majorHAnsi"/>
                <w:iCs/>
                <w:sz w:val="20"/>
                <w:szCs w:val="20"/>
                <w:lang w:val="ro-MD"/>
              </w:rPr>
              <w:t>viţă</w:t>
            </w:r>
            <w:proofErr w:type="spellEnd"/>
            <w:r w:rsidR="000D0D96" w:rsidRPr="002751FC">
              <w:rPr>
                <w:rFonts w:asciiTheme="majorHAnsi" w:eastAsia="Times New Roman" w:hAnsiTheme="majorHAnsi" w:cstheme="majorHAnsi"/>
                <w:iCs/>
                <w:sz w:val="20"/>
                <w:szCs w:val="20"/>
                <w:lang w:val="ro-MD"/>
              </w:rPr>
              <w:t>-</w:t>
            </w:r>
            <w:r w:rsidRPr="002751FC">
              <w:rPr>
                <w:rFonts w:asciiTheme="majorHAnsi" w:eastAsia="Times New Roman" w:hAnsiTheme="majorHAnsi" w:cstheme="majorHAnsi"/>
                <w:iCs/>
                <w:sz w:val="20"/>
                <w:szCs w:val="20"/>
                <w:lang w:val="ro-MD"/>
              </w:rPr>
              <w:t>de</w:t>
            </w:r>
            <w:r w:rsidR="000D0D96" w:rsidRPr="002751FC">
              <w:rPr>
                <w:rFonts w:asciiTheme="majorHAnsi" w:eastAsia="Times New Roman" w:hAnsiTheme="majorHAnsi" w:cstheme="majorHAnsi"/>
                <w:iCs/>
                <w:sz w:val="20"/>
                <w:szCs w:val="20"/>
                <w:lang w:val="ro-MD"/>
              </w:rPr>
              <w:t>-</w:t>
            </w:r>
            <w:r w:rsidRPr="002751FC">
              <w:rPr>
                <w:rFonts w:asciiTheme="majorHAnsi" w:eastAsia="Times New Roman" w:hAnsiTheme="majorHAnsi" w:cstheme="majorHAnsi"/>
                <w:iCs/>
                <w:sz w:val="20"/>
                <w:szCs w:val="20"/>
                <w:lang w:val="ro-MD"/>
              </w:rPr>
              <w:t xml:space="preserve">vie </w:t>
            </w:r>
            <w:proofErr w:type="spellStart"/>
            <w:r w:rsidRPr="002751FC">
              <w:rPr>
                <w:rFonts w:asciiTheme="majorHAnsi" w:eastAsia="Times New Roman" w:hAnsiTheme="majorHAnsi" w:cstheme="majorHAnsi"/>
                <w:iCs/>
                <w:sz w:val="20"/>
                <w:szCs w:val="20"/>
                <w:lang w:val="ro-MD"/>
              </w:rPr>
              <w:t>şi</w:t>
            </w:r>
            <w:proofErr w:type="spellEnd"/>
            <w:r w:rsidRPr="002751FC">
              <w:rPr>
                <w:rFonts w:asciiTheme="majorHAnsi" w:eastAsia="Times New Roman" w:hAnsiTheme="majorHAnsi" w:cstheme="majorHAnsi"/>
                <w:iCs/>
                <w:sz w:val="20"/>
                <w:szCs w:val="20"/>
                <w:lang w:val="ro-MD"/>
              </w:rPr>
              <w:t xml:space="preserve"> este independentă, din punct de vedere juridic, de orice altă unitate vinicolă</w:t>
            </w:r>
          </w:p>
        </w:tc>
      </w:tr>
      <w:tr w:rsidR="00974C87"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0D0D96">
            <w:pPr>
              <w:spacing w:after="160" w:line="259" w:lineRule="auto"/>
              <w:rPr>
                <w:rFonts w:asciiTheme="majorHAnsi" w:hAnsiTheme="majorHAnsi" w:cstheme="majorHAnsi"/>
                <w:b w:val="0"/>
                <w:sz w:val="20"/>
                <w:szCs w:val="20"/>
                <w:lang w:val="ro-MD"/>
              </w:rPr>
            </w:pPr>
            <w:r w:rsidRPr="002751FC">
              <w:rPr>
                <w:rFonts w:asciiTheme="majorHAnsi" w:eastAsia="Times New Roman" w:hAnsiTheme="majorHAnsi" w:cstheme="majorHAnsi"/>
                <w:iCs/>
                <w:sz w:val="20"/>
                <w:szCs w:val="20"/>
                <w:lang w:val="ro-MD"/>
              </w:rPr>
              <w:t xml:space="preserve">Pepinieră viticolă </w:t>
            </w:r>
          </w:p>
        </w:tc>
        <w:tc>
          <w:tcPr>
            <w:tcW w:w="7404" w:type="dxa"/>
          </w:tcPr>
          <w:p w:rsidR="00974C87" w:rsidRPr="002751FC" w:rsidRDefault="00974C87" w:rsidP="008E6A80">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2751FC">
              <w:rPr>
                <w:rFonts w:asciiTheme="majorHAnsi" w:eastAsia="Times New Roman" w:hAnsiTheme="majorHAnsi" w:cstheme="majorHAnsi"/>
                <w:iCs/>
                <w:sz w:val="20"/>
                <w:szCs w:val="20"/>
                <w:lang w:val="ro-MD"/>
              </w:rPr>
              <w:t xml:space="preserve">unitate de </w:t>
            </w:r>
            <w:proofErr w:type="spellStart"/>
            <w:r w:rsidRPr="002751FC">
              <w:rPr>
                <w:rFonts w:asciiTheme="majorHAnsi" w:eastAsia="Times New Roman" w:hAnsiTheme="majorHAnsi" w:cstheme="majorHAnsi"/>
                <w:iCs/>
                <w:sz w:val="20"/>
                <w:szCs w:val="20"/>
                <w:lang w:val="ro-MD"/>
              </w:rPr>
              <w:t>producţie</w:t>
            </w:r>
            <w:proofErr w:type="spellEnd"/>
            <w:r w:rsidRPr="002751FC">
              <w:rPr>
                <w:rFonts w:asciiTheme="majorHAnsi" w:eastAsia="Times New Roman" w:hAnsiTheme="majorHAnsi" w:cstheme="majorHAnsi"/>
                <w:iCs/>
                <w:sz w:val="20"/>
                <w:szCs w:val="20"/>
                <w:lang w:val="ro-MD"/>
              </w:rPr>
              <w:t xml:space="preserve"> destinată </w:t>
            </w:r>
            <w:proofErr w:type="spellStart"/>
            <w:r w:rsidRPr="002751FC">
              <w:rPr>
                <w:rFonts w:asciiTheme="majorHAnsi" w:eastAsia="Times New Roman" w:hAnsiTheme="majorHAnsi" w:cstheme="majorHAnsi"/>
                <w:iCs/>
                <w:sz w:val="20"/>
                <w:szCs w:val="20"/>
                <w:lang w:val="ro-MD"/>
              </w:rPr>
              <w:t>obţinerii</w:t>
            </w:r>
            <w:proofErr w:type="spellEnd"/>
            <w:r w:rsidRPr="002751FC">
              <w:rPr>
                <w:rFonts w:asciiTheme="majorHAnsi" w:eastAsia="Times New Roman" w:hAnsiTheme="majorHAnsi" w:cstheme="majorHAnsi"/>
                <w:iCs/>
                <w:sz w:val="20"/>
                <w:szCs w:val="20"/>
                <w:lang w:val="ro-MD"/>
              </w:rPr>
              <w:t xml:space="preserve"> materialului de </w:t>
            </w:r>
            <w:proofErr w:type="spellStart"/>
            <w:r w:rsidRPr="002751FC">
              <w:rPr>
                <w:rFonts w:asciiTheme="majorHAnsi" w:eastAsia="Times New Roman" w:hAnsiTheme="majorHAnsi" w:cstheme="majorHAnsi"/>
                <w:iCs/>
                <w:sz w:val="20"/>
                <w:szCs w:val="20"/>
                <w:lang w:val="ro-MD"/>
              </w:rPr>
              <w:t>înmulţire</w:t>
            </w:r>
            <w:proofErr w:type="spellEnd"/>
            <w:r w:rsidRPr="002751FC">
              <w:rPr>
                <w:rFonts w:asciiTheme="majorHAnsi" w:eastAsia="Times New Roman" w:hAnsiTheme="majorHAnsi" w:cstheme="majorHAnsi"/>
                <w:iCs/>
                <w:sz w:val="20"/>
                <w:szCs w:val="20"/>
                <w:lang w:val="ro-MD"/>
              </w:rPr>
              <w:t xml:space="preserve"> </w:t>
            </w:r>
            <w:proofErr w:type="spellStart"/>
            <w:r w:rsidRPr="002751FC">
              <w:rPr>
                <w:rFonts w:asciiTheme="majorHAnsi" w:eastAsia="Times New Roman" w:hAnsiTheme="majorHAnsi" w:cstheme="majorHAnsi"/>
                <w:iCs/>
                <w:sz w:val="20"/>
                <w:szCs w:val="20"/>
                <w:lang w:val="ro-MD"/>
              </w:rPr>
              <w:t>şi</w:t>
            </w:r>
            <w:proofErr w:type="spellEnd"/>
            <w:r w:rsidRPr="002751FC">
              <w:rPr>
                <w:rFonts w:asciiTheme="majorHAnsi" w:eastAsia="Times New Roman" w:hAnsiTheme="majorHAnsi" w:cstheme="majorHAnsi"/>
                <w:iCs/>
                <w:sz w:val="20"/>
                <w:szCs w:val="20"/>
                <w:lang w:val="ro-MD"/>
              </w:rPr>
              <w:t xml:space="preserve"> săditor viticol</w:t>
            </w:r>
          </w:p>
        </w:tc>
      </w:tr>
      <w:tr w:rsidR="00974C87" w:rsidRPr="002751FC"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hAnsiTheme="majorHAnsi" w:cstheme="majorHAnsi"/>
                <w:b w:val="0"/>
                <w:sz w:val="20"/>
                <w:szCs w:val="20"/>
                <w:lang w:val="ro-MD"/>
              </w:rPr>
            </w:pPr>
            <w:proofErr w:type="spellStart"/>
            <w:r w:rsidRPr="002751FC">
              <w:rPr>
                <w:rFonts w:asciiTheme="majorHAnsi" w:eastAsia="Times New Roman" w:hAnsiTheme="majorHAnsi" w:cstheme="majorHAnsi"/>
                <w:iCs/>
                <w:sz w:val="20"/>
                <w:szCs w:val="20"/>
                <w:lang w:val="ro-MD"/>
              </w:rPr>
              <w:t>Şcoală</w:t>
            </w:r>
            <w:proofErr w:type="spellEnd"/>
            <w:r w:rsidRPr="002751FC">
              <w:rPr>
                <w:rFonts w:asciiTheme="majorHAnsi" w:eastAsia="Times New Roman" w:hAnsiTheme="majorHAnsi" w:cstheme="majorHAnsi"/>
                <w:iCs/>
                <w:sz w:val="20"/>
                <w:szCs w:val="20"/>
                <w:lang w:val="ro-MD"/>
              </w:rPr>
              <w:t xml:space="preserve"> de </w:t>
            </w:r>
            <w:proofErr w:type="spellStart"/>
            <w:r w:rsidRPr="002751FC">
              <w:rPr>
                <w:rFonts w:asciiTheme="majorHAnsi" w:eastAsia="Times New Roman" w:hAnsiTheme="majorHAnsi" w:cstheme="majorHAnsi"/>
                <w:iCs/>
                <w:sz w:val="20"/>
                <w:szCs w:val="20"/>
                <w:lang w:val="ro-MD"/>
              </w:rPr>
              <w:t>viţe</w:t>
            </w:r>
            <w:proofErr w:type="spellEnd"/>
            <w:r w:rsidRPr="002751FC">
              <w:rPr>
                <w:rFonts w:asciiTheme="majorHAnsi" w:eastAsia="Times New Roman" w:hAnsiTheme="majorHAnsi" w:cstheme="majorHAnsi"/>
                <w:iCs/>
                <w:sz w:val="20"/>
                <w:szCs w:val="20"/>
                <w:lang w:val="ro-MD"/>
              </w:rPr>
              <w:t xml:space="preserve"> </w:t>
            </w:r>
          </w:p>
        </w:tc>
        <w:tc>
          <w:tcPr>
            <w:tcW w:w="7404" w:type="dxa"/>
          </w:tcPr>
          <w:p w:rsidR="00974C87" w:rsidRPr="002751FC" w:rsidRDefault="00974C87" w:rsidP="008E6A80">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751FC">
              <w:rPr>
                <w:rFonts w:asciiTheme="majorHAnsi" w:eastAsia="Times New Roman" w:hAnsiTheme="majorHAnsi" w:cstheme="majorHAnsi"/>
                <w:iCs/>
                <w:sz w:val="20"/>
                <w:szCs w:val="20"/>
                <w:lang w:val="ro-MD"/>
              </w:rPr>
              <w:t xml:space="preserve">teren arabil destinat înrădăcinării materialului de </w:t>
            </w:r>
            <w:proofErr w:type="spellStart"/>
            <w:r w:rsidRPr="002751FC">
              <w:rPr>
                <w:rFonts w:asciiTheme="majorHAnsi" w:eastAsia="Times New Roman" w:hAnsiTheme="majorHAnsi" w:cstheme="majorHAnsi"/>
                <w:iCs/>
                <w:sz w:val="20"/>
                <w:szCs w:val="20"/>
                <w:lang w:val="ro-MD"/>
              </w:rPr>
              <w:t>înmulţire</w:t>
            </w:r>
            <w:proofErr w:type="spellEnd"/>
            <w:r w:rsidRPr="002751FC">
              <w:rPr>
                <w:rFonts w:asciiTheme="majorHAnsi" w:eastAsia="Times New Roman" w:hAnsiTheme="majorHAnsi" w:cstheme="majorHAnsi"/>
                <w:iCs/>
                <w:sz w:val="20"/>
                <w:szCs w:val="20"/>
                <w:lang w:val="ro-MD"/>
              </w:rPr>
              <w:t xml:space="preserve"> viticol </w:t>
            </w:r>
            <w:proofErr w:type="spellStart"/>
            <w:r w:rsidRPr="002751FC">
              <w:rPr>
                <w:rFonts w:asciiTheme="majorHAnsi" w:eastAsia="Times New Roman" w:hAnsiTheme="majorHAnsi" w:cstheme="majorHAnsi"/>
                <w:iCs/>
                <w:sz w:val="20"/>
                <w:szCs w:val="20"/>
                <w:lang w:val="ro-MD"/>
              </w:rPr>
              <w:t>şi</w:t>
            </w:r>
            <w:proofErr w:type="spellEnd"/>
            <w:r w:rsidRPr="002751FC">
              <w:rPr>
                <w:rFonts w:asciiTheme="majorHAnsi" w:eastAsia="Times New Roman" w:hAnsiTheme="majorHAnsi" w:cstheme="majorHAnsi"/>
                <w:iCs/>
                <w:sz w:val="20"/>
                <w:szCs w:val="20"/>
                <w:lang w:val="ro-MD"/>
              </w:rPr>
              <w:t xml:space="preserve"> </w:t>
            </w:r>
            <w:proofErr w:type="spellStart"/>
            <w:r w:rsidRPr="002751FC">
              <w:rPr>
                <w:rFonts w:asciiTheme="majorHAnsi" w:eastAsia="Times New Roman" w:hAnsiTheme="majorHAnsi" w:cstheme="majorHAnsi"/>
                <w:iCs/>
                <w:sz w:val="20"/>
                <w:szCs w:val="20"/>
                <w:lang w:val="ro-MD"/>
              </w:rPr>
              <w:t>obţinerii</w:t>
            </w:r>
            <w:proofErr w:type="spellEnd"/>
            <w:r w:rsidRPr="002751FC">
              <w:rPr>
                <w:rFonts w:asciiTheme="majorHAnsi" w:eastAsia="Times New Roman" w:hAnsiTheme="majorHAnsi" w:cstheme="majorHAnsi"/>
                <w:iCs/>
                <w:sz w:val="20"/>
                <w:szCs w:val="20"/>
                <w:lang w:val="ro-MD"/>
              </w:rPr>
              <w:t xml:space="preserve"> materialului săditor viticol</w:t>
            </w:r>
          </w:p>
        </w:tc>
      </w:tr>
      <w:tr w:rsidR="00974C87"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hAnsiTheme="majorHAnsi" w:cstheme="majorHAnsi"/>
                <w:b w:val="0"/>
                <w:sz w:val="20"/>
                <w:szCs w:val="20"/>
                <w:lang w:val="ro-MD"/>
              </w:rPr>
            </w:pPr>
            <w:r w:rsidRPr="002751FC">
              <w:rPr>
                <w:rFonts w:asciiTheme="majorHAnsi" w:eastAsia="Times New Roman" w:hAnsiTheme="majorHAnsi" w:cstheme="majorHAnsi"/>
                <w:iCs/>
                <w:sz w:val="20"/>
                <w:szCs w:val="20"/>
                <w:lang w:val="ro-MD"/>
              </w:rPr>
              <w:t xml:space="preserve">Material de </w:t>
            </w:r>
            <w:proofErr w:type="spellStart"/>
            <w:r w:rsidRPr="002751FC">
              <w:rPr>
                <w:rFonts w:asciiTheme="majorHAnsi" w:eastAsia="Times New Roman" w:hAnsiTheme="majorHAnsi" w:cstheme="majorHAnsi"/>
                <w:iCs/>
                <w:sz w:val="20"/>
                <w:szCs w:val="20"/>
                <w:lang w:val="ro-MD"/>
              </w:rPr>
              <w:t>înmulţire</w:t>
            </w:r>
            <w:proofErr w:type="spellEnd"/>
            <w:r w:rsidRPr="002751FC">
              <w:rPr>
                <w:rFonts w:asciiTheme="majorHAnsi" w:eastAsia="Times New Roman" w:hAnsiTheme="majorHAnsi" w:cstheme="majorHAnsi"/>
                <w:iCs/>
                <w:sz w:val="20"/>
                <w:szCs w:val="20"/>
                <w:lang w:val="ro-MD"/>
              </w:rPr>
              <w:t xml:space="preserve"> viticol </w:t>
            </w:r>
          </w:p>
        </w:tc>
        <w:tc>
          <w:tcPr>
            <w:tcW w:w="7404" w:type="dxa"/>
          </w:tcPr>
          <w:p w:rsidR="00974C87" w:rsidRPr="002751FC" w:rsidRDefault="00974C87" w:rsidP="008E6A80">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proofErr w:type="spellStart"/>
            <w:r w:rsidRPr="002751FC">
              <w:rPr>
                <w:rFonts w:asciiTheme="majorHAnsi" w:eastAsia="Times New Roman" w:hAnsiTheme="majorHAnsi" w:cstheme="majorHAnsi"/>
                <w:iCs/>
                <w:sz w:val="20"/>
                <w:szCs w:val="20"/>
                <w:lang w:val="ro-MD"/>
              </w:rPr>
              <w:t>porţiuni</w:t>
            </w:r>
            <w:proofErr w:type="spellEnd"/>
            <w:r w:rsidRPr="002751FC">
              <w:rPr>
                <w:rFonts w:asciiTheme="majorHAnsi" w:eastAsia="Times New Roman" w:hAnsiTheme="majorHAnsi" w:cstheme="majorHAnsi"/>
                <w:iCs/>
                <w:sz w:val="20"/>
                <w:szCs w:val="20"/>
                <w:lang w:val="ro-MD"/>
              </w:rPr>
              <w:t xml:space="preserve"> ale organelor vegetative (coarde, lăstari, muguri) destinate multiplicării</w:t>
            </w:r>
          </w:p>
        </w:tc>
      </w:tr>
      <w:tr w:rsidR="00974C87" w:rsidRPr="002751FC"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hAnsiTheme="majorHAnsi" w:cstheme="majorHAnsi"/>
                <w:b w:val="0"/>
                <w:sz w:val="20"/>
                <w:szCs w:val="20"/>
                <w:lang w:val="ro-MD"/>
              </w:rPr>
            </w:pPr>
            <w:r w:rsidRPr="002751FC">
              <w:rPr>
                <w:rFonts w:asciiTheme="majorHAnsi" w:eastAsia="Times New Roman" w:hAnsiTheme="majorHAnsi" w:cstheme="majorHAnsi"/>
                <w:iCs/>
                <w:sz w:val="20"/>
                <w:szCs w:val="20"/>
                <w:lang w:val="ro-MD"/>
              </w:rPr>
              <w:t xml:space="preserve">Material săditor viticol </w:t>
            </w:r>
          </w:p>
        </w:tc>
        <w:tc>
          <w:tcPr>
            <w:tcW w:w="7404" w:type="dxa"/>
          </w:tcPr>
          <w:p w:rsidR="00974C87" w:rsidRPr="002751FC" w:rsidRDefault="00974C87" w:rsidP="008E6A80">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2751FC">
              <w:rPr>
                <w:rFonts w:asciiTheme="majorHAnsi" w:eastAsia="Times New Roman" w:hAnsiTheme="majorHAnsi" w:cstheme="majorHAnsi"/>
                <w:iCs/>
                <w:sz w:val="20"/>
                <w:szCs w:val="20"/>
                <w:lang w:val="ro-MD"/>
              </w:rPr>
              <w:t xml:space="preserve">plante altoite şi plante pe rădăcini proprii, utilizate la </w:t>
            </w:r>
            <w:proofErr w:type="spellStart"/>
            <w:r w:rsidRPr="002751FC">
              <w:rPr>
                <w:rFonts w:asciiTheme="majorHAnsi" w:eastAsia="Times New Roman" w:hAnsiTheme="majorHAnsi" w:cstheme="majorHAnsi"/>
                <w:iCs/>
                <w:sz w:val="20"/>
                <w:szCs w:val="20"/>
                <w:lang w:val="ro-MD"/>
              </w:rPr>
              <w:t>înfiinţarea</w:t>
            </w:r>
            <w:proofErr w:type="spellEnd"/>
            <w:r w:rsidRPr="002751FC">
              <w:rPr>
                <w:rFonts w:asciiTheme="majorHAnsi" w:eastAsia="Times New Roman" w:hAnsiTheme="majorHAnsi" w:cstheme="majorHAnsi"/>
                <w:iCs/>
                <w:sz w:val="20"/>
                <w:szCs w:val="20"/>
                <w:lang w:val="ro-MD"/>
              </w:rPr>
              <w:t xml:space="preserve"> </w:t>
            </w:r>
            <w:proofErr w:type="spellStart"/>
            <w:r w:rsidRPr="002751FC">
              <w:rPr>
                <w:rFonts w:asciiTheme="majorHAnsi" w:eastAsia="Times New Roman" w:hAnsiTheme="majorHAnsi" w:cstheme="majorHAnsi"/>
                <w:iCs/>
                <w:sz w:val="20"/>
                <w:szCs w:val="20"/>
                <w:lang w:val="ro-MD"/>
              </w:rPr>
              <w:t>plantaţiilor</w:t>
            </w:r>
            <w:proofErr w:type="spellEnd"/>
            <w:r w:rsidRPr="002751FC">
              <w:rPr>
                <w:rFonts w:asciiTheme="majorHAnsi" w:eastAsia="Times New Roman" w:hAnsiTheme="majorHAnsi" w:cstheme="majorHAnsi"/>
                <w:iCs/>
                <w:sz w:val="20"/>
                <w:szCs w:val="20"/>
                <w:lang w:val="ro-MD"/>
              </w:rPr>
              <w:t xml:space="preserve"> viticole</w:t>
            </w:r>
          </w:p>
        </w:tc>
      </w:tr>
      <w:tr w:rsidR="00974C87"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hAnsiTheme="majorHAnsi" w:cstheme="majorHAnsi"/>
                <w:b w:val="0"/>
                <w:sz w:val="20"/>
                <w:szCs w:val="20"/>
                <w:lang w:val="ro-MD"/>
              </w:rPr>
            </w:pPr>
            <w:proofErr w:type="spellStart"/>
            <w:r w:rsidRPr="002751FC">
              <w:rPr>
                <w:rFonts w:asciiTheme="majorHAnsi" w:eastAsia="Times New Roman" w:hAnsiTheme="majorHAnsi" w:cstheme="majorHAnsi"/>
                <w:iCs/>
                <w:sz w:val="20"/>
                <w:szCs w:val="20"/>
                <w:lang w:val="ro-MD"/>
              </w:rPr>
              <w:t>Plantaţie</w:t>
            </w:r>
            <w:proofErr w:type="spellEnd"/>
            <w:r w:rsidRPr="002751FC">
              <w:rPr>
                <w:rFonts w:asciiTheme="majorHAnsi" w:eastAsia="Times New Roman" w:hAnsiTheme="majorHAnsi" w:cstheme="majorHAnsi"/>
                <w:iCs/>
                <w:sz w:val="20"/>
                <w:szCs w:val="20"/>
                <w:lang w:val="ro-MD"/>
              </w:rPr>
              <w:t xml:space="preserve"> viticolă </w:t>
            </w:r>
          </w:p>
        </w:tc>
        <w:tc>
          <w:tcPr>
            <w:tcW w:w="7404" w:type="dxa"/>
          </w:tcPr>
          <w:p w:rsidR="00974C87" w:rsidRPr="002751FC" w:rsidRDefault="00974C87" w:rsidP="000D0D9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2751FC">
              <w:rPr>
                <w:rFonts w:asciiTheme="majorHAnsi" w:eastAsia="Times New Roman" w:hAnsiTheme="majorHAnsi" w:cstheme="majorHAnsi"/>
                <w:iCs/>
                <w:sz w:val="20"/>
                <w:szCs w:val="20"/>
                <w:lang w:val="ro-MD"/>
              </w:rPr>
              <w:t xml:space="preserve">teren agricol valorificat cu </w:t>
            </w:r>
            <w:proofErr w:type="spellStart"/>
            <w:r w:rsidRPr="002751FC">
              <w:rPr>
                <w:rFonts w:asciiTheme="majorHAnsi" w:eastAsia="Times New Roman" w:hAnsiTheme="majorHAnsi" w:cstheme="majorHAnsi"/>
                <w:iCs/>
                <w:sz w:val="20"/>
                <w:szCs w:val="20"/>
                <w:lang w:val="ro-MD"/>
              </w:rPr>
              <w:t>viţă</w:t>
            </w:r>
            <w:proofErr w:type="spellEnd"/>
            <w:r w:rsidR="000D0D96" w:rsidRPr="002751FC">
              <w:rPr>
                <w:rFonts w:asciiTheme="majorHAnsi" w:eastAsia="Times New Roman" w:hAnsiTheme="majorHAnsi" w:cstheme="majorHAnsi"/>
                <w:iCs/>
                <w:sz w:val="20"/>
                <w:szCs w:val="20"/>
                <w:lang w:val="ro-MD"/>
              </w:rPr>
              <w:t>-</w:t>
            </w:r>
            <w:r w:rsidRPr="002751FC">
              <w:rPr>
                <w:rFonts w:asciiTheme="majorHAnsi" w:eastAsia="Times New Roman" w:hAnsiTheme="majorHAnsi" w:cstheme="majorHAnsi"/>
                <w:iCs/>
                <w:sz w:val="20"/>
                <w:szCs w:val="20"/>
                <w:lang w:val="ro-MD"/>
              </w:rPr>
              <w:t>de</w:t>
            </w:r>
            <w:r w:rsidR="000D0D96" w:rsidRPr="002751FC">
              <w:rPr>
                <w:rFonts w:asciiTheme="majorHAnsi" w:eastAsia="Times New Roman" w:hAnsiTheme="majorHAnsi" w:cstheme="majorHAnsi"/>
                <w:iCs/>
                <w:sz w:val="20"/>
                <w:szCs w:val="20"/>
                <w:lang w:val="ro-MD"/>
              </w:rPr>
              <w:t>-</w:t>
            </w:r>
            <w:r w:rsidRPr="002751FC">
              <w:rPr>
                <w:rFonts w:asciiTheme="majorHAnsi" w:eastAsia="Times New Roman" w:hAnsiTheme="majorHAnsi" w:cstheme="majorHAnsi"/>
                <w:iCs/>
                <w:sz w:val="20"/>
                <w:szCs w:val="20"/>
                <w:lang w:val="ro-MD"/>
              </w:rPr>
              <w:t>vie</w:t>
            </w:r>
          </w:p>
        </w:tc>
      </w:tr>
      <w:tr w:rsidR="00974C87" w:rsidRPr="002751FC"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proofErr w:type="spellStart"/>
            <w:r w:rsidRPr="002751FC">
              <w:rPr>
                <w:rFonts w:asciiTheme="majorHAnsi" w:eastAsia="Times New Roman" w:hAnsiTheme="majorHAnsi" w:cstheme="majorHAnsi"/>
                <w:iCs/>
                <w:sz w:val="20"/>
                <w:szCs w:val="20"/>
                <w:lang w:val="ro-MD"/>
              </w:rPr>
              <w:t>Plantaţie</w:t>
            </w:r>
            <w:proofErr w:type="spellEnd"/>
            <w:r w:rsidRPr="002751FC">
              <w:rPr>
                <w:rFonts w:asciiTheme="majorHAnsi" w:eastAsia="Times New Roman" w:hAnsiTheme="majorHAnsi" w:cstheme="majorHAnsi"/>
                <w:iCs/>
                <w:sz w:val="20"/>
                <w:szCs w:val="20"/>
                <w:lang w:val="ro-MD"/>
              </w:rPr>
              <w:t xml:space="preserve"> viticolă pentru struguri </w:t>
            </w:r>
          </w:p>
        </w:tc>
        <w:tc>
          <w:tcPr>
            <w:tcW w:w="7404" w:type="dxa"/>
          </w:tcPr>
          <w:p w:rsidR="00974C87" w:rsidRPr="002751FC" w:rsidDel="004C1F8C" w:rsidRDefault="00974C87" w:rsidP="008E6A80">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rPr>
            </w:pPr>
            <w:proofErr w:type="spellStart"/>
            <w:r w:rsidRPr="002751FC">
              <w:rPr>
                <w:rFonts w:asciiTheme="majorHAnsi" w:eastAsia="Times New Roman" w:hAnsiTheme="majorHAnsi" w:cstheme="majorHAnsi"/>
                <w:iCs/>
                <w:sz w:val="20"/>
                <w:szCs w:val="20"/>
                <w:lang w:val="ro-MD"/>
              </w:rPr>
              <w:t>plantaţie</w:t>
            </w:r>
            <w:proofErr w:type="spellEnd"/>
            <w:r w:rsidRPr="002751FC">
              <w:rPr>
                <w:rFonts w:asciiTheme="majorHAnsi" w:eastAsia="Times New Roman" w:hAnsiTheme="majorHAnsi" w:cstheme="majorHAnsi"/>
                <w:iCs/>
                <w:sz w:val="20"/>
                <w:szCs w:val="20"/>
                <w:lang w:val="ro-MD"/>
              </w:rPr>
              <w:t xml:space="preserve"> destinată </w:t>
            </w:r>
            <w:proofErr w:type="spellStart"/>
            <w:r w:rsidRPr="002751FC">
              <w:rPr>
                <w:rFonts w:asciiTheme="majorHAnsi" w:eastAsia="Times New Roman" w:hAnsiTheme="majorHAnsi" w:cstheme="majorHAnsi"/>
                <w:iCs/>
                <w:sz w:val="20"/>
                <w:szCs w:val="20"/>
                <w:lang w:val="ro-MD"/>
              </w:rPr>
              <w:t>obţinerii</w:t>
            </w:r>
            <w:proofErr w:type="spellEnd"/>
            <w:r w:rsidRPr="002751FC">
              <w:rPr>
                <w:rFonts w:asciiTheme="majorHAnsi" w:eastAsia="Times New Roman" w:hAnsiTheme="majorHAnsi" w:cstheme="majorHAnsi"/>
                <w:iCs/>
                <w:sz w:val="20"/>
                <w:szCs w:val="20"/>
                <w:lang w:val="ro-MD"/>
              </w:rPr>
              <w:t xml:space="preserve"> de struguri pentru utilizare în stare proaspătă, prelucrare şi uscare</w:t>
            </w:r>
          </w:p>
        </w:tc>
      </w:tr>
      <w:tr w:rsidR="00974C87"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proofErr w:type="spellStart"/>
            <w:r w:rsidRPr="002751FC">
              <w:rPr>
                <w:rFonts w:asciiTheme="majorHAnsi" w:eastAsia="Times New Roman" w:hAnsiTheme="majorHAnsi" w:cstheme="majorHAnsi"/>
                <w:iCs/>
                <w:sz w:val="20"/>
                <w:szCs w:val="20"/>
                <w:lang w:val="ro-MD"/>
              </w:rPr>
              <w:t>Plantaţie</w:t>
            </w:r>
            <w:proofErr w:type="spellEnd"/>
            <w:r w:rsidRPr="002751FC">
              <w:rPr>
                <w:rFonts w:asciiTheme="majorHAnsi" w:eastAsia="Times New Roman" w:hAnsiTheme="majorHAnsi" w:cstheme="majorHAnsi"/>
                <w:iCs/>
                <w:sz w:val="20"/>
                <w:szCs w:val="20"/>
                <w:lang w:val="ro-MD"/>
              </w:rPr>
              <w:t xml:space="preserve"> portaltoi </w:t>
            </w:r>
          </w:p>
        </w:tc>
        <w:tc>
          <w:tcPr>
            <w:tcW w:w="7404" w:type="dxa"/>
          </w:tcPr>
          <w:p w:rsidR="00974C87" w:rsidRPr="002751FC" w:rsidDel="004C1F8C" w:rsidRDefault="00974C87" w:rsidP="008E6A80">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o-MD"/>
              </w:rPr>
            </w:pPr>
            <w:proofErr w:type="spellStart"/>
            <w:r w:rsidRPr="002751FC">
              <w:rPr>
                <w:rFonts w:asciiTheme="majorHAnsi" w:eastAsia="Times New Roman" w:hAnsiTheme="majorHAnsi" w:cstheme="majorHAnsi"/>
                <w:iCs/>
                <w:sz w:val="20"/>
                <w:szCs w:val="20"/>
                <w:lang w:val="ro-MD"/>
              </w:rPr>
              <w:t>plantaţie</w:t>
            </w:r>
            <w:proofErr w:type="spellEnd"/>
            <w:r w:rsidRPr="002751FC">
              <w:rPr>
                <w:rFonts w:asciiTheme="majorHAnsi" w:eastAsia="Times New Roman" w:hAnsiTheme="majorHAnsi" w:cstheme="majorHAnsi"/>
                <w:iCs/>
                <w:sz w:val="20"/>
                <w:szCs w:val="20"/>
                <w:lang w:val="ro-MD"/>
              </w:rPr>
              <w:t xml:space="preserve"> specială destinată producerii de coarde (</w:t>
            </w:r>
            <w:proofErr w:type="spellStart"/>
            <w:r w:rsidRPr="002751FC">
              <w:rPr>
                <w:rFonts w:asciiTheme="majorHAnsi" w:eastAsia="Times New Roman" w:hAnsiTheme="majorHAnsi" w:cstheme="majorHAnsi"/>
                <w:iCs/>
                <w:sz w:val="20"/>
                <w:szCs w:val="20"/>
                <w:lang w:val="ro-MD"/>
              </w:rPr>
              <w:t>butaşi</w:t>
            </w:r>
            <w:proofErr w:type="spellEnd"/>
            <w:r w:rsidRPr="002751FC">
              <w:rPr>
                <w:rFonts w:asciiTheme="majorHAnsi" w:eastAsia="Times New Roman" w:hAnsiTheme="majorHAnsi" w:cstheme="majorHAnsi"/>
                <w:iCs/>
                <w:sz w:val="20"/>
                <w:szCs w:val="20"/>
                <w:lang w:val="ro-MD"/>
              </w:rPr>
              <w:t>) portaltoi</w:t>
            </w:r>
          </w:p>
        </w:tc>
      </w:tr>
      <w:tr w:rsidR="00974C87" w:rsidRPr="002751FC"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proofErr w:type="spellStart"/>
            <w:r w:rsidRPr="002751FC">
              <w:rPr>
                <w:rFonts w:asciiTheme="majorHAnsi" w:eastAsia="Times New Roman" w:hAnsiTheme="majorHAnsi" w:cstheme="majorHAnsi"/>
                <w:iCs/>
                <w:sz w:val="20"/>
                <w:szCs w:val="20"/>
                <w:lang w:val="ro-MD"/>
              </w:rPr>
              <w:t>Plantaţie</w:t>
            </w:r>
            <w:proofErr w:type="spellEnd"/>
            <w:r w:rsidRPr="002751FC">
              <w:rPr>
                <w:rFonts w:asciiTheme="majorHAnsi" w:eastAsia="Times New Roman" w:hAnsiTheme="majorHAnsi" w:cstheme="majorHAnsi"/>
                <w:iCs/>
                <w:sz w:val="20"/>
                <w:szCs w:val="20"/>
                <w:lang w:val="ro-MD"/>
              </w:rPr>
              <w:t xml:space="preserve"> altoi </w:t>
            </w:r>
          </w:p>
        </w:tc>
        <w:tc>
          <w:tcPr>
            <w:tcW w:w="7404" w:type="dxa"/>
          </w:tcPr>
          <w:p w:rsidR="00974C87" w:rsidRPr="002751FC" w:rsidDel="004C1F8C" w:rsidRDefault="00974C87" w:rsidP="008E6A80">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rPr>
            </w:pPr>
            <w:proofErr w:type="spellStart"/>
            <w:r w:rsidRPr="002751FC">
              <w:rPr>
                <w:rFonts w:asciiTheme="majorHAnsi" w:eastAsia="Times New Roman" w:hAnsiTheme="majorHAnsi" w:cstheme="majorHAnsi"/>
                <w:iCs/>
                <w:sz w:val="20"/>
                <w:szCs w:val="20"/>
                <w:lang w:val="ro-MD"/>
              </w:rPr>
              <w:t>plantaţie</w:t>
            </w:r>
            <w:proofErr w:type="spellEnd"/>
            <w:r w:rsidRPr="002751FC">
              <w:rPr>
                <w:rFonts w:asciiTheme="majorHAnsi" w:eastAsia="Times New Roman" w:hAnsiTheme="majorHAnsi" w:cstheme="majorHAnsi"/>
                <w:iCs/>
                <w:sz w:val="20"/>
                <w:szCs w:val="20"/>
                <w:lang w:val="ro-MD"/>
              </w:rPr>
              <w:t xml:space="preserve"> specială destinată producerii de coarde altoi</w:t>
            </w:r>
          </w:p>
        </w:tc>
      </w:tr>
      <w:tr w:rsidR="00974C87"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proofErr w:type="spellStart"/>
            <w:r w:rsidRPr="002751FC">
              <w:rPr>
                <w:rFonts w:asciiTheme="majorHAnsi" w:eastAsia="Times New Roman" w:hAnsiTheme="majorHAnsi" w:cstheme="majorHAnsi"/>
                <w:iCs/>
                <w:sz w:val="20"/>
                <w:szCs w:val="20"/>
                <w:lang w:val="ro-MD"/>
              </w:rPr>
              <w:t>Plantaţie</w:t>
            </w:r>
            <w:proofErr w:type="spellEnd"/>
            <w:r w:rsidRPr="002751FC">
              <w:rPr>
                <w:rFonts w:asciiTheme="majorHAnsi" w:eastAsia="Times New Roman" w:hAnsiTheme="majorHAnsi" w:cstheme="majorHAnsi"/>
                <w:iCs/>
                <w:sz w:val="20"/>
                <w:szCs w:val="20"/>
                <w:lang w:val="ro-MD"/>
              </w:rPr>
              <w:t xml:space="preserve"> viticolă pentru </w:t>
            </w:r>
            <w:proofErr w:type="spellStart"/>
            <w:r w:rsidRPr="002751FC">
              <w:rPr>
                <w:rFonts w:asciiTheme="majorHAnsi" w:eastAsia="Times New Roman" w:hAnsiTheme="majorHAnsi" w:cstheme="majorHAnsi"/>
                <w:iCs/>
                <w:sz w:val="20"/>
                <w:szCs w:val="20"/>
                <w:lang w:val="ro-MD"/>
              </w:rPr>
              <w:t>producţie</w:t>
            </w:r>
            <w:proofErr w:type="spellEnd"/>
            <w:r w:rsidRPr="002751FC">
              <w:rPr>
                <w:rFonts w:asciiTheme="majorHAnsi" w:eastAsia="Times New Roman" w:hAnsiTheme="majorHAnsi" w:cstheme="majorHAnsi"/>
                <w:iCs/>
                <w:sz w:val="20"/>
                <w:szCs w:val="20"/>
                <w:lang w:val="ro-MD"/>
              </w:rPr>
              <w:t xml:space="preserve"> marfă </w:t>
            </w:r>
          </w:p>
        </w:tc>
        <w:tc>
          <w:tcPr>
            <w:tcW w:w="7404" w:type="dxa"/>
          </w:tcPr>
          <w:p w:rsidR="00974C87" w:rsidRPr="002751FC" w:rsidDel="004C1F8C" w:rsidRDefault="00974C87" w:rsidP="008E6A80">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o-MD"/>
              </w:rPr>
            </w:pPr>
            <w:proofErr w:type="spellStart"/>
            <w:r w:rsidRPr="002751FC">
              <w:rPr>
                <w:rFonts w:asciiTheme="majorHAnsi" w:eastAsia="Times New Roman" w:hAnsiTheme="majorHAnsi" w:cstheme="majorHAnsi"/>
                <w:iCs/>
                <w:sz w:val="20"/>
                <w:szCs w:val="20"/>
                <w:lang w:val="ro-MD"/>
              </w:rPr>
              <w:t>plantaţie</w:t>
            </w:r>
            <w:proofErr w:type="spellEnd"/>
            <w:r w:rsidRPr="002751FC">
              <w:rPr>
                <w:rFonts w:asciiTheme="majorHAnsi" w:eastAsia="Times New Roman" w:hAnsiTheme="majorHAnsi" w:cstheme="majorHAnsi"/>
                <w:iCs/>
                <w:sz w:val="20"/>
                <w:szCs w:val="20"/>
                <w:lang w:val="ro-MD"/>
              </w:rPr>
              <w:t xml:space="preserve"> viticolă cu </w:t>
            </w:r>
            <w:proofErr w:type="spellStart"/>
            <w:r w:rsidRPr="002751FC">
              <w:rPr>
                <w:rFonts w:asciiTheme="majorHAnsi" w:eastAsia="Times New Roman" w:hAnsiTheme="majorHAnsi" w:cstheme="majorHAnsi"/>
                <w:iCs/>
                <w:sz w:val="20"/>
                <w:szCs w:val="20"/>
                <w:lang w:val="ro-MD"/>
              </w:rPr>
              <w:t>suprafaţă</w:t>
            </w:r>
            <w:proofErr w:type="spellEnd"/>
            <w:r w:rsidRPr="002751FC">
              <w:rPr>
                <w:rFonts w:asciiTheme="majorHAnsi" w:eastAsia="Times New Roman" w:hAnsiTheme="majorHAnsi" w:cstheme="majorHAnsi"/>
                <w:iCs/>
                <w:sz w:val="20"/>
                <w:szCs w:val="20"/>
                <w:lang w:val="ro-MD"/>
              </w:rPr>
              <w:t xml:space="preserve"> mai mare de 0,15 ha a cărei </w:t>
            </w:r>
            <w:proofErr w:type="spellStart"/>
            <w:r w:rsidRPr="002751FC">
              <w:rPr>
                <w:rFonts w:asciiTheme="majorHAnsi" w:eastAsia="Times New Roman" w:hAnsiTheme="majorHAnsi" w:cstheme="majorHAnsi"/>
                <w:iCs/>
                <w:sz w:val="20"/>
                <w:szCs w:val="20"/>
                <w:lang w:val="ro-MD"/>
              </w:rPr>
              <w:t>producţie</w:t>
            </w:r>
            <w:proofErr w:type="spellEnd"/>
            <w:r w:rsidRPr="002751FC">
              <w:rPr>
                <w:rFonts w:asciiTheme="majorHAnsi" w:eastAsia="Times New Roman" w:hAnsiTheme="majorHAnsi" w:cstheme="majorHAnsi"/>
                <w:iCs/>
                <w:sz w:val="20"/>
                <w:szCs w:val="20"/>
                <w:lang w:val="ro-MD"/>
              </w:rPr>
              <w:t xml:space="preserve"> este destinată comercializării</w:t>
            </w:r>
          </w:p>
        </w:tc>
      </w:tr>
      <w:tr w:rsidR="00974C87" w:rsidRPr="002751FC"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r w:rsidRPr="002751FC">
              <w:rPr>
                <w:rFonts w:asciiTheme="majorHAnsi" w:eastAsia="Times New Roman" w:hAnsiTheme="majorHAnsi" w:cstheme="majorHAnsi"/>
                <w:iCs/>
                <w:sz w:val="20"/>
                <w:szCs w:val="20"/>
                <w:lang w:val="ro-MD"/>
              </w:rPr>
              <w:t xml:space="preserve">Viticultură ecologică </w:t>
            </w:r>
          </w:p>
        </w:tc>
        <w:tc>
          <w:tcPr>
            <w:tcW w:w="7404" w:type="dxa"/>
          </w:tcPr>
          <w:p w:rsidR="00974C87" w:rsidRPr="002751FC" w:rsidDel="004C1F8C" w:rsidRDefault="00974C87" w:rsidP="008E6A80">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rPr>
            </w:pPr>
            <w:r w:rsidRPr="002751FC">
              <w:rPr>
                <w:rFonts w:asciiTheme="majorHAnsi" w:eastAsia="Times New Roman" w:hAnsiTheme="majorHAnsi" w:cstheme="majorHAnsi"/>
                <w:iCs/>
                <w:sz w:val="20"/>
                <w:szCs w:val="20"/>
                <w:lang w:val="ro-MD"/>
              </w:rPr>
              <w:t xml:space="preserve">sistem de cultivare ce prevede valorificarea şi păstrarea sistemelor biologice productive fără a recurge la </w:t>
            </w:r>
            <w:proofErr w:type="spellStart"/>
            <w:r w:rsidRPr="002751FC">
              <w:rPr>
                <w:rFonts w:asciiTheme="majorHAnsi" w:eastAsia="Times New Roman" w:hAnsiTheme="majorHAnsi" w:cstheme="majorHAnsi"/>
                <w:iCs/>
                <w:sz w:val="20"/>
                <w:szCs w:val="20"/>
                <w:lang w:val="ro-MD"/>
              </w:rPr>
              <w:t>substanţe</w:t>
            </w:r>
            <w:proofErr w:type="spellEnd"/>
            <w:r w:rsidRPr="002751FC">
              <w:rPr>
                <w:rFonts w:asciiTheme="majorHAnsi" w:eastAsia="Times New Roman" w:hAnsiTheme="majorHAnsi" w:cstheme="majorHAnsi"/>
                <w:iCs/>
                <w:sz w:val="20"/>
                <w:szCs w:val="20"/>
                <w:lang w:val="ro-MD"/>
              </w:rPr>
              <w:t xml:space="preserve"> chimice de sinteză</w:t>
            </w:r>
          </w:p>
        </w:tc>
      </w:tr>
      <w:tr w:rsidR="00974C87"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r w:rsidRPr="002751FC">
              <w:rPr>
                <w:rFonts w:asciiTheme="majorHAnsi" w:eastAsia="Times New Roman" w:hAnsiTheme="majorHAnsi" w:cstheme="majorHAnsi"/>
                <w:iCs/>
                <w:sz w:val="20"/>
                <w:szCs w:val="20"/>
                <w:lang w:val="ro-MD"/>
              </w:rPr>
              <w:t xml:space="preserve">Soiuri de struguri pentru masă </w:t>
            </w:r>
          </w:p>
        </w:tc>
        <w:tc>
          <w:tcPr>
            <w:tcW w:w="7404" w:type="dxa"/>
          </w:tcPr>
          <w:p w:rsidR="00974C87" w:rsidRPr="002751FC" w:rsidRDefault="00974C87" w:rsidP="006B45B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o-MD"/>
              </w:rPr>
            </w:pPr>
            <w:r w:rsidRPr="002751FC">
              <w:rPr>
                <w:rFonts w:asciiTheme="majorHAnsi" w:eastAsia="Times New Roman" w:hAnsiTheme="majorHAnsi" w:cstheme="majorHAnsi"/>
                <w:iCs/>
                <w:sz w:val="20"/>
                <w:szCs w:val="20"/>
                <w:lang w:val="ro-MD"/>
              </w:rPr>
              <w:t xml:space="preserve">soiuri de </w:t>
            </w:r>
            <w:proofErr w:type="spellStart"/>
            <w:r w:rsidRPr="002751FC">
              <w:rPr>
                <w:rFonts w:asciiTheme="majorHAnsi" w:eastAsia="Times New Roman" w:hAnsiTheme="majorHAnsi" w:cstheme="majorHAnsi"/>
                <w:iCs/>
                <w:sz w:val="20"/>
                <w:szCs w:val="20"/>
                <w:lang w:val="ro-MD"/>
              </w:rPr>
              <w:t>viţă</w:t>
            </w:r>
            <w:proofErr w:type="spellEnd"/>
            <w:r w:rsidR="006B45B1" w:rsidRPr="002751FC">
              <w:rPr>
                <w:rFonts w:asciiTheme="majorHAnsi" w:eastAsia="Times New Roman" w:hAnsiTheme="majorHAnsi" w:cstheme="majorHAnsi"/>
                <w:iCs/>
                <w:sz w:val="20"/>
                <w:szCs w:val="20"/>
                <w:lang w:val="ro-MD"/>
              </w:rPr>
              <w:t>-</w:t>
            </w:r>
            <w:r w:rsidRPr="002751FC">
              <w:rPr>
                <w:rFonts w:asciiTheme="majorHAnsi" w:eastAsia="Times New Roman" w:hAnsiTheme="majorHAnsi" w:cstheme="majorHAnsi"/>
                <w:iCs/>
                <w:sz w:val="20"/>
                <w:szCs w:val="20"/>
                <w:lang w:val="ro-MD"/>
              </w:rPr>
              <w:t>de</w:t>
            </w:r>
            <w:r w:rsidR="006B45B1" w:rsidRPr="002751FC">
              <w:rPr>
                <w:rFonts w:asciiTheme="majorHAnsi" w:eastAsia="Times New Roman" w:hAnsiTheme="majorHAnsi" w:cstheme="majorHAnsi"/>
                <w:iCs/>
                <w:sz w:val="20"/>
                <w:szCs w:val="20"/>
                <w:lang w:val="ro-MD"/>
              </w:rPr>
              <w:t>-</w:t>
            </w:r>
            <w:r w:rsidRPr="002751FC">
              <w:rPr>
                <w:rFonts w:asciiTheme="majorHAnsi" w:eastAsia="Times New Roman" w:hAnsiTheme="majorHAnsi" w:cstheme="majorHAnsi"/>
                <w:iCs/>
                <w:sz w:val="20"/>
                <w:szCs w:val="20"/>
                <w:lang w:val="ro-MD"/>
              </w:rPr>
              <w:t>vie ai căror struguri se utilizează în stare proaspătă după recoltare sau păstrare</w:t>
            </w:r>
          </w:p>
        </w:tc>
      </w:tr>
      <w:tr w:rsidR="00974C87" w:rsidRPr="002751FC"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r w:rsidRPr="002751FC">
              <w:rPr>
                <w:rFonts w:asciiTheme="majorHAnsi" w:eastAsia="Times New Roman" w:hAnsiTheme="majorHAnsi" w:cstheme="majorHAnsi"/>
                <w:iCs/>
                <w:sz w:val="20"/>
                <w:szCs w:val="20"/>
                <w:lang w:val="ro-MD"/>
              </w:rPr>
              <w:t xml:space="preserve">Soiuri de struguri pentru vin </w:t>
            </w:r>
          </w:p>
        </w:tc>
        <w:tc>
          <w:tcPr>
            <w:tcW w:w="7404" w:type="dxa"/>
          </w:tcPr>
          <w:p w:rsidR="00974C87" w:rsidRPr="002751FC" w:rsidRDefault="00974C87" w:rsidP="006B45B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rPr>
            </w:pPr>
            <w:r w:rsidRPr="002751FC">
              <w:rPr>
                <w:rFonts w:asciiTheme="majorHAnsi" w:eastAsia="Times New Roman" w:hAnsiTheme="majorHAnsi" w:cstheme="majorHAnsi"/>
                <w:iCs/>
                <w:sz w:val="20"/>
                <w:szCs w:val="20"/>
                <w:lang w:val="ro-MD"/>
              </w:rPr>
              <w:t xml:space="preserve">soiuri de </w:t>
            </w:r>
            <w:proofErr w:type="spellStart"/>
            <w:r w:rsidRPr="002751FC">
              <w:rPr>
                <w:rFonts w:asciiTheme="majorHAnsi" w:eastAsia="Times New Roman" w:hAnsiTheme="majorHAnsi" w:cstheme="majorHAnsi"/>
                <w:iCs/>
                <w:sz w:val="20"/>
                <w:szCs w:val="20"/>
                <w:lang w:val="ro-MD"/>
              </w:rPr>
              <w:t>viţă</w:t>
            </w:r>
            <w:proofErr w:type="spellEnd"/>
            <w:r w:rsidR="006B45B1" w:rsidRPr="002751FC">
              <w:rPr>
                <w:rFonts w:asciiTheme="majorHAnsi" w:eastAsia="Times New Roman" w:hAnsiTheme="majorHAnsi" w:cstheme="majorHAnsi"/>
                <w:iCs/>
                <w:sz w:val="20"/>
                <w:szCs w:val="20"/>
                <w:lang w:val="ro-MD"/>
              </w:rPr>
              <w:t>-</w:t>
            </w:r>
            <w:r w:rsidRPr="002751FC">
              <w:rPr>
                <w:rFonts w:asciiTheme="majorHAnsi" w:eastAsia="Times New Roman" w:hAnsiTheme="majorHAnsi" w:cstheme="majorHAnsi"/>
                <w:iCs/>
                <w:sz w:val="20"/>
                <w:szCs w:val="20"/>
                <w:lang w:val="ro-MD"/>
              </w:rPr>
              <w:t>de</w:t>
            </w:r>
            <w:r w:rsidR="006B45B1" w:rsidRPr="002751FC">
              <w:rPr>
                <w:rFonts w:asciiTheme="majorHAnsi" w:eastAsia="Times New Roman" w:hAnsiTheme="majorHAnsi" w:cstheme="majorHAnsi"/>
                <w:iCs/>
                <w:sz w:val="20"/>
                <w:szCs w:val="20"/>
                <w:lang w:val="ro-MD"/>
              </w:rPr>
              <w:t>-</w:t>
            </w:r>
            <w:r w:rsidRPr="002751FC">
              <w:rPr>
                <w:rFonts w:asciiTheme="majorHAnsi" w:eastAsia="Times New Roman" w:hAnsiTheme="majorHAnsi" w:cstheme="majorHAnsi"/>
                <w:iCs/>
                <w:sz w:val="20"/>
                <w:szCs w:val="20"/>
                <w:lang w:val="ro-MD"/>
              </w:rPr>
              <w:t xml:space="preserve">vie ai căror struguri se utilizează la fabricarea </w:t>
            </w:r>
            <w:proofErr w:type="spellStart"/>
            <w:r w:rsidRPr="002751FC">
              <w:rPr>
                <w:rFonts w:asciiTheme="majorHAnsi" w:eastAsia="Times New Roman" w:hAnsiTheme="majorHAnsi" w:cstheme="majorHAnsi"/>
                <w:iCs/>
                <w:sz w:val="20"/>
                <w:szCs w:val="20"/>
                <w:lang w:val="ro-MD"/>
              </w:rPr>
              <w:t>producţiei</w:t>
            </w:r>
            <w:proofErr w:type="spellEnd"/>
            <w:r w:rsidRPr="002751FC">
              <w:rPr>
                <w:rFonts w:asciiTheme="majorHAnsi" w:eastAsia="Times New Roman" w:hAnsiTheme="majorHAnsi" w:cstheme="majorHAnsi"/>
                <w:iCs/>
                <w:sz w:val="20"/>
                <w:szCs w:val="20"/>
                <w:lang w:val="ro-MD"/>
              </w:rPr>
              <w:t xml:space="preserve"> vinicole</w:t>
            </w:r>
          </w:p>
        </w:tc>
      </w:tr>
      <w:tr w:rsidR="00974C87"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r w:rsidRPr="002751FC">
              <w:rPr>
                <w:rFonts w:asciiTheme="majorHAnsi" w:eastAsia="Times New Roman" w:hAnsiTheme="majorHAnsi" w:cstheme="majorHAnsi"/>
                <w:iCs/>
                <w:sz w:val="20"/>
                <w:szCs w:val="20"/>
                <w:lang w:val="ro-MD"/>
              </w:rPr>
              <w:t xml:space="preserve">Soiuri de struguri cu </w:t>
            </w:r>
            <w:proofErr w:type="spellStart"/>
            <w:r w:rsidRPr="002751FC">
              <w:rPr>
                <w:rFonts w:asciiTheme="majorHAnsi" w:eastAsia="Times New Roman" w:hAnsiTheme="majorHAnsi" w:cstheme="majorHAnsi"/>
                <w:iCs/>
                <w:sz w:val="20"/>
                <w:szCs w:val="20"/>
                <w:lang w:val="ro-MD"/>
              </w:rPr>
              <w:t>destinaţie</w:t>
            </w:r>
            <w:proofErr w:type="spellEnd"/>
            <w:r w:rsidRPr="002751FC">
              <w:rPr>
                <w:rFonts w:asciiTheme="majorHAnsi" w:eastAsia="Times New Roman" w:hAnsiTheme="majorHAnsi" w:cstheme="majorHAnsi"/>
                <w:iCs/>
                <w:sz w:val="20"/>
                <w:szCs w:val="20"/>
                <w:lang w:val="ro-MD"/>
              </w:rPr>
              <w:t xml:space="preserve"> mixtă </w:t>
            </w:r>
          </w:p>
        </w:tc>
        <w:tc>
          <w:tcPr>
            <w:tcW w:w="7404" w:type="dxa"/>
          </w:tcPr>
          <w:p w:rsidR="00974C87" w:rsidRPr="002751FC" w:rsidRDefault="00974C87" w:rsidP="006B45B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o-MD"/>
              </w:rPr>
            </w:pPr>
            <w:r w:rsidRPr="002751FC">
              <w:rPr>
                <w:rFonts w:asciiTheme="majorHAnsi" w:eastAsia="Times New Roman" w:hAnsiTheme="majorHAnsi" w:cstheme="majorHAnsi"/>
                <w:iCs/>
                <w:sz w:val="20"/>
                <w:szCs w:val="20"/>
                <w:lang w:val="ro-MD"/>
              </w:rPr>
              <w:t xml:space="preserve">soiuri de </w:t>
            </w:r>
            <w:proofErr w:type="spellStart"/>
            <w:r w:rsidRPr="002751FC">
              <w:rPr>
                <w:rFonts w:asciiTheme="majorHAnsi" w:eastAsia="Times New Roman" w:hAnsiTheme="majorHAnsi" w:cstheme="majorHAnsi"/>
                <w:iCs/>
                <w:sz w:val="20"/>
                <w:szCs w:val="20"/>
                <w:lang w:val="ro-MD"/>
              </w:rPr>
              <w:t>viţă</w:t>
            </w:r>
            <w:proofErr w:type="spellEnd"/>
            <w:r w:rsidR="006B45B1" w:rsidRPr="002751FC">
              <w:rPr>
                <w:rFonts w:asciiTheme="majorHAnsi" w:eastAsia="Times New Roman" w:hAnsiTheme="majorHAnsi" w:cstheme="majorHAnsi"/>
                <w:iCs/>
                <w:sz w:val="20"/>
                <w:szCs w:val="20"/>
                <w:lang w:val="ro-MD"/>
              </w:rPr>
              <w:t>-</w:t>
            </w:r>
            <w:r w:rsidRPr="002751FC">
              <w:rPr>
                <w:rFonts w:asciiTheme="majorHAnsi" w:eastAsia="Times New Roman" w:hAnsiTheme="majorHAnsi" w:cstheme="majorHAnsi"/>
                <w:iCs/>
                <w:sz w:val="20"/>
                <w:szCs w:val="20"/>
                <w:lang w:val="ro-MD"/>
              </w:rPr>
              <w:t>de</w:t>
            </w:r>
            <w:r w:rsidR="006B45B1" w:rsidRPr="002751FC">
              <w:rPr>
                <w:rFonts w:asciiTheme="majorHAnsi" w:eastAsia="Times New Roman" w:hAnsiTheme="majorHAnsi" w:cstheme="majorHAnsi"/>
                <w:iCs/>
                <w:sz w:val="20"/>
                <w:szCs w:val="20"/>
                <w:lang w:val="ro-MD"/>
              </w:rPr>
              <w:t>-</w:t>
            </w:r>
            <w:r w:rsidRPr="002751FC">
              <w:rPr>
                <w:rFonts w:asciiTheme="majorHAnsi" w:eastAsia="Times New Roman" w:hAnsiTheme="majorHAnsi" w:cstheme="majorHAnsi"/>
                <w:iCs/>
                <w:sz w:val="20"/>
                <w:szCs w:val="20"/>
                <w:lang w:val="ro-MD"/>
              </w:rPr>
              <w:t xml:space="preserve">vie ai căror struguri, după </w:t>
            </w:r>
            <w:proofErr w:type="spellStart"/>
            <w:r w:rsidRPr="002751FC">
              <w:rPr>
                <w:rFonts w:asciiTheme="majorHAnsi" w:eastAsia="Times New Roman" w:hAnsiTheme="majorHAnsi" w:cstheme="majorHAnsi"/>
                <w:iCs/>
                <w:sz w:val="20"/>
                <w:szCs w:val="20"/>
                <w:lang w:val="ro-MD"/>
              </w:rPr>
              <w:t>calităţi</w:t>
            </w:r>
            <w:proofErr w:type="spellEnd"/>
            <w:r w:rsidRPr="002751FC">
              <w:rPr>
                <w:rFonts w:asciiTheme="majorHAnsi" w:eastAsia="Times New Roman" w:hAnsiTheme="majorHAnsi" w:cstheme="majorHAnsi"/>
                <w:iCs/>
                <w:sz w:val="20"/>
                <w:szCs w:val="20"/>
                <w:lang w:val="ro-MD"/>
              </w:rPr>
              <w:t xml:space="preserve">, pot fi </w:t>
            </w:r>
            <w:proofErr w:type="spellStart"/>
            <w:r w:rsidRPr="002751FC">
              <w:rPr>
                <w:rFonts w:asciiTheme="majorHAnsi" w:eastAsia="Times New Roman" w:hAnsiTheme="majorHAnsi" w:cstheme="majorHAnsi"/>
                <w:iCs/>
                <w:sz w:val="20"/>
                <w:szCs w:val="20"/>
                <w:lang w:val="ro-MD"/>
              </w:rPr>
              <w:t>utilizaţi</w:t>
            </w:r>
            <w:proofErr w:type="spellEnd"/>
            <w:r w:rsidRPr="002751FC">
              <w:rPr>
                <w:rFonts w:asciiTheme="majorHAnsi" w:eastAsia="Times New Roman" w:hAnsiTheme="majorHAnsi" w:cstheme="majorHAnsi"/>
                <w:iCs/>
                <w:sz w:val="20"/>
                <w:szCs w:val="20"/>
                <w:lang w:val="ro-MD"/>
              </w:rPr>
              <w:t xml:space="preserve"> at</w:t>
            </w:r>
            <w:r w:rsidR="006B45B1" w:rsidRPr="002751FC">
              <w:rPr>
                <w:rFonts w:asciiTheme="majorHAnsi" w:eastAsia="Times New Roman" w:hAnsiTheme="majorHAnsi" w:cstheme="majorHAnsi"/>
                <w:iCs/>
                <w:sz w:val="20"/>
                <w:szCs w:val="20"/>
                <w:lang w:val="ro-MD"/>
              </w:rPr>
              <w:t>â</w:t>
            </w:r>
            <w:r w:rsidRPr="002751FC">
              <w:rPr>
                <w:rFonts w:asciiTheme="majorHAnsi" w:eastAsia="Times New Roman" w:hAnsiTheme="majorHAnsi" w:cstheme="majorHAnsi"/>
                <w:iCs/>
                <w:sz w:val="20"/>
                <w:szCs w:val="20"/>
                <w:lang w:val="ro-MD"/>
              </w:rPr>
              <w:t>t ca struguri pentru masă, c</w:t>
            </w:r>
            <w:r w:rsidR="006B45B1" w:rsidRPr="002751FC">
              <w:rPr>
                <w:rFonts w:asciiTheme="majorHAnsi" w:eastAsia="Times New Roman" w:hAnsiTheme="majorHAnsi" w:cstheme="majorHAnsi"/>
                <w:iCs/>
                <w:sz w:val="20"/>
                <w:szCs w:val="20"/>
                <w:lang w:val="ro-MD"/>
              </w:rPr>
              <w:t>â</w:t>
            </w:r>
            <w:r w:rsidRPr="002751FC">
              <w:rPr>
                <w:rFonts w:asciiTheme="majorHAnsi" w:eastAsia="Times New Roman" w:hAnsiTheme="majorHAnsi" w:cstheme="majorHAnsi"/>
                <w:iCs/>
                <w:sz w:val="20"/>
                <w:szCs w:val="20"/>
                <w:lang w:val="ro-MD"/>
              </w:rPr>
              <w:t>t şi pentru producerea vinului</w:t>
            </w:r>
          </w:p>
        </w:tc>
      </w:tr>
      <w:tr w:rsidR="00974C87" w:rsidRPr="002751FC"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r w:rsidRPr="002751FC">
              <w:rPr>
                <w:rFonts w:asciiTheme="majorHAnsi" w:eastAsia="Times New Roman" w:hAnsiTheme="majorHAnsi" w:cstheme="majorHAnsi"/>
                <w:iCs/>
                <w:sz w:val="20"/>
                <w:szCs w:val="20"/>
                <w:lang w:val="ro-MD"/>
              </w:rPr>
              <w:t xml:space="preserve">Soiuri de struguri </w:t>
            </w:r>
            <w:proofErr w:type="spellStart"/>
            <w:r w:rsidRPr="002751FC">
              <w:rPr>
                <w:rFonts w:asciiTheme="majorHAnsi" w:eastAsia="Times New Roman" w:hAnsiTheme="majorHAnsi" w:cstheme="majorHAnsi"/>
                <w:iCs/>
                <w:sz w:val="20"/>
                <w:szCs w:val="20"/>
                <w:lang w:val="ro-MD"/>
              </w:rPr>
              <w:t>apirene</w:t>
            </w:r>
            <w:proofErr w:type="spellEnd"/>
            <w:r w:rsidRPr="002751FC">
              <w:rPr>
                <w:rFonts w:asciiTheme="majorHAnsi" w:eastAsia="Times New Roman" w:hAnsiTheme="majorHAnsi" w:cstheme="majorHAnsi"/>
                <w:iCs/>
                <w:sz w:val="20"/>
                <w:szCs w:val="20"/>
                <w:lang w:val="ro-MD"/>
              </w:rPr>
              <w:t xml:space="preserve"> </w:t>
            </w:r>
          </w:p>
        </w:tc>
        <w:tc>
          <w:tcPr>
            <w:tcW w:w="7404" w:type="dxa"/>
          </w:tcPr>
          <w:p w:rsidR="00974C87" w:rsidRPr="002751FC" w:rsidRDefault="00974C87" w:rsidP="008E6A80">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rPr>
            </w:pPr>
            <w:r w:rsidRPr="002751FC">
              <w:rPr>
                <w:rFonts w:asciiTheme="majorHAnsi" w:eastAsia="Times New Roman" w:hAnsiTheme="majorHAnsi" w:cstheme="majorHAnsi"/>
                <w:iCs/>
                <w:sz w:val="20"/>
                <w:szCs w:val="20"/>
                <w:lang w:val="ro-MD"/>
              </w:rPr>
              <w:t xml:space="preserve">soiuri de struguri pentru masă fără </w:t>
            </w:r>
            <w:proofErr w:type="spellStart"/>
            <w:r w:rsidRPr="002751FC">
              <w:rPr>
                <w:rFonts w:asciiTheme="majorHAnsi" w:eastAsia="Times New Roman" w:hAnsiTheme="majorHAnsi" w:cstheme="majorHAnsi"/>
                <w:iCs/>
                <w:sz w:val="20"/>
                <w:szCs w:val="20"/>
                <w:lang w:val="ro-MD"/>
              </w:rPr>
              <w:t>seminţe</w:t>
            </w:r>
            <w:proofErr w:type="spellEnd"/>
            <w:r w:rsidRPr="002751FC">
              <w:rPr>
                <w:rFonts w:asciiTheme="majorHAnsi" w:eastAsia="Times New Roman" w:hAnsiTheme="majorHAnsi" w:cstheme="majorHAnsi"/>
                <w:iCs/>
                <w:sz w:val="20"/>
                <w:szCs w:val="20"/>
                <w:lang w:val="ro-MD"/>
              </w:rPr>
              <w:t xml:space="preserve">, </w:t>
            </w:r>
            <w:proofErr w:type="spellStart"/>
            <w:r w:rsidRPr="002751FC">
              <w:rPr>
                <w:rFonts w:asciiTheme="majorHAnsi" w:eastAsia="Times New Roman" w:hAnsiTheme="majorHAnsi" w:cstheme="majorHAnsi"/>
                <w:iCs/>
                <w:sz w:val="20"/>
                <w:szCs w:val="20"/>
                <w:lang w:val="ro-MD"/>
              </w:rPr>
              <w:t>destinaţi</w:t>
            </w:r>
            <w:proofErr w:type="spellEnd"/>
            <w:r w:rsidRPr="002751FC">
              <w:rPr>
                <w:rFonts w:asciiTheme="majorHAnsi" w:eastAsia="Times New Roman" w:hAnsiTheme="majorHAnsi" w:cstheme="majorHAnsi"/>
                <w:iCs/>
                <w:sz w:val="20"/>
                <w:szCs w:val="20"/>
                <w:lang w:val="ro-MD"/>
              </w:rPr>
              <w:t xml:space="preserve"> utilizării în stare proaspătă şi în stare uscată</w:t>
            </w:r>
          </w:p>
        </w:tc>
      </w:tr>
      <w:tr w:rsidR="00974C87"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r w:rsidRPr="002751FC">
              <w:rPr>
                <w:rFonts w:asciiTheme="majorHAnsi" w:eastAsia="Times New Roman" w:hAnsiTheme="majorHAnsi" w:cstheme="majorHAnsi"/>
                <w:iCs/>
                <w:sz w:val="20"/>
                <w:szCs w:val="20"/>
                <w:lang w:val="ro-MD"/>
              </w:rPr>
              <w:t xml:space="preserve">Struguri </w:t>
            </w:r>
            <w:proofErr w:type="spellStart"/>
            <w:r w:rsidRPr="002751FC">
              <w:rPr>
                <w:rFonts w:asciiTheme="majorHAnsi" w:eastAsia="Times New Roman" w:hAnsiTheme="majorHAnsi" w:cstheme="majorHAnsi"/>
                <w:iCs/>
                <w:sz w:val="20"/>
                <w:szCs w:val="20"/>
                <w:lang w:val="ro-MD"/>
              </w:rPr>
              <w:t>proaspeţi</w:t>
            </w:r>
            <w:proofErr w:type="spellEnd"/>
            <w:r w:rsidRPr="002751FC">
              <w:rPr>
                <w:rFonts w:asciiTheme="majorHAnsi" w:eastAsia="Times New Roman" w:hAnsiTheme="majorHAnsi" w:cstheme="majorHAnsi"/>
                <w:iCs/>
                <w:sz w:val="20"/>
                <w:szCs w:val="20"/>
                <w:lang w:val="ro-MD"/>
              </w:rPr>
              <w:t xml:space="preserve"> </w:t>
            </w:r>
          </w:p>
        </w:tc>
        <w:tc>
          <w:tcPr>
            <w:tcW w:w="7404" w:type="dxa"/>
          </w:tcPr>
          <w:p w:rsidR="00974C87" w:rsidRPr="002751FC" w:rsidRDefault="00974C87" w:rsidP="006B45B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o-MD"/>
              </w:rPr>
            </w:pPr>
            <w:r w:rsidRPr="002751FC">
              <w:rPr>
                <w:rFonts w:asciiTheme="majorHAnsi" w:eastAsia="Times New Roman" w:hAnsiTheme="majorHAnsi" w:cstheme="majorHAnsi"/>
                <w:iCs/>
                <w:sz w:val="20"/>
                <w:szCs w:val="20"/>
                <w:lang w:val="ro-MD"/>
              </w:rPr>
              <w:t xml:space="preserve">fructe ale </w:t>
            </w:r>
            <w:proofErr w:type="spellStart"/>
            <w:r w:rsidRPr="002751FC">
              <w:rPr>
                <w:rFonts w:asciiTheme="majorHAnsi" w:eastAsia="Times New Roman" w:hAnsiTheme="majorHAnsi" w:cstheme="majorHAnsi"/>
                <w:iCs/>
                <w:sz w:val="20"/>
                <w:szCs w:val="20"/>
                <w:lang w:val="ro-MD"/>
              </w:rPr>
              <w:t>viţei</w:t>
            </w:r>
            <w:proofErr w:type="spellEnd"/>
            <w:r w:rsidR="006B45B1" w:rsidRPr="002751FC">
              <w:rPr>
                <w:rFonts w:asciiTheme="majorHAnsi" w:eastAsia="Times New Roman" w:hAnsiTheme="majorHAnsi" w:cstheme="majorHAnsi"/>
                <w:iCs/>
                <w:sz w:val="20"/>
                <w:szCs w:val="20"/>
                <w:lang w:val="ro-MD"/>
              </w:rPr>
              <w:t>-</w:t>
            </w:r>
            <w:r w:rsidRPr="002751FC">
              <w:rPr>
                <w:rFonts w:asciiTheme="majorHAnsi" w:eastAsia="Times New Roman" w:hAnsiTheme="majorHAnsi" w:cstheme="majorHAnsi"/>
                <w:iCs/>
                <w:sz w:val="20"/>
                <w:szCs w:val="20"/>
                <w:lang w:val="ro-MD"/>
              </w:rPr>
              <w:t>de</w:t>
            </w:r>
            <w:r w:rsidR="006B45B1" w:rsidRPr="002751FC">
              <w:rPr>
                <w:rFonts w:asciiTheme="majorHAnsi" w:eastAsia="Times New Roman" w:hAnsiTheme="majorHAnsi" w:cstheme="majorHAnsi"/>
                <w:iCs/>
                <w:sz w:val="20"/>
                <w:szCs w:val="20"/>
                <w:lang w:val="ro-MD"/>
              </w:rPr>
              <w:t>-</w:t>
            </w:r>
            <w:r w:rsidRPr="002751FC">
              <w:rPr>
                <w:rFonts w:asciiTheme="majorHAnsi" w:eastAsia="Times New Roman" w:hAnsiTheme="majorHAnsi" w:cstheme="majorHAnsi"/>
                <w:iCs/>
                <w:sz w:val="20"/>
                <w:szCs w:val="20"/>
                <w:lang w:val="ro-MD"/>
              </w:rPr>
              <w:t xml:space="preserve">vie folosite în stare proaspătă sau ca materie primă în </w:t>
            </w:r>
            <w:proofErr w:type="spellStart"/>
            <w:r w:rsidRPr="002751FC">
              <w:rPr>
                <w:rFonts w:asciiTheme="majorHAnsi" w:eastAsia="Times New Roman" w:hAnsiTheme="majorHAnsi" w:cstheme="majorHAnsi"/>
                <w:iCs/>
                <w:sz w:val="20"/>
                <w:szCs w:val="20"/>
                <w:lang w:val="ro-MD"/>
              </w:rPr>
              <w:t>vinificaţie</w:t>
            </w:r>
            <w:proofErr w:type="spellEnd"/>
            <w:r w:rsidRPr="002751FC">
              <w:rPr>
                <w:rFonts w:asciiTheme="majorHAnsi" w:eastAsia="Times New Roman" w:hAnsiTheme="majorHAnsi" w:cstheme="majorHAnsi"/>
                <w:iCs/>
                <w:sz w:val="20"/>
                <w:szCs w:val="20"/>
                <w:lang w:val="ro-MD"/>
              </w:rPr>
              <w:t xml:space="preserve">, recoltate la maturitatea de consum, tehnologică sau într-un anumit stadiu de </w:t>
            </w:r>
            <w:proofErr w:type="spellStart"/>
            <w:r w:rsidRPr="002751FC">
              <w:rPr>
                <w:rFonts w:asciiTheme="majorHAnsi" w:eastAsia="Times New Roman" w:hAnsiTheme="majorHAnsi" w:cstheme="majorHAnsi"/>
                <w:iCs/>
                <w:sz w:val="20"/>
                <w:szCs w:val="20"/>
                <w:lang w:val="ro-MD"/>
              </w:rPr>
              <w:lastRenderedPageBreak/>
              <w:t>supramaturare</w:t>
            </w:r>
            <w:proofErr w:type="spellEnd"/>
            <w:r w:rsidRPr="002751FC">
              <w:rPr>
                <w:rFonts w:asciiTheme="majorHAnsi" w:eastAsia="Times New Roman" w:hAnsiTheme="majorHAnsi" w:cstheme="majorHAnsi"/>
                <w:iCs/>
                <w:sz w:val="20"/>
                <w:szCs w:val="20"/>
                <w:lang w:val="ro-MD"/>
              </w:rPr>
              <w:t xml:space="preserve">, care, după zdrobire sau presare cu mijloace </w:t>
            </w:r>
            <w:proofErr w:type="spellStart"/>
            <w:r w:rsidRPr="002751FC">
              <w:rPr>
                <w:rFonts w:asciiTheme="majorHAnsi" w:eastAsia="Times New Roman" w:hAnsiTheme="majorHAnsi" w:cstheme="majorHAnsi"/>
                <w:iCs/>
                <w:sz w:val="20"/>
                <w:szCs w:val="20"/>
                <w:lang w:val="ro-MD"/>
              </w:rPr>
              <w:t>obişnuite</w:t>
            </w:r>
            <w:proofErr w:type="spellEnd"/>
            <w:r w:rsidRPr="002751FC">
              <w:rPr>
                <w:rFonts w:asciiTheme="majorHAnsi" w:eastAsia="Times New Roman" w:hAnsiTheme="majorHAnsi" w:cstheme="majorHAnsi"/>
                <w:iCs/>
                <w:sz w:val="20"/>
                <w:szCs w:val="20"/>
                <w:lang w:val="ro-MD"/>
              </w:rPr>
              <w:t xml:space="preserve">, pot intra spontan în </w:t>
            </w:r>
            <w:proofErr w:type="spellStart"/>
            <w:r w:rsidRPr="002751FC">
              <w:rPr>
                <w:rFonts w:asciiTheme="majorHAnsi" w:eastAsia="Times New Roman" w:hAnsiTheme="majorHAnsi" w:cstheme="majorHAnsi"/>
                <w:iCs/>
                <w:sz w:val="20"/>
                <w:szCs w:val="20"/>
                <w:lang w:val="ro-MD"/>
              </w:rPr>
              <w:t>fermentaţie</w:t>
            </w:r>
            <w:proofErr w:type="spellEnd"/>
            <w:r w:rsidRPr="002751FC">
              <w:rPr>
                <w:rFonts w:asciiTheme="majorHAnsi" w:eastAsia="Times New Roman" w:hAnsiTheme="majorHAnsi" w:cstheme="majorHAnsi"/>
                <w:iCs/>
                <w:sz w:val="20"/>
                <w:szCs w:val="20"/>
                <w:lang w:val="ro-MD"/>
              </w:rPr>
              <w:t xml:space="preserve"> alcoolică</w:t>
            </w:r>
          </w:p>
        </w:tc>
      </w:tr>
      <w:tr w:rsidR="00974C87" w:rsidRPr="002751FC"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r w:rsidRPr="002751FC">
              <w:rPr>
                <w:rFonts w:asciiTheme="majorHAnsi" w:eastAsia="Times New Roman" w:hAnsiTheme="majorHAnsi" w:cstheme="majorHAnsi"/>
                <w:iCs/>
                <w:sz w:val="20"/>
                <w:szCs w:val="20"/>
                <w:lang w:val="ro-MD"/>
              </w:rPr>
              <w:lastRenderedPageBreak/>
              <w:t xml:space="preserve">Must de struguri proaspăt </w:t>
            </w:r>
          </w:p>
        </w:tc>
        <w:tc>
          <w:tcPr>
            <w:tcW w:w="7404" w:type="dxa"/>
          </w:tcPr>
          <w:p w:rsidR="00974C87" w:rsidRPr="002751FC" w:rsidRDefault="00974C87" w:rsidP="006B45B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rPr>
            </w:pPr>
            <w:r w:rsidRPr="002751FC">
              <w:rPr>
                <w:rFonts w:asciiTheme="majorHAnsi" w:eastAsia="Times New Roman" w:hAnsiTheme="majorHAnsi" w:cstheme="majorHAnsi"/>
                <w:iCs/>
                <w:sz w:val="20"/>
                <w:szCs w:val="20"/>
                <w:lang w:val="ro-MD"/>
              </w:rPr>
              <w:t xml:space="preserve">produs lichid </w:t>
            </w:r>
            <w:proofErr w:type="spellStart"/>
            <w:r w:rsidRPr="002751FC">
              <w:rPr>
                <w:rFonts w:asciiTheme="majorHAnsi" w:eastAsia="Times New Roman" w:hAnsiTheme="majorHAnsi" w:cstheme="majorHAnsi"/>
                <w:iCs/>
                <w:sz w:val="20"/>
                <w:szCs w:val="20"/>
                <w:lang w:val="ro-MD"/>
              </w:rPr>
              <w:t>obţinut</w:t>
            </w:r>
            <w:proofErr w:type="spellEnd"/>
            <w:r w:rsidRPr="002751FC">
              <w:rPr>
                <w:rFonts w:asciiTheme="majorHAnsi" w:eastAsia="Times New Roman" w:hAnsiTheme="majorHAnsi" w:cstheme="majorHAnsi"/>
                <w:iCs/>
                <w:sz w:val="20"/>
                <w:szCs w:val="20"/>
                <w:lang w:val="ro-MD"/>
              </w:rPr>
              <w:t xml:space="preserve"> în mod natural sau prin procedee fizice din struguri </w:t>
            </w:r>
            <w:proofErr w:type="spellStart"/>
            <w:r w:rsidRPr="002751FC">
              <w:rPr>
                <w:rFonts w:asciiTheme="majorHAnsi" w:eastAsia="Times New Roman" w:hAnsiTheme="majorHAnsi" w:cstheme="majorHAnsi"/>
                <w:iCs/>
                <w:sz w:val="20"/>
                <w:szCs w:val="20"/>
                <w:lang w:val="ro-MD"/>
              </w:rPr>
              <w:t>proaspeţi</w:t>
            </w:r>
            <w:proofErr w:type="spellEnd"/>
            <w:r w:rsidRPr="002751FC">
              <w:rPr>
                <w:rFonts w:asciiTheme="majorHAnsi" w:eastAsia="Times New Roman" w:hAnsiTheme="majorHAnsi" w:cstheme="majorHAnsi"/>
                <w:iCs/>
                <w:sz w:val="20"/>
                <w:szCs w:val="20"/>
                <w:lang w:val="ro-MD"/>
              </w:rPr>
              <w:t xml:space="preserve">, care are o </w:t>
            </w:r>
            <w:proofErr w:type="spellStart"/>
            <w:r w:rsidRPr="002751FC">
              <w:rPr>
                <w:rFonts w:asciiTheme="majorHAnsi" w:eastAsia="Times New Roman" w:hAnsiTheme="majorHAnsi" w:cstheme="majorHAnsi"/>
                <w:iCs/>
                <w:sz w:val="20"/>
                <w:szCs w:val="20"/>
                <w:lang w:val="ro-MD"/>
              </w:rPr>
              <w:t>concentraţie</w:t>
            </w:r>
            <w:proofErr w:type="spellEnd"/>
            <w:r w:rsidRPr="002751FC">
              <w:rPr>
                <w:rFonts w:asciiTheme="majorHAnsi" w:eastAsia="Times New Roman" w:hAnsiTheme="majorHAnsi" w:cstheme="majorHAnsi"/>
                <w:iCs/>
                <w:sz w:val="20"/>
                <w:szCs w:val="20"/>
                <w:lang w:val="ro-MD"/>
              </w:rPr>
              <w:t xml:space="preserve"> alcoolică dob</w:t>
            </w:r>
            <w:r w:rsidR="006B45B1" w:rsidRPr="002751FC">
              <w:rPr>
                <w:rFonts w:asciiTheme="majorHAnsi" w:eastAsia="Times New Roman" w:hAnsiTheme="majorHAnsi" w:cstheme="majorHAnsi"/>
                <w:iCs/>
                <w:sz w:val="20"/>
                <w:szCs w:val="20"/>
                <w:lang w:val="ro-MD"/>
              </w:rPr>
              <w:t>â</w:t>
            </w:r>
            <w:r w:rsidRPr="002751FC">
              <w:rPr>
                <w:rFonts w:asciiTheme="majorHAnsi" w:eastAsia="Times New Roman" w:hAnsiTheme="majorHAnsi" w:cstheme="majorHAnsi"/>
                <w:iCs/>
                <w:sz w:val="20"/>
                <w:szCs w:val="20"/>
                <w:lang w:val="ro-MD"/>
              </w:rPr>
              <w:t>ndită de cel mult 1% în volum</w:t>
            </w:r>
          </w:p>
        </w:tc>
      </w:tr>
      <w:tr w:rsidR="00974C87"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r w:rsidRPr="002751FC">
              <w:rPr>
                <w:rFonts w:asciiTheme="majorHAnsi" w:eastAsia="Times New Roman" w:hAnsiTheme="majorHAnsi" w:cstheme="majorHAnsi"/>
                <w:iCs/>
                <w:sz w:val="20"/>
                <w:szCs w:val="20"/>
                <w:lang w:val="ro-MD"/>
              </w:rPr>
              <w:t xml:space="preserve">Vin </w:t>
            </w:r>
          </w:p>
        </w:tc>
        <w:tc>
          <w:tcPr>
            <w:tcW w:w="7404" w:type="dxa"/>
          </w:tcPr>
          <w:p w:rsidR="00974C87" w:rsidRPr="002751FC" w:rsidRDefault="00974C87" w:rsidP="008E6A80">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o-MD"/>
              </w:rPr>
            </w:pPr>
            <w:r w:rsidRPr="002751FC">
              <w:rPr>
                <w:rFonts w:asciiTheme="majorHAnsi" w:eastAsia="Times New Roman" w:hAnsiTheme="majorHAnsi" w:cstheme="majorHAnsi"/>
                <w:iCs/>
                <w:sz w:val="20"/>
                <w:szCs w:val="20"/>
                <w:lang w:val="ro-MD"/>
              </w:rPr>
              <w:t xml:space="preserve">produs alimentar </w:t>
            </w:r>
            <w:proofErr w:type="spellStart"/>
            <w:r w:rsidRPr="002751FC">
              <w:rPr>
                <w:rFonts w:asciiTheme="majorHAnsi" w:eastAsia="Times New Roman" w:hAnsiTheme="majorHAnsi" w:cstheme="majorHAnsi"/>
                <w:iCs/>
                <w:sz w:val="20"/>
                <w:szCs w:val="20"/>
                <w:lang w:val="ro-MD"/>
              </w:rPr>
              <w:t>obţinut</w:t>
            </w:r>
            <w:proofErr w:type="spellEnd"/>
            <w:r w:rsidRPr="002751FC">
              <w:rPr>
                <w:rFonts w:asciiTheme="majorHAnsi" w:eastAsia="Times New Roman" w:hAnsiTheme="majorHAnsi" w:cstheme="majorHAnsi"/>
                <w:iCs/>
                <w:sz w:val="20"/>
                <w:szCs w:val="20"/>
                <w:lang w:val="ro-MD"/>
              </w:rPr>
              <w:t xml:space="preserve"> exclusiv prin fermentarea alcoolică, totală sau </w:t>
            </w:r>
            <w:proofErr w:type="spellStart"/>
            <w:r w:rsidRPr="002751FC">
              <w:rPr>
                <w:rFonts w:asciiTheme="majorHAnsi" w:eastAsia="Times New Roman" w:hAnsiTheme="majorHAnsi" w:cstheme="majorHAnsi"/>
                <w:iCs/>
                <w:sz w:val="20"/>
                <w:szCs w:val="20"/>
                <w:lang w:val="ro-MD"/>
              </w:rPr>
              <w:t>parţială</w:t>
            </w:r>
            <w:proofErr w:type="spellEnd"/>
            <w:r w:rsidRPr="002751FC">
              <w:rPr>
                <w:rFonts w:asciiTheme="majorHAnsi" w:eastAsia="Times New Roman" w:hAnsiTheme="majorHAnsi" w:cstheme="majorHAnsi"/>
                <w:iCs/>
                <w:sz w:val="20"/>
                <w:szCs w:val="20"/>
                <w:lang w:val="ro-MD"/>
              </w:rPr>
              <w:t xml:space="preserve">, a strugurilor </w:t>
            </w:r>
            <w:proofErr w:type="spellStart"/>
            <w:r w:rsidRPr="002751FC">
              <w:rPr>
                <w:rFonts w:asciiTheme="majorHAnsi" w:eastAsia="Times New Roman" w:hAnsiTheme="majorHAnsi" w:cstheme="majorHAnsi"/>
                <w:iCs/>
                <w:sz w:val="20"/>
                <w:szCs w:val="20"/>
                <w:lang w:val="ro-MD"/>
              </w:rPr>
              <w:t>proaspeţi</w:t>
            </w:r>
            <w:proofErr w:type="spellEnd"/>
            <w:r w:rsidRPr="002751FC">
              <w:rPr>
                <w:rFonts w:asciiTheme="majorHAnsi" w:eastAsia="Times New Roman" w:hAnsiTheme="majorHAnsi" w:cstheme="majorHAnsi"/>
                <w:iCs/>
                <w:sz w:val="20"/>
                <w:szCs w:val="20"/>
                <w:lang w:val="ro-MD"/>
              </w:rPr>
              <w:t xml:space="preserve"> ori </w:t>
            </w:r>
            <w:proofErr w:type="spellStart"/>
            <w:r w:rsidRPr="002751FC">
              <w:rPr>
                <w:rFonts w:asciiTheme="majorHAnsi" w:eastAsia="Times New Roman" w:hAnsiTheme="majorHAnsi" w:cstheme="majorHAnsi"/>
                <w:iCs/>
                <w:sz w:val="20"/>
                <w:szCs w:val="20"/>
                <w:lang w:val="ro-MD"/>
              </w:rPr>
              <w:t>îngheţaţi</w:t>
            </w:r>
            <w:proofErr w:type="spellEnd"/>
            <w:r w:rsidRPr="002751FC">
              <w:rPr>
                <w:rFonts w:asciiTheme="majorHAnsi" w:eastAsia="Times New Roman" w:hAnsiTheme="majorHAnsi" w:cstheme="majorHAnsi"/>
                <w:iCs/>
                <w:sz w:val="20"/>
                <w:szCs w:val="20"/>
                <w:lang w:val="ro-MD"/>
              </w:rPr>
              <w:t xml:space="preserve">, </w:t>
            </w:r>
            <w:proofErr w:type="spellStart"/>
            <w:r w:rsidRPr="002751FC">
              <w:rPr>
                <w:rFonts w:asciiTheme="majorHAnsi" w:eastAsia="Times New Roman" w:hAnsiTheme="majorHAnsi" w:cstheme="majorHAnsi"/>
                <w:iCs/>
                <w:sz w:val="20"/>
                <w:szCs w:val="20"/>
                <w:lang w:val="ro-MD"/>
              </w:rPr>
              <w:t>presaţi</w:t>
            </w:r>
            <w:proofErr w:type="spellEnd"/>
            <w:r w:rsidRPr="002751FC">
              <w:rPr>
                <w:rFonts w:asciiTheme="majorHAnsi" w:eastAsia="Times New Roman" w:hAnsiTheme="majorHAnsi" w:cstheme="majorHAnsi"/>
                <w:iCs/>
                <w:sz w:val="20"/>
                <w:szCs w:val="20"/>
                <w:lang w:val="ro-MD"/>
              </w:rPr>
              <w:t xml:space="preserve"> ori nu, sau a mustului de struguri proaspăt</w:t>
            </w:r>
          </w:p>
        </w:tc>
      </w:tr>
      <w:tr w:rsidR="00974C87" w:rsidRPr="002751FC"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r w:rsidRPr="002751FC">
              <w:rPr>
                <w:rFonts w:asciiTheme="majorHAnsi" w:eastAsia="Times New Roman" w:hAnsiTheme="majorHAnsi" w:cstheme="majorHAnsi"/>
                <w:iCs/>
                <w:sz w:val="20"/>
                <w:szCs w:val="20"/>
                <w:lang w:val="ro-MD"/>
              </w:rPr>
              <w:t>Vin de hibrizi</w:t>
            </w:r>
          </w:p>
        </w:tc>
        <w:tc>
          <w:tcPr>
            <w:tcW w:w="7404" w:type="dxa"/>
          </w:tcPr>
          <w:p w:rsidR="00974C87" w:rsidRPr="002751FC" w:rsidRDefault="00974C87" w:rsidP="008E6A80">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rPr>
            </w:pPr>
            <w:r w:rsidRPr="002751FC">
              <w:rPr>
                <w:rFonts w:asciiTheme="majorHAnsi" w:eastAsia="Times New Roman" w:hAnsiTheme="majorHAnsi" w:cstheme="majorHAnsi"/>
                <w:iCs/>
                <w:sz w:val="20"/>
                <w:szCs w:val="20"/>
                <w:lang w:val="ro-MD"/>
              </w:rPr>
              <w:t xml:space="preserve">vin </w:t>
            </w:r>
            <w:proofErr w:type="spellStart"/>
            <w:r w:rsidRPr="002751FC">
              <w:rPr>
                <w:rFonts w:asciiTheme="majorHAnsi" w:eastAsia="Times New Roman" w:hAnsiTheme="majorHAnsi" w:cstheme="majorHAnsi"/>
                <w:iCs/>
                <w:sz w:val="20"/>
                <w:szCs w:val="20"/>
                <w:lang w:val="ro-MD"/>
              </w:rPr>
              <w:t>obţinut</w:t>
            </w:r>
            <w:proofErr w:type="spellEnd"/>
            <w:r w:rsidRPr="002751FC">
              <w:rPr>
                <w:rFonts w:asciiTheme="majorHAnsi" w:eastAsia="Times New Roman" w:hAnsiTheme="majorHAnsi" w:cstheme="majorHAnsi"/>
                <w:iCs/>
                <w:sz w:val="20"/>
                <w:szCs w:val="20"/>
                <w:lang w:val="ro-MD"/>
              </w:rPr>
              <w:t xml:space="preserve"> din struguri de soiuri de hibrizi simpli (direct producători)</w:t>
            </w:r>
          </w:p>
        </w:tc>
      </w:tr>
      <w:tr w:rsidR="00974C87"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r w:rsidRPr="002751FC">
              <w:rPr>
                <w:rFonts w:asciiTheme="majorHAnsi" w:eastAsia="Times New Roman" w:hAnsiTheme="majorHAnsi" w:cstheme="majorHAnsi"/>
                <w:iCs/>
                <w:sz w:val="20"/>
                <w:szCs w:val="20"/>
                <w:lang w:val="ro-MD"/>
              </w:rPr>
              <w:t xml:space="preserve">Vin de casă </w:t>
            </w:r>
          </w:p>
        </w:tc>
        <w:tc>
          <w:tcPr>
            <w:tcW w:w="7404" w:type="dxa"/>
          </w:tcPr>
          <w:p w:rsidR="00974C87" w:rsidRPr="002751FC" w:rsidRDefault="00974C87" w:rsidP="008E6A80">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o-MD"/>
              </w:rPr>
            </w:pPr>
            <w:r w:rsidRPr="002751FC">
              <w:rPr>
                <w:rFonts w:asciiTheme="majorHAnsi" w:eastAsia="Times New Roman" w:hAnsiTheme="majorHAnsi" w:cstheme="majorHAnsi"/>
                <w:iCs/>
                <w:sz w:val="20"/>
                <w:szCs w:val="20"/>
                <w:lang w:val="ro-MD"/>
              </w:rPr>
              <w:t xml:space="preserve">vin produs de persoane fizice în </w:t>
            </w:r>
            <w:proofErr w:type="spellStart"/>
            <w:r w:rsidRPr="002751FC">
              <w:rPr>
                <w:rFonts w:asciiTheme="majorHAnsi" w:eastAsia="Times New Roman" w:hAnsiTheme="majorHAnsi" w:cstheme="majorHAnsi"/>
                <w:iCs/>
                <w:sz w:val="20"/>
                <w:szCs w:val="20"/>
                <w:lang w:val="ro-MD"/>
              </w:rPr>
              <w:t>condiţii</w:t>
            </w:r>
            <w:proofErr w:type="spellEnd"/>
            <w:r w:rsidRPr="002751FC">
              <w:rPr>
                <w:rFonts w:asciiTheme="majorHAnsi" w:eastAsia="Times New Roman" w:hAnsiTheme="majorHAnsi" w:cstheme="majorHAnsi"/>
                <w:iCs/>
                <w:sz w:val="20"/>
                <w:szCs w:val="20"/>
                <w:lang w:val="ro-MD"/>
              </w:rPr>
              <w:t xml:space="preserve"> rustice pentru consum familial personal</w:t>
            </w:r>
          </w:p>
        </w:tc>
      </w:tr>
      <w:tr w:rsidR="00974C87" w:rsidRPr="002751FC"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r w:rsidRPr="002751FC">
              <w:rPr>
                <w:rFonts w:asciiTheme="majorHAnsi" w:eastAsia="Times New Roman" w:hAnsiTheme="majorHAnsi" w:cstheme="majorHAnsi"/>
                <w:iCs/>
                <w:sz w:val="20"/>
                <w:szCs w:val="20"/>
                <w:lang w:val="ro-MD"/>
              </w:rPr>
              <w:t xml:space="preserve">Produse secundare vinicole </w:t>
            </w:r>
          </w:p>
        </w:tc>
        <w:tc>
          <w:tcPr>
            <w:tcW w:w="7404" w:type="dxa"/>
          </w:tcPr>
          <w:p w:rsidR="00974C87" w:rsidRPr="002751FC" w:rsidRDefault="00974C87" w:rsidP="008E6A80">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rPr>
            </w:pPr>
            <w:proofErr w:type="spellStart"/>
            <w:r w:rsidRPr="002751FC">
              <w:rPr>
                <w:rFonts w:asciiTheme="majorHAnsi" w:eastAsia="Times New Roman" w:hAnsiTheme="majorHAnsi" w:cstheme="majorHAnsi"/>
                <w:iCs/>
                <w:sz w:val="20"/>
                <w:szCs w:val="20"/>
                <w:lang w:val="ro-MD"/>
              </w:rPr>
              <w:t>deşeu</w:t>
            </w:r>
            <w:proofErr w:type="spellEnd"/>
            <w:r w:rsidRPr="002751FC">
              <w:rPr>
                <w:rFonts w:asciiTheme="majorHAnsi" w:eastAsia="Times New Roman" w:hAnsiTheme="majorHAnsi" w:cstheme="majorHAnsi"/>
                <w:iCs/>
                <w:sz w:val="20"/>
                <w:szCs w:val="20"/>
                <w:lang w:val="ro-MD"/>
              </w:rPr>
              <w:t xml:space="preserve"> provenit din prelucrarea strugurilor şi fabricarea produselor vinicole</w:t>
            </w:r>
          </w:p>
        </w:tc>
      </w:tr>
      <w:tr w:rsidR="00974C87" w:rsidRPr="002751F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r w:rsidRPr="002751FC">
              <w:rPr>
                <w:rFonts w:asciiTheme="majorHAnsi" w:eastAsia="Times New Roman" w:hAnsiTheme="majorHAnsi" w:cstheme="majorHAnsi"/>
                <w:iCs/>
                <w:sz w:val="20"/>
                <w:szCs w:val="20"/>
                <w:lang w:val="ro-MD"/>
              </w:rPr>
              <w:t xml:space="preserve">Produs vinicol falsificat </w:t>
            </w:r>
          </w:p>
        </w:tc>
        <w:tc>
          <w:tcPr>
            <w:tcW w:w="7404" w:type="dxa"/>
          </w:tcPr>
          <w:p w:rsidR="00974C87" w:rsidRPr="002751FC" w:rsidRDefault="00974C87" w:rsidP="006B45B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o-MD"/>
              </w:rPr>
            </w:pPr>
            <w:r w:rsidRPr="002751FC">
              <w:rPr>
                <w:rFonts w:asciiTheme="majorHAnsi" w:eastAsia="Times New Roman" w:hAnsiTheme="majorHAnsi" w:cstheme="majorHAnsi"/>
                <w:iCs/>
                <w:sz w:val="20"/>
                <w:szCs w:val="20"/>
                <w:lang w:val="ro-MD"/>
              </w:rPr>
              <w:t xml:space="preserve">produs </w:t>
            </w:r>
            <w:proofErr w:type="spellStart"/>
            <w:r w:rsidRPr="002751FC">
              <w:rPr>
                <w:rFonts w:asciiTheme="majorHAnsi" w:eastAsia="Times New Roman" w:hAnsiTheme="majorHAnsi" w:cstheme="majorHAnsi"/>
                <w:iCs/>
                <w:sz w:val="20"/>
                <w:szCs w:val="20"/>
                <w:lang w:val="ro-MD"/>
              </w:rPr>
              <w:t>obţinut</w:t>
            </w:r>
            <w:proofErr w:type="spellEnd"/>
            <w:r w:rsidRPr="002751FC">
              <w:rPr>
                <w:rFonts w:asciiTheme="majorHAnsi" w:eastAsia="Times New Roman" w:hAnsiTheme="majorHAnsi" w:cstheme="majorHAnsi"/>
                <w:iCs/>
                <w:sz w:val="20"/>
                <w:szCs w:val="20"/>
                <w:lang w:val="ro-MD"/>
              </w:rPr>
              <w:t xml:space="preserve"> pe bază de must </w:t>
            </w:r>
            <w:proofErr w:type="spellStart"/>
            <w:r w:rsidRPr="002751FC">
              <w:rPr>
                <w:rFonts w:asciiTheme="majorHAnsi" w:eastAsia="Times New Roman" w:hAnsiTheme="majorHAnsi" w:cstheme="majorHAnsi"/>
                <w:iCs/>
                <w:sz w:val="20"/>
                <w:szCs w:val="20"/>
                <w:lang w:val="ro-MD"/>
              </w:rPr>
              <w:t>şi</w:t>
            </w:r>
            <w:proofErr w:type="spellEnd"/>
            <w:r w:rsidRPr="002751FC">
              <w:rPr>
                <w:rFonts w:asciiTheme="majorHAnsi" w:eastAsia="Times New Roman" w:hAnsiTheme="majorHAnsi" w:cstheme="majorHAnsi"/>
                <w:iCs/>
                <w:sz w:val="20"/>
                <w:szCs w:val="20"/>
                <w:lang w:val="ro-MD"/>
              </w:rPr>
              <w:t xml:space="preserve"> produs </w:t>
            </w:r>
            <w:proofErr w:type="spellStart"/>
            <w:r w:rsidRPr="002751FC">
              <w:rPr>
                <w:rFonts w:asciiTheme="majorHAnsi" w:eastAsia="Times New Roman" w:hAnsiTheme="majorHAnsi" w:cstheme="majorHAnsi"/>
                <w:iCs/>
                <w:sz w:val="20"/>
                <w:szCs w:val="20"/>
                <w:lang w:val="ro-MD"/>
              </w:rPr>
              <w:t>obţinut</w:t>
            </w:r>
            <w:proofErr w:type="spellEnd"/>
            <w:r w:rsidRPr="002751FC">
              <w:rPr>
                <w:rFonts w:asciiTheme="majorHAnsi" w:eastAsia="Times New Roman" w:hAnsiTheme="majorHAnsi" w:cstheme="majorHAnsi"/>
                <w:iCs/>
                <w:sz w:val="20"/>
                <w:szCs w:val="20"/>
                <w:lang w:val="ro-MD"/>
              </w:rPr>
              <w:t xml:space="preserve"> pe bază de vin, care, potrivit </w:t>
            </w:r>
            <w:proofErr w:type="spellStart"/>
            <w:r w:rsidRPr="002751FC">
              <w:rPr>
                <w:rFonts w:asciiTheme="majorHAnsi" w:eastAsia="Times New Roman" w:hAnsiTheme="majorHAnsi" w:cstheme="majorHAnsi"/>
                <w:iCs/>
                <w:sz w:val="20"/>
                <w:szCs w:val="20"/>
                <w:lang w:val="ro-MD"/>
              </w:rPr>
              <w:t>compoziţiei</w:t>
            </w:r>
            <w:proofErr w:type="spellEnd"/>
            <w:r w:rsidRPr="002751FC">
              <w:rPr>
                <w:rFonts w:asciiTheme="majorHAnsi" w:eastAsia="Times New Roman" w:hAnsiTheme="majorHAnsi" w:cstheme="majorHAnsi"/>
                <w:iCs/>
                <w:sz w:val="20"/>
                <w:szCs w:val="20"/>
                <w:lang w:val="ro-MD"/>
              </w:rPr>
              <w:t xml:space="preserve"> </w:t>
            </w:r>
            <w:proofErr w:type="spellStart"/>
            <w:r w:rsidRPr="002751FC">
              <w:rPr>
                <w:rFonts w:asciiTheme="majorHAnsi" w:eastAsia="Times New Roman" w:hAnsiTheme="majorHAnsi" w:cstheme="majorHAnsi"/>
                <w:iCs/>
                <w:sz w:val="20"/>
                <w:szCs w:val="20"/>
                <w:lang w:val="ro-MD"/>
              </w:rPr>
              <w:t>şi</w:t>
            </w:r>
            <w:proofErr w:type="spellEnd"/>
            <w:r w:rsidRPr="002751FC">
              <w:rPr>
                <w:rFonts w:asciiTheme="majorHAnsi" w:eastAsia="Times New Roman" w:hAnsiTheme="majorHAnsi" w:cstheme="majorHAnsi"/>
                <w:iCs/>
                <w:sz w:val="20"/>
                <w:szCs w:val="20"/>
                <w:lang w:val="ro-MD"/>
              </w:rPr>
              <w:t xml:space="preserve">/sau procedeelor de fabricare, nu corespund </w:t>
            </w:r>
            <w:proofErr w:type="spellStart"/>
            <w:r w:rsidRPr="002751FC">
              <w:rPr>
                <w:rFonts w:asciiTheme="majorHAnsi" w:eastAsia="Times New Roman" w:hAnsiTheme="majorHAnsi" w:cstheme="majorHAnsi"/>
                <w:iCs/>
                <w:sz w:val="20"/>
                <w:szCs w:val="20"/>
                <w:lang w:val="ro-MD"/>
              </w:rPr>
              <w:t>cerinţelor</w:t>
            </w:r>
            <w:proofErr w:type="spellEnd"/>
            <w:r w:rsidRPr="002751FC">
              <w:rPr>
                <w:rFonts w:asciiTheme="majorHAnsi" w:eastAsia="Times New Roman" w:hAnsiTheme="majorHAnsi" w:cstheme="majorHAnsi"/>
                <w:iCs/>
                <w:sz w:val="20"/>
                <w:szCs w:val="20"/>
                <w:lang w:val="ro-MD"/>
              </w:rPr>
              <w:t xml:space="preserve"> obligatorii stabilite prin legi şi reglementări tehnice şi sunt prezentate drept veritabile sau duplicate false după modelul originalului, şi/sau produs prezentat, în mod ilegal, cu denumire de origine protejată, </w:t>
            </w:r>
            <w:proofErr w:type="spellStart"/>
            <w:r w:rsidRPr="002751FC">
              <w:rPr>
                <w:rFonts w:asciiTheme="majorHAnsi" w:eastAsia="Times New Roman" w:hAnsiTheme="majorHAnsi" w:cstheme="majorHAnsi"/>
                <w:iCs/>
                <w:sz w:val="20"/>
                <w:szCs w:val="20"/>
                <w:lang w:val="ro-MD"/>
              </w:rPr>
              <w:t>indicaţie</w:t>
            </w:r>
            <w:proofErr w:type="spellEnd"/>
            <w:r w:rsidRPr="002751FC">
              <w:rPr>
                <w:rFonts w:asciiTheme="majorHAnsi" w:eastAsia="Times New Roman" w:hAnsiTheme="majorHAnsi" w:cstheme="majorHAnsi"/>
                <w:iCs/>
                <w:sz w:val="20"/>
                <w:szCs w:val="20"/>
                <w:lang w:val="ro-MD"/>
              </w:rPr>
              <w:t xml:space="preserve"> geografică protejată, marcă comercială înregistrată, induc</w:t>
            </w:r>
            <w:r w:rsidR="006B45B1" w:rsidRPr="002751FC">
              <w:rPr>
                <w:rFonts w:asciiTheme="majorHAnsi" w:eastAsia="Times New Roman" w:hAnsiTheme="majorHAnsi" w:cstheme="majorHAnsi"/>
                <w:iCs/>
                <w:sz w:val="20"/>
                <w:szCs w:val="20"/>
                <w:lang w:val="ro-MD"/>
              </w:rPr>
              <w:t>â</w:t>
            </w:r>
            <w:r w:rsidRPr="002751FC">
              <w:rPr>
                <w:rFonts w:asciiTheme="majorHAnsi" w:eastAsia="Times New Roman" w:hAnsiTheme="majorHAnsi" w:cstheme="majorHAnsi"/>
                <w:iCs/>
                <w:sz w:val="20"/>
                <w:szCs w:val="20"/>
                <w:lang w:val="ro-MD"/>
              </w:rPr>
              <w:t>nd în eroare consumatorul</w:t>
            </w:r>
          </w:p>
        </w:tc>
      </w:tr>
      <w:tr w:rsidR="00974C87" w:rsidRPr="002751FC"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2751FC" w:rsidRDefault="00974C87" w:rsidP="008E6A80">
            <w:pPr>
              <w:spacing w:after="160" w:line="259" w:lineRule="auto"/>
              <w:rPr>
                <w:rFonts w:asciiTheme="majorHAnsi" w:eastAsia="Times New Roman" w:hAnsiTheme="majorHAnsi" w:cstheme="majorHAnsi"/>
                <w:b w:val="0"/>
                <w:iCs/>
                <w:sz w:val="20"/>
                <w:szCs w:val="20"/>
                <w:lang w:val="ro-MD"/>
              </w:rPr>
            </w:pPr>
            <w:r w:rsidRPr="002751FC">
              <w:rPr>
                <w:rFonts w:asciiTheme="majorHAnsi" w:eastAsia="Times New Roman" w:hAnsiTheme="majorHAnsi" w:cstheme="majorHAnsi"/>
                <w:iCs/>
                <w:sz w:val="20"/>
                <w:szCs w:val="20"/>
                <w:lang w:val="ro-MD"/>
              </w:rPr>
              <w:t xml:space="preserve">Campanie de </w:t>
            </w:r>
            <w:proofErr w:type="spellStart"/>
            <w:r w:rsidRPr="002751FC">
              <w:rPr>
                <w:rFonts w:asciiTheme="majorHAnsi" w:eastAsia="Times New Roman" w:hAnsiTheme="majorHAnsi" w:cstheme="majorHAnsi"/>
                <w:iCs/>
                <w:sz w:val="20"/>
                <w:szCs w:val="20"/>
                <w:lang w:val="ro-MD"/>
              </w:rPr>
              <w:t>producţie</w:t>
            </w:r>
            <w:proofErr w:type="spellEnd"/>
            <w:r w:rsidRPr="002751FC">
              <w:rPr>
                <w:rFonts w:asciiTheme="majorHAnsi" w:eastAsia="Times New Roman" w:hAnsiTheme="majorHAnsi" w:cstheme="majorHAnsi"/>
                <w:iCs/>
                <w:sz w:val="20"/>
                <w:szCs w:val="20"/>
                <w:lang w:val="ro-MD"/>
              </w:rPr>
              <w:t xml:space="preserve"> vitivinicolă</w:t>
            </w:r>
          </w:p>
        </w:tc>
        <w:tc>
          <w:tcPr>
            <w:tcW w:w="7404" w:type="dxa"/>
          </w:tcPr>
          <w:p w:rsidR="00974C87" w:rsidRPr="002751FC" w:rsidRDefault="00974C87" w:rsidP="001D775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MD"/>
              </w:rPr>
            </w:pPr>
            <w:r w:rsidRPr="002751FC">
              <w:rPr>
                <w:rFonts w:asciiTheme="majorHAnsi" w:eastAsia="Times New Roman" w:hAnsiTheme="majorHAnsi" w:cstheme="majorHAnsi"/>
                <w:iCs/>
                <w:sz w:val="20"/>
                <w:szCs w:val="20"/>
                <w:lang w:val="ro-MD"/>
              </w:rPr>
              <w:t>perioadă anuală care începe la 1 august a fiecărui an şi se încheie la 31 iulie a anului următor</w:t>
            </w:r>
          </w:p>
        </w:tc>
      </w:tr>
    </w:tbl>
    <w:p w:rsidR="00974C87" w:rsidRPr="002751FC" w:rsidRDefault="00974C87" w:rsidP="00974C87">
      <w:pPr>
        <w:spacing w:after="0"/>
        <w:jc w:val="both"/>
        <w:rPr>
          <w:rFonts w:asciiTheme="majorHAnsi" w:eastAsia="Times New Roman" w:hAnsiTheme="majorHAnsi" w:cstheme="majorHAnsi"/>
          <w:iCs/>
          <w:sz w:val="28"/>
          <w:szCs w:val="28"/>
          <w:lang w:val="ro-MD"/>
        </w:rPr>
      </w:pPr>
    </w:p>
    <w:p w:rsidR="00974C87" w:rsidRPr="002751FC" w:rsidRDefault="00974C87" w:rsidP="00974C87">
      <w:pPr>
        <w:rPr>
          <w:rFonts w:asciiTheme="majorHAnsi" w:eastAsiaTheme="majorEastAsia" w:hAnsiTheme="majorHAnsi" w:cstheme="majorHAnsi"/>
          <w:b/>
          <w:sz w:val="28"/>
          <w:szCs w:val="28"/>
          <w:lang w:val="ro-MD"/>
        </w:rPr>
      </w:pPr>
      <w:r w:rsidRPr="002751FC">
        <w:rPr>
          <w:rFonts w:asciiTheme="majorHAnsi" w:hAnsiTheme="majorHAnsi" w:cstheme="majorHAnsi"/>
          <w:b/>
          <w:sz w:val="28"/>
          <w:szCs w:val="28"/>
          <w:lang w:val="ro-MD"/>
        </w:rPr>
        <w:br w:type="page"/>
      </w:r>
    </w:p>
    <w:p w:rsidR="00974C87" w:rsidRPr="002751FC" w:rsidRDefault="00974C87" w:rsidP="008B4E9F">
      <w:pPr>
        <w:pStyle w:val="1"/>
        <w:jc w:val="center"/>
        <w:rPr>
          <w:rFonts w:cstheme="majorHAnsi"/>
          <w:b/>
          <w:color w:val="auto"/>
          <w:sz w:val="28"/>
          <w:szCs w:val="28"/>
          <w:lang w:val="ro-MD"/>
        </w:rPr>
      </w:pPr>
      <w:bookmarkStart w:id="4" w:name="_Toc23259083"/>
      <w:r w:rsidRPr="002751FC">
        <w:rPr>
          <w:rFonts w:cstheme="majorHAnsi"/>
          <w:b/>
          <w:color w:val="auto"/>
          <w:sz w:val="28"/>
          <w:szCs w:val="28"/>
          <w:lang w:val="ro-MD"/>
        </w:rPr>
        <w:lastRenderedPageBreak/>
        <w:t xml:space="preserve">I. </w:t>
      </w:r>
      <w:bookmarkEnd w:id="1"/>
      <w:bookmarkEnd w:id="0"/>
      <w:r w:rsidRPr="002751FC">
        <w:rPr>
          <w:rFonts w:cstheme="majorHAnsi"/>
          <w:b/>
          <w:color w:val="auto"/>
          <w:sz w:val="28"/>
          <w:szCs w:val="28"/>
          <w:lang w:val="ro-MD"/>
        </w:rPr>
        <w:t>SINTEZA</w:t>
      </w:r>
      <w:bookmarkEnd w:id="4"/>
    </w:p>
    <w:p w:rsidR="00974C87" w:rsidRPr="002751FC" w:rsidRDefault="00974C87" w:rsidP="00952CA5">
      <w:pPr>
        <w:spacing w:before="120" w:after="0"/>
        <w:ind w:firstLine="36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Industria vitivinicolă deține un rol esențial în economia țării. RM este inclusă în lista primelor 10 ț</w:t>
      </w:r>
      <w:r w:rsidR="008501EE" w:rsidRPr="002751FC">
        <w:rPr>
          <w:rFonts w:asciiTheme="majorHAnsi" w:hAnsiTheme="majorHAnsi" w:cstheme="majorHAnsi"/>
          <w:sz w:val="28"/>
          <w:szCs w:val="28"/>
          <w:lang w:val="ro-MD"/>
        </w:rPr>
        <w:t>ă</w:t>
      </w:r>
      <w:r w:rsidRPr="002751FC">
        <w:rPr>
          <w:rFonts w:asciiTheme="majorHAnsi" w:hAnsiTheme="majorHAnsi" w:cstheme="majorHAnsi"/>
          <w:sz w:val="28"/>
          <w:szCs w:val="28"/>
          <w:lang w:val="ro-MD"/>
        </w:rPr>
        <w:t xml:space="preserve">ri producătoare și </w:t>
      </w:r>
      <w:r w:rsidR="008501EE" w:rsidRPr="002751FC">
        <w:rPr>
          <w:rFonts w:asciiTheme="majorHAnsi" w:hAnsiTheme="majorHAnsi" w:cstheme="majorHAnsi"/>
          <w:sz w:val="28"/>
          <w:szCs w:val="28"/>
          <w:lang w:val="ro-MD"/>
        </w:rPr>
        <w:t>exportatoare</w:t>
      </w:r>
      <w:r w:rsidRPr="002751FC">
        <w:rPr>
          <w:rFonts w:asciiTheme="majorHAnsi" w:hAnsiTheme="majorHAnsi" w:cstheme="majorHAnsi"/>
          <w:sz w:val="28"/>
          <w:szCs w:val="28"/>
          <w:lang w:val="ro-MD"/>
        </w:rPr>
        <w:t xml:space="preserve"> de vinuri în lume. </w:t>
      </w:r>
      <w:r w:rsidR="006B45B1" w:rsidRPr="002751FC">
        <w:rPr>
          <w:rFonts w:asciiTheme="majorHAnsi" w:hAnsiTheme="majorHAnsi" w:cstheme="majorHAnsi"/>
          <w:sz w:val="28"/>
          <w:szCs w:val="28"/>
          <w:lang w:val="ro-MD"/>
        </w:rPr>
        <w:t>Producția vinicolă</w:t>
      </w:r>
      <w:r w:rsidRPr="002751FC">
        <w:rPr>
          <w:rFonts w:asciiTheme="majorHAnsi" w:hAnsiTheme="majorHAnsi" w:cstheme="majorHAnsi"/>
          <w:sz w:val="28"/>
          <w:szCs w:val="28"/>
          <w:lang w:val="ro-MD"/>
        </w:rPr>
        <w:t xml:space="preserve"> are o </w:t>
      </w:r>
      <w:r w:rsidR="006B45B1" w:rsidRPr="002751FC">
        <w:rPr>
          <w:rFonts w:asciiTheme="majorHAnsi" w:hAnsiTheme="majorHAnsi" w:cstheme="majorHAnsi"/>
          <w:sz w:val="28"/>
          <w:szCs w:val="28"/>
          <w:lang w:val="ro-MD"/>
        </w:rPr>
        <w:t xml:space="preserve">pondere </w:t>
      </w:r>
      <w:r w:rsidRPr="002751FC">
        <w:rPr>
          <w:rFonts w:asciiTheme="majorHAnsi" w:hAnsiTheme="majorHAnsi" w:cstheme="majorHAnsi"/>
          <w:sz w:val="28"/>
          <w:szCs w:val="28"/>
          <w:lang w:val="ro-MD"/>
        </w:rPr>
        <w:t xml:space="preserve">considerabilă </w:t>
      </w:r>
      <w:r w:rsidR="006B45B1" w:rsidRPr="002751FC">
        <w:rPr>
          <w:rFonts w:asciiTheme="majorHAnsi" w:hAnsiTheme="majorHAnsi" w:cstheme="majorHAnsi"/>
          <w:sz w:val="28"/>
          <w:szCs w:val="28"/>
          <w:lang w:val="ro-MD"/>
        </w:rPr>
        <w:t>în</w:t>
      </w:r>
      <w:r w:rsidRPr="002751FC">
        <w:rPr>
          <w:rFonts w:asciiTheme="majorHAnsi" w:hAnsiTheme="majorHAnsi" w:cstheme="majorHAnsi"/>
          <w:sz w:val="28"/>
          <w:szCs w:val="28"/>
          <w:lang w:val="ro-MD"/>
        </w:rPr>
        <w:t xml:space="preserve"> economi</w:t>
      </w:r>
      <w:r w:rsidR="006B45B1" w:rsidRPr="002751FC">
        <w:rPr>
          <w:rFonts w:asciiTheme="majorHAnsi" w:hAnsiTheme="majorHAnsi" w:cstheme="majorHAnsi"/>
          <w:sz w:val="28"/>
          <w:szCs w:val="28"/>
          <w:lang w:val="ro-MD"/>
        </w:rPr>
        <w:t>a</w:t>
      </w:r>
      <w:r w:rsidRPr="002751FC">
        <w:rPr>
          <w:rFonts w:asciiTheme="majorHAnsi" w:hAnsiTheme="majorHAnsi" w:cstheme="majorHAnsi"/>
          <w:sz w:val="28"/>
          <w:szCs w:val="28"/>
          <w:lang w:val="ro-MD"/>
        </w:rPr>
        <w:t xml:space="preserve"> țării, </w:t>
      </w:r>
      <w:r w:rsidR="008501EE" w:rsidRPr="002751FC">
        <w:rPr>
          <w:rFonts w:asciiTheme="majorHAnsi" w:hAnsiTheme="majorHAnsi" w:cstheme="majorHAnsi"/>
          <w:sz w:val="28"/>
          <w:szCs w:val="28"/>
          <w:lang w:val="ro-MD"/>
        </w:rPr>
        <w:t>asigurând</w:t>
      </w:r>
      <w:r w:rsidRPr="002751FC">
        <w:rPr>
          <w:rFonts w:asciiTheme="majorHAnsi" w:hAnsiTheme="majorHAnsi" w:cstheme="majorHAnsi"/>
          <w:sz w:val="28"/>
          <w:szCs w:val="28"/>
          <w:lang w:val="ro-MD"/>
        </w:rPr>
        <w:t xml:space="preserve"> până la 6,2</w:t>
      </w:r>
      <w:r w:rsidR="008501EE" w:rsidRPr="002751FC">
        <w:rPr>
          <w:rFonts w:asciiTheme="majorHAnsi" w:hAnsiTheme="majorHAnsi" w:cstheme="majorHAnsi"/>
          <w:sz w:val="28"/>
          <w:szCs w:val="28"/>
          <w:lang w:val="ro-MD"/>
        </w:rPr>
        <w:t xml:space="preserve">% din </w:t>
      </w:r>
      <w:r w:rsidRPr="002751FC">
        <w:rPr>
          <w:rFonts w:asciiTheme="majorHAnsi" w:hAnsiTheme="majorHAnsi" w:cstheme="majorHAnsi"/>
          <w:sz w:val="28"/>
          <w:szCs w:val="28"/>
          <w:lang w:val="ro-MD"/>
        </w:rPr>
        <w:t xml:space="preserve">veniturile </w:t>
      </w:r>
      <w:r w:rsidR="009E1380" w:rsidRPr="002751FC">
        <w:rPr>
          <w:rFonts w:asciiTheme="majorHAnsi" w:hAnsiTheme="majorHAnsi" w:cstheme="majorHAnsi"/>
          <w:sz w:val="28"/>
          <w:szCs w:val="28"/>
          <w:lang w:val="ro-MD"/>
        </w:rPr>
        <w:t xml:space="preserve">obținute </w:t>
      </w:r>
      <w:r w:rsidRPr="002751FC">
        <w:rPr>
          <w:rFonts w:asciiTheme="majorHAnsi" w:hAnsiTheme="majorHAnsi" w:cstheme="majorHAnsi"/>
          <w:sz w:val="28"/>
          <w:szCs w:val="28"/>
          <w:lang w:val="ro-MD"/>
        </w:rPr>
        <w:t xml:space="preserve">din export. Valoarea totală a vinurilor exportate a avut o tendință de creștere </w:t>
      </w:r>
      <w:r w:rsidR="00BA16FD" w:rsidRPr="002751FC">
        <w:rPr>
          <w:rFonts w:asciiTheme="majorHAnsi" w:hAnsiTheme="majorHAnsi" w:cstheme="majorHAnsi"/>
          <w:sz w:val="28"/>
          <w:szCs w:val="28"/>
          <w:lang w:val="ro-MD"/>
        </w:rPr>
        <w:t xml:space="preserve">în ultimii ani, </w:t>
      </w:r>
      <w:r w:rsidRPr="002751FC">
        <w:rPr>
          <w:rFonts w:asciiTheme="majorHAnsi" w:hAnsiTheme="majorHAnsi" w:cstheme="majorHAnsi"/>
          <w:sz w:val="28"/>
          <w:szCs w:val="28"/>
          <w:lang w:val="ro-MD"/>
        </w:rPr>
        <w:t>de la 2</w:t>
      </w:r>
      <w:r w:rsidR="00BA16FD"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 xml:space="preserve">323,5 </w:t>
      </w:r>
      <w:proofErr w:type="spellStart"/>
      <w:r w:rsidRPr="002751FC">
        <w:rPr>
          <w:rFonts w:asciiTheme="majorHAnsi" w:hAnsiTheme="majorHAnsi" w:cstheme="majorHAnsi"/>
          <w:sz w:val="28"/>
          <w:szCs w:val="28"/>
          <w:lang w:val="ro-MD"/>
        </w:rPr>
        <w:t>mil.MDL</w:t>
      </w:r>
      <w:proofErr w:type="spellEnd"/>
      <w:r w:rsidR="008501EE"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în 2015 la 2</w:t>
      </w:r>
      <w:r w:rsidR="00BA16FD"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 xml:space="preserve">826,4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 xml:space="preserve"> în 2018. Ace</w:t>
      </w:r>
      <w:r w:rsidR="00BA16FD" w:rsidRPr="002751FC">
        <w:rPr>
          <w:rFonts w:asciiTheme="majorHAnsi" w:hAnsiTheme="majorHAnsi" w:cstheme="majorHAnsi"/>
          <w:sz w:val="28"/>
          <w:szCs w:val="28"/>
          <w:lang w:val="ro-MD"/>
        </w:rPr>
        <w:t>e</w:t>
      </w:r>
      <w:r w:rsidRPr="002751FC">
        <w:rPr>
          <w:rFonts w:asciiTheme="majorHAnsi" w:hAnsiTheme="majorHAnsi" w:cstheme="majorHAnsi"/>
          <w:sz w:val="28"/>
          <w:szCs w:val="28"/>
          <w:lang w:val="ro-MD"/>
        </w:rPr>
        <w:t xml:space="preserve">ași tendință a fost remarcată și </w:t>
      </w:r>
      <w:r w:rsidR="005A53E2" w:rsidRPr="002751FC">
        <w:rPr>
          <w:rFonts w:asciiTheme="majorHAnsi" w:hAnsiTheme="majorHAnsi" w:cstheme="majorHAnsi"/>
          <w:sz w:val="28"/>
          <w:szCs w:val="28"/>
          <w:lang w:val="ro-MD"/>
        </w:rPr>
        <w:t xml:space="preserve">în </w:t>
      </w:r>
      <w:r w:rsidR="00D319F1" w:rsidRPr="002751FC">
        <w:rPr>
          <w:rFonts w:asciiTheme="majorHAnsi" w:hAnsiTheme="majorHAnsi" w:cstheme="majorHAnsi"/>
          <w:sz w:val="28"/>
          <w:szCs w:val="28"/>
          <w:lang w:val="ro-MD"/>
        </w:rPr>
        <w:t>valori</w:t>
      </w:r>
      <w:r w:rsidRPr="002751FC">
        <w:rPr>
          <w:rFonts w:asciiTheme="majorHAnsi" w:hAnsiTheme="majorHAnsi" w:cstheme="majorHAnsi"/>
          <w:sz w:val="28"/>
          <w:szCs w:val="28"/>
          <w:lang w:val="ro-MD"/>
        </w:rPr>
        <w:t xml:space="preserve"> cantitativ</w:t>
      </w:r>
      <w:r w:rsidR="00D319F1" w:rsidRPr="002751FC">
        <w:rPr>
          <w:rFonts w:asciiTheme="majorHAnsi" w:hAnsiTheme="majorHAnsi" w:cstheme="majorHAnsi"/>
          <w:sz w:val="28"/>
          <w:szCs w:val="28"/>
          <w:lang w:val="ro-MD"/>
        </w:rPr>
        <w:t>e</w:t>
      </w:r>
      <w:r w:rsidRPr="002751FC">
        <w:rPr>
          <w:rFonts w:asciiTheme="majorHAnsi" w:hAnsiTheme="majorHAnsi" w:cstheme="majorHAnsi"/>
          <w:sz w:val="28"/>
          <w:szCs w:val="28"/>
          <w:lang w:val="ro-MD"/>
        </w:rPr>
        <w:t xml:space="preserve">, </w:t>
      </w:r>
      <w:r w:rsidR="005A53E2" w:rsidRPr="002751FC">
        <w:rPr>
          <w:rFonts w:asciiTheme="majorHAnsi" w:hAnsiTheme="majorHAnsi" w:cstheme="majorHAnsi"/>
          <w:sz w:val="28"/>
          <w:szCs w:val="28"/>
          <w:lang w:val="ro-MD"/>
        </w:rPr>
        <w:t xml:space="preserve">volumul producției </w:t>
      </w:r>
      <w:r w:rsidRPr="002751FC">
        <w:rPr>
          <w:rFonts w:asciiTheme="majorHAnsi" w:hAnsiTheme="majorHAnsi" w:cstheme="majorHAnsi"/>
          <w:sz w:val="28"/>
          <w:szCs w:val="28"/>
          <w:lang w:val="ro-MD"/>
        </w:rPr>
        <w:t xml:space="preserve">fiind de 118,2 </w:t>
      </w:r>
      <w:proofErr w:type="spellStart"/>
      <w:r w:rsidRPr="002751FC">
        <w:rPr>
          <w:rFonts w:asciiTheme="majorHAnsi" w:hAnsiTheme="majorHAnsi" w:cstheme="majorHAnsi"/>
          <w:sz w:val="28"/>
          <w:szCs w:val="28"/>
          <w:lang w:val="ro-MD"/>
        </w:rPr>
        <w:t>mil.litri</w:t>
      </w:r>
      <w:proofErr w:type="spellEnd"/>
      <w:r w:rsidRPr="002751FC">
        <w:rPr>
          <w:rFonts w:asciiTheme="majorHAnsi" w:hAnsiTheme="majorHAnsi" w:cstheme="majorHAnsi"/>
          <w:sz w:val="28"/>
          <w:szCs w:val="28"/>
          <w:lang w:val="ro-MD"/>
        </w:rPr>
        <w:t xml:space="preserve"> în 2015</w:t>
      </w:r>
      <w:r w:rsidR="008501EE" w:rsidRPr="002751FC">
        <w:rPr>
          <w:rFonts w:asciiTheme="majorHAnsi" w:hAnsiTheme="majorHAnsi" w:cstheme="majorHAnsi"/>
          <w:sz w:val="28"/>
          <w:szCs w:val="28"/>
          <w:lang w:val="ro-MD"/>
        </w:rPr>
        <w:t xml:space="preserve">, </w:t>
      </w:r>
      <w:r w:rsidR="00BA16FD" w:rsidRPr="002751FC">
        <w:rPr>
          <w:rFonts w:asciiTheme="majorHAnsi" w:hAnsiTheme="majorHAnsi" w:cstheme="majorHAnsi"/>
          <w:sz w:val="28"/>
          <w:szCs w:val="28"/>
          <w:lang w:val="ro-MD"/>
        </w:rPr>
        <w:t xml:space="preserve">iar în anul 2018 </w:t>
      </w:r>
      <w:r w:rsidR="00C7604D" w:rsidRPr="002751FC">
        <w:rPr>
          <w:rFonts w:asciiTheme="majorHAnsi" w:hAnsiTheme="majorHAnsi" w:cstheme="majorHAnsi"/>
          <w:sz w:val="28"/>
          <w:szCs w:val="28"/>
          <w:lang w:val="ro-MD"/>
        </w:rPr>
        <w:t>ajungând</w:t>
      </w:r>
      <w:r w:rsidR="008501EE" w:rsidRPr="002751FC">
        <w:rPr>
          <w:rFonts w:asciiTheme="majorHAnsi" w:hAnsiTheme="majorHAnsi" w:cstheme="majorHAnsi"/>
          <w:sz w:val="28"/>
          <w:szCs w:val="28"/>
          <w:lang w:val="ro-MD"/>
        </w:rPr>
        <w:t xml:space="preserve"> la </w:t>
      </w:r>
      <w:r w:rsidRPr="002751FC">
        <w:rPr>
          <w:rFonts w:asciiTheme="majorHAnsi" w:hAnsiTheme="majorHAnsi" w:cstheme="majorHAnsi"/>
          <w:sz w:val="28"/>
          <w:szCs w:val="28"/>
          <w:lang w:val="ro-MD"/>
        </w:rPr>
        <w:t xml:space="preserve">valoarea de 143,7 </w:t>
      </w:r>
      <w:proofErr w:type="spellStart"/>
      <w:r w:rsidRPr="002751FC">
        <w:rPr>
          <w:rFonts w:asciiTheme="majorHAnsi" w:hAnsiTheme="majorHAnsi" w:cstheme="majorHAnsi"/>
          <w:sz w:val="28"/>
          <w:szCs w:val="28"/>
          <w:lang w:val="ro-MD"/>
        </w:rPr>
        <w:t>mil.litri</w:t>
      </w:r>
      <w:proofErr w:type="spellEnd"/>
      <w:r w:rsidRPr="002751FC">
        <w:rPr>
          <w:rFonts w:asciiTheme="majorHAnsi" w:hAnsiTheme="majorHAnsi" w:cstheme="majorHAnsi"/>
          <w:sz w:val="28"/>
          <w:szCs w:val="28"/>
          <w:lang w:val="ro-MD"/>
        </w:rPr>
        <w:t>.</w:t>
      </w:r>
    </w:p>
    <w:p w:rsidR="00974C87" w:rsidRPr="002751FC" w:rsidRDefault="00974C87" w:rsidP="00952CA5">
      <w:pPr>
        <w:spacing w:before="120" w:after="0"/>
        <w:ind w:firstLine="36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Până în anul 2006 Federația Rusă a fost principala piață de export a vinurilor moldovenești. </w:t>
      </w:r>
      <w:r w:rsidR="00301025" w:rsidRPr="002751FC">
        <w:rPr>
          <w:rFonts w:asciiTheme="majorHAnsi" w:hAnsiTheme="majorHAnsi" w:cstheme="majorHAnsi"/>
          <w:sz w:val="28"/>
          <w:szCs w:val="28"/>
          <w:lang w:val="ro-MD"/>
        </w:rPr>
        <w:t>În prezent, producătorii vitivinicoli acordă o a</w:t>
      </w:r>
      <w:r w:rsidRPr="002751FC">
        <w:rPr>
          <w:rFonts w:asciiTheme="majorHAnsi" w:hAnsiTheme="majorHAnsi" w:cstheme="majorHAnsi"/>
          <w:sz w:val="28"/>
          <w:szCs w:val="28"/>
          <w:lang w:val="ro-MD"/>
        </w:rPr>
        <w:t>tenți</w:t>
      </w:r>
      <w:r w:rsidR="00301025" w:rsidRPr="002751FC">
        <w:rPr>
          <w:rFonts w:asciiTheme="majorHAnsi" w:hAnsiTheme="majorHAnsi" w:cstheme="majorHAnsi"/>
          <w:sz w:val="28"/>
          <w:szCs w:val="28"/>
          <w:lang w:val="ro-MD"/>
        </w:rPr>
        <w:t>e</w:t>
      </w:r>
      <w:r w:rsidR="0058221E" w:rsidRPr="002751FC">
        <w:rPr>
          <w:rFonts w:asciiTheme="majorHAnsi" w:hAnsiTheme="majorHAnsi" w:cstheme="majorHAnsi"/>
          <w:sz w:val="28"/>
          <w:szCs w:val="28"/>
          <w:lang w:val="ro-MD"/>
        </w:rPr>
        <w:t xml:space="preserve"> sporită </w:t>
      </w:r>
      <w:r w:rsidRPr="002751FC">
        <w:rPr>
          <w:rFonts w:asciiTheme="majorHAnsi" w:hAnsiTheme="majorHAnsi" w:cstheme="majorHAnsi"/>
          <w:sz w:val="28"/>
          <w:szCs w:val="28"/>
          <w:lang w:val="ro-MD"/>
        </w:rPr>
        <w:t>calit</w:t>
      </w:r>
      <w:r w:rsidR="00301025" w:rsidRPr="002751FC">
        <w:rPr>
          <w:rFonts w:asciiTheme="majorHAnsi" w:hAnsiTheme="majorHAnsi" w:cstheme="majorHAnsi"/>
          <w:sz w:val="28"/>
          <w:szCs w:val="28"/>
          <w:lang w:val="ro-MD"/>
        </w:rPr>
        <w:t>ății</w:t>
      </w:r>
      <w:r w:rsidRPr="002751FC">
        <w:rPr>
          <w:rFonts w:asciiTheme="majorHAnsi" w:hAnsiTheme="majorHAnsi" w:cstheme="majorHAnsi"/>
          <w:sz w:val="28"/>
          <w:szCs w:val="28"/>
          <w:lang w:val="ro-MD"/>
        </w:rPr>
        <w:t xml:space="preserve"> vinu</w:t>
      </w:r>
      <w:r w:rsidR="00301025" w:rsidRPr="002751FC">
        <w:rPr>
          <w:rFonts w:asciiTheme="majorHAnsi" w:hAnsiTheme="majorHAnsi" w:cstheme="majorHAnsi"/>
          <w:sz w:val="28"/>
          <w:szCs w:val="28"/>
          <w:lang w:val="ro-MD"/>
        </w:rPr>
        <w:t>rilor</w:t>
      </w:r>
      <w:r w:rsidRPr="002751FC">
        <w:rPr>
          <w:rFonts w:asciiTheme="majorHAnsi" w:hAnsiTheme="majorHAnsi" w:cstheme="majorHAnsi"/>
          <w:sz w:val="28"/>
          <w:szCs w:val="28"/>
          <w:lang w:val="ro-MD"/>
        </w:rPr>
        <w:t xml:space="preserve"> și diversific</w:t>
      </w:r>
      <w:r w:rsidR="00301025" w:rsidRPr="002751FC">
        <w:rPr>
          <w:rFonts w:asciiTheme="majorHAnsi" w:hAnsiTheme="majorHAnsi" w:cstheme="majorHAnsi"/>
          <w:sz w:val="28"/>
          <w:szCs w:val="28"/>
          <w:lang w:val="ro-MD"/>
        </w:rPr>
        <w:t>ării</w:t>
      </w:r>
      <w:r w:rsidRPr="002751FC">
        <w:rPr>
          <w:rFonts w:asciiTheme="majorHAnsi" w:hAnsiTheme="majorHAnsi" w:cstheme="majorHAnsi"/>
          <w:sz w:val="28"/>
          <w:szCs w:val="28"/>
          <w:lang w:val="ro-MD"/>
        </w:rPr>
        <w:t xml:space="preserve"> piețelor</w:t>
      </w:r>
      <w:r w:rsidR="00301025" w:rsidRPr="002751FC">
        <w:rPr>
          <w:rFonts w:asciiTheme="majorHAnsi" w:hAnsiTheme="majorHAnsi" w:cstheme="majorHAnsi"/>
          <w:sz w:val="28"/>
          <w:szCs w:val="28"/>
          <w:lang w:val="ro-MD"/>
        </w:rPr>
        <w:t xml:space="preserve"> de desfacere</w:t>
      </w:r>
      <w:r w:rsidRPr="002751FC">
        <w:rPr>
          <w:rFonts w:asciiTheme="majorHAnsi" w:hAnsiTheme="majorHAnsi" w:cstheme="majorHAnsi"/>
          <w:sz w:val="28"/>
          <w:szCs w:val="28"/>
          <w:lang w:val="ro-MD"/>
        </w:rPr>
        <w:t xml:space="preserve">, cantități semnificative </w:t>
      </w:r>
      <w:r w:rsidR="00301025" w:rsidRPr="002751FC">
        <w:rPr>
          <w:rFonts w:asciiTheme="majorHAnsi" w:hAnsiTheme="majorHAnsi" w:cstheme="majorHAnsi"/>
          <w:sz w:val="28"/>
          <w:szCs w:val="28"/>
          <w:lang w:val="ro-MD"/>
        </w:rPr>
        <w:t>de produse vitivinicole fiind</w:t>
      </w:r>
      <w:r w:rsidRPr="002751FC">
        <w:rPr>
          <w:rFonts w:asciiTheme="majorHAnsi" w:hAnsiTheme="majorHAnsi" w:cstheme="majorHAnsi"/>
          <w:sz w:val="28"/>
          <w:szCs w:val="28"/>
          <w:lang w:val="ro-MD"/>
        </w:rPr>
        <w:t xml:space="preserve"> export</w:t>
      </w:r>
      <w:r w:rsidR="00301025" w:rsidRPr="002751FC">
        <w:rPr>
          <w:rFonts w:asciiTheme="majorHAnsi" w:hAnsiTheme="majorHAnsi" w:cstheme="majorHAnsi"/>
          <w:sz w:val="28"/>
          <w:szCs w:val="28"/>
          <w:lang w:val="ro-MD"/>
        </w:rPr>
        <w:t>ate</w:t>
      </w:r>
      <w:r w:rsidRPr="002751FC">
        <w:rPr>
          <w:rFonts w:asciiTheme="majorHAnsi" w:hAnsiTheme="majorHAnsi" w:cstheme="majorHAnsi"/>
          <w:sz w:val="28"/>
          <w:szCs w:val="28"/>
          <w:lang w:val="ro-MD"/>
        </w:rPr>
        <w:t xml:space="preserve"> și </w:t>
      </w:r>
      <w:r w:rsidR="00301025" w:rsidRPr="002751FC">
        <w:rPr>
          <w:rFonts w:asciiTheme="majorHAnsi" w:hAnsiTheme="majorHAnsi" w:cstheme="majorHAnsi"/>
          <w:sz w:val="28"/>
          <w:szCs w:val="28"/>
          <w:lang w:val="ro-MD"/>
        </w:rPr>
        <w:t xml:space="preserve">în </w:t>
      </w:r>
      <w:r w:rsidRPr="002751FC">
        <w:rPr>
          <w:rFonts w:asciiTheme="majorHAnsi" w:hAnsiTheme="majorHAnsi" w:cstheme="majorHAnsi"/>
          <w:sz w:val="28"/>
          <w:szCs w:val="28"/>
          <w:lang w:val="ro-MD"/>
        </w:rPr>
        <w:t xml:space="preserve">alte </w:t>
      </w:r>
      <w:r w:rsidR="00301025" w:rsidRPr="002751FC">
        <w:rPr>
          <w:rFonts w:asciiTheme="majorHAnsi" w:hAnsiTheme="majorHAnsi" w:cstheme="majorHAnsi"/>
          <w:sz w:val="28"/>
          <w:szCs w:val="28"/>
          <w:lang w:val="ro-MD"/>
        </w:rPr>
        <w:t>țări de pe diverse continente</w:t>
      </w:r>
      <w:r w:rsidRPr="002751FC">
        <w:rPr>
          <w:rFonts w:asciiTheme="majorHAnsi" w:hAnsiTheme="majorHAnsi" w:cstheme="majorHAnsi"/>
          <w:sz w:val="28"/>
          <w:szCs w:val="28"/>
          <w:lang w:val="ro-MD"/>
        </w:rPr>
        <w:t>.</w:t>
      </w:r>
    </w:p>
    <w:p w:rsidR="00974C87" w:rsidRPr="002751FC" w:rsidRDefault="00974C87" w:rsidP="00952CA5">
      <w:pPr>
        <w:spacing w:before="120" w:after="0"/>
        <w:ind w:firstLine="36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În scopul sporirii competitivității vinurilor moldovenești pe piețe</w:t>
      </w:r>
      <w:r w:rsidR="00055BB4" w:rsidRPr="002751FC">
        <w:rPr>
          <w:rFonts w:asciiTheme="majorHAnsi" w:hAnsiTheme="majorHAnsi" w:cstheme="majorHAnsi"/>
          <w:sz w:val="28"/>
          <w:szCs w:val="28"/>
          <w:lang w:val="ro-MD"/>
        </w:rPr>
        <w:t xml:space="preserve">le interne și externe, statul </w:t>
      </w:r>
      <w:r w:rsidRPr="002751FC">
        <w:rPr>
          <w:rFonts w:asciiTheme="majorHAnsi" w:hAnsiTheme="majorHAnsi" w:cstheme="majorHAnsi"/>
          <w:sz w:val="28"/>
          <w:szCs w:val="28"/>
          <w:lang w:val="ro-MD"/>
        </w:rPr>
        <w:t>a trasat ca obiectiv modernizarea sectorului vitivinicol</w:t>
      </w:r>
      <w:r w:rsidR="00055BB4" w:rsidRPr="002751FC">
        <w:rPr>
          <w:rFonts w:asciiTheme="majorHAnsi" w:hAnsiTheme="majorHAnsi" w:cstheme="majorHAnsi"/>
          <w:sz w:val="28"/>
          <w:szCs w:val="28"/>
          <w:lang w:val="ro-MD"/>
        </w:rPr>
        <w:t xml:space="preserve">, precum și crearea unui mediu </w:t>
      </w:r>
      <w:r w:rsidR="00FC603B" w:rsidRPr="002751FC">
        <w:rPr>
          <w:rFonts w:asciiTheme="majorHAnsi" w:hAnsiTheme="majorHAnsi" w:cstheme="majorHAnsi"/>
          <w:sz w:val="28"/>
          <w:szCs w:val="28"/>
          <w:lang w:val="ro-MD"/>
        </w:rPr>
        <w:t>prielnic</w:t>
      </w:r>
      <w:r w:rsidR="00865418" w:rsidRPr="002751FC">
        <w:rPr>
          <w:rFonts w:asciiTheme="majorHAnsi" w:hAnsiTheme="majorHAnsi" w:cstheme="majorHAnsi"/>
          <w:sz w:val="28"/>
          <w:szCs w:val="28"/>
          <w:lang w:val="ro-MD"/>
        </w:rPr>
        <w:t xml:space="preserve"> </w:t>
      </w:r>
      <w:r w:rsidR="00D319F1" w:rsidRPr="002751FC">
        <w:rPr>
          <w:rFonts w:asciiTheme="majorHAnsi" w:hAnsiTheme="majorHAnsi" w:cstheme="majorHAnsi"/>
          <w:sz w:val="28"/>
          <w:szCs w:val="28"/>
          <w:lang w:val="ro-MD"/>
        </w:rPr>
        <w:t xml:space="preserve">pentru </w:t>
      </w:r>
      <w:r w:rsidRPr="002751FC">
        <w:rPr>
          <w:rFonts w:asciiTheme="majorHAnsi" w:hAnsiTheme="majorHAnsi" w:cstheme="majorHAnsi"/>
          <w:sz w:val="28"/>
          <w:szCs w:val="28"/>
          <w:lang w:val="ro-MD"/>
        </w:rPr>
        <w:t>producer</w:t>
      </w:r>
      <w:r w:rsidR="00D319F1" w:rsidRPr="002751FC">
        <w:rPr>
          <w:rFonts w:asciiTheme="majorHAnsi" w:hAnsiTheme="majorHAnsi" w:cstheme="majorHAnsi"/>
          <w:sz w:val="28"/>
          <w:szCs w:val="28"/>
          <w:lang w:val="ro-MD"/>
        </w:rPr>
        <w:t>ea</w:t>
      </w:r>
      <w:r w:rsidRPr="002751FC">
        <w:rPr>
          <w:rFonts w:asciiTheme="majorHAnsi" w:hAnsiTheme="majorHAnsi" w:cstheme="majorHAnsi"/>
          <w:sz w:val="28"/>
          <w:szCs w:val="28"/>
          <w:lang w:val="ro-MD"/>
        </w:rPr>
        <w:t xml:space="preserve"> vinurilor de calitate, în special cu indicație geografică protejată (IGP) și denumire de origine protejată (DOP).</w:t>
      </w:r>
    </w:p>
    <w:p w:rsidR="00974C87" w:rsidRPr="002751FC" w:rsidRDefault="00974C87" w:rsidP="00952CA5">
      <w:pPr>
        <w:spacing w:before="120" w:after="0"/>
        <w:ind w:firstLine="36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Republica Moldova </w:t>
      </w:r>
      <w:r w:rsidR="00253568" w:rsidRPr="002751FC">
        <w:rPr>
          <w:rFonts w:asciiTheme="majorHAnsi" w:hAnsiTheme="majorHAnsi" w:cstheme="majorHAnsi"/>
          <w:sz w:val="28"/>
          <w:szCs w:val="28"/>
          <w:lang w:val="ro-MD"/>
        </w:rPr>
        <w:t>are</w:t>
      </w:r>
      <w:r w:rsidRPr="002751FC">
        <w:rPr>
          <w:rFonts w:asciiTheme="majorHAnsi" w:hAnsiTheme="majorHAnsi" w:cstheme="majorHAnsi"/>
          <w:sz w:val="28"/>
          <w:szCs w:val="28"/>
          <w:lang w:val="ro-MD"/>
        </w:rPr>
        <w:t xml:space="preserve"> </w:t>
      </w:r>
      <w:r w:rsidR="005A53E2" w:rsidRPr="002751FC">
        <w:rPr>
          <w:rFonts w:asciiTheme="majorHAnsi" w:hAnsiTheme="majorHAnsi" w:cstheme="majorHAnsi"/>
          <w:sz w:val="28"/>
          <w:szCs w:val="28"/>
          <w:lang w:val="ro-MD"/>
        </w:rPr>
        <w:t xml:space="preserve">o suprafață de </w:t>
      </w:r>
      <w:r w:rsidRPr="002751FC">
        <w:rPr>
          <w:rFonts w:asciiTheme="majorHAnsi" w:hAnsiTheme="majorHAnsi" w:cstheme="majorHAnsi"/>
          <w:sz w:val="28"/>
          <w:szCs w:val="28"/>
          <w:lang w:val="ro-MD"/>
        </w:rPr>
        <w:t>112 mii ha de viță</w:t>
      </w:r>
      <w:r w:rsidR="00253568"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de</w:t>
      </w:r>
      <w:r w:rsidR="00253568"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vie, </w:t>
      </w:r>
      <w:r w:rsidR="005A53E2" w:rsidRPr="002751FC">
        <w:rPr>
          <w:rFonts w:asciiTheme="majorHAnsi" w:hAnsiTheme="majorHAnsi" w:cstheme="majorHAnsi"/>
          <w:sz w:val="28"/>
          <w:szCs w:val="28"/>
          <w:lang w:val="ro-MD"/>
        </w:rPr>
        <w:t xml:space="preserve">pe care sunt </w:t>
      </w:r>
      <w:r w:rsidRPr="002751FC">
        <w:rPr>
          <w:rFonts w:asciiTheme="majorHAnsi" w:hAnsiTheme="majorHAnsi" w:cstheme="majorHAnsi"/>
          <w:sz w:val="28"/>
          <w:szCs w:val="28"/>
          <w:lang w:val="ro-MD"/>
        </w:rPr>
        <w:t xml:space="preserve">plantate peste 50 de soiuri </w:t>
      </w:r>
      <w:r w:rsidR="00106302" w:rsidRPr="002751FC">
        <w:rPr>
          <w:rFonts w:asciiTheme="majorHAnsi" w:hAnsiTheme="majorHAnsi" w:cstheme="majorHAnsi"/>
          <w:sz w:val="28"/>
          <w:szCs w:val="28"/>
          <w:lang w:val="ro-MD"/>
        </w:rPr>
        <w:t xml:space="preserve">de struguri </w:t>
      </w:r>
      <w:r w:rsidR="005A53E2" w:rsidRPr="002751FC">
        <w:rPr>
          <w:rFonts w:asciiTheme="majorHAnsi" w:hAnsiTheme="majorHAnsi" w:cstheme="majorHAnsi"/>
          <w:sz w:val="28"/>
          <w:szCs w:val="28"/>
          <w:lang w:val="ro-MD"/>
        </w:rPr>
        <w:t>pentru vin</w:t>
      </w:r>
      <w:r w:rsidRPr="002751FC">
        <w:rPr>
          <w:rFonts w:asciiTheme="majorHAnsi" w:hAnsiTheme="majorHAnsi" w:cstheme="majorHAnsi"/>
          <w:sz w:val="28"/>
          <w:szCs w:val="28"/>
          <w:lang w:val="ro-MD"/>
        </w:rPr>
        <w:t>. Arealul viticol este repartizat în 4 regiuni vitivinicole istorice: Valul lui Traian (sud-vest)</w:t>
      </w:r>
      <w:r w:rsidRPr="002751FC">
        <w:rPr>
          <w:rStyle w:val="ab"/>
          <w:rFonts w:asciiTheme="majorHAnsi" w:hAnsiTheme="majorHAnsi" w:cstheme="majorHAnsi"/>
          <w:sz w:val="28"/>
          <w:szCs w:val="28"/>
          <w:lang w:val="ro-MD"/>
        </w:rPr>
        <w:footnoteReference w:id="1"/>
      </w:r>
      <w:r w:rsidRPr="002751FC">
        <w:rPr>
          <w:rFonts w:asciiTheme="majorHAnsi" w:hAnsiTheme="majorHAnsi" w:cstheme="majorHAnsi"/>
          <w:sz w:val="28"/>
          <w:szCs w:val="28"/>
          <w:lang w:val="ro-MD"/>
        </w:rPr>
        <w:t>, Ștefan Vodă (sud-est)</w:t>
      </w:r>
      <w:r w:rsidRPr="002751FC">
        <w:rPr>
          <w:rStyle w:val="ab"/>
          <w:rFonts w:asciiTheme="majorHAnsi" w:hAnsiTheme="majorHAnsi" w:cstheme="majorHAnsi"/>
          <w:sz w:val="28"/>
          <w:szCs w:val="28"/>
          <w:lang w:val="ro-MD"/>
        </w:rPr>
        <w:footnoteReference w:id="2"/>
      </w:r>
      <w:r w:rsidRPr="002751FC">
        <w:rPr>
          <w:rFonts w:asciiTheme="majorHAnsi" w:hAnsiTheme="majorHAnsi" w:cstheme="majorHAnsi"/>
          <w:sz w:val="28"/>
          <w:szCs w:val="28"/>
          <w:lang w:val="ro-MD"/>
        </w:rPr>
        <w:t>, Codru (centru)</w:t>
      </w:r>
      <w:r w:rsidRPr="002751FC">
        <w:rPr>
          <w:rStyle w:val="ab"/>
          <w:rFonts w:asciiTheme="majorHAnsi" w:hAnsiTheme="majorHAnsi" w:cstheme="majorHAnsi"/>
          <w:sz w:val="28"/>
          <w:szCs w:val="28"/>
          <w:lang w:val="ro-MD"/>
        </w:rPr>
        <w:footnoteReference w:id="3"/>
      </w:r>
      <w:r w:rsidRPr="002751FC">
        <w:rPr>
          <w:rFonts w:asciiTheme="majorHAnsi" w:hAnsiTheme="majorHAnsi" w:cstheme="majorHAnsi"/>
          <w:sz w:val="28"/>
          <w:szCs w:val="28"/>
          <w:lang w:val="ro-MD"/>
        </w:rPr>
        <w:t xml:space="preserve"> și DIVIN</w:t>
      </w:r>
      <w:r w:rsidRPr="002751FC">
        <w:rPr>
          <w:rStyle w:val="ab"/>
          <w:rFonts w:asciiTheme="majorHAnsi" w:hAnsiTheme="majorHAnsi" w:cstheme="majorHAnsi"/>
          <w:sz w:val="28"/>
          <w:szCs w:val="28"/>
          <w:lang w:val="ro-MD"/>
        </w:rPr>
        <w:footnoteReference w:id="4"/>
      </w:r>
      <w:r w:rsidRPr="002751FC">
        <w:rPr>
          <w:rFonts w:asciiTheme="majorHAnsi" w:hAnsiTheme="majorHAnsi" w:cstheme="majorHAnsi"/>
          <w:sz w:val="28"/>
          <w:szCs w:val="28"/>
          <w:lang w:val="ro-MD"/>
        </w:rPr>
        <w:t>, destinate producerii vinurilor cu i</w:t>
      </w:r>
      <w:r w:rsidR="0058221E" w:rsidRPr="002751FC">
        <w:rPr>
          <w:rFonts w:asciiTheme="majorHAnsi" w:hAnsiTheme="majorHAnsi" w:cstheme="majorHAnsi"/>
          <w:sz w:val="28"/>
          <w:szCs w:val="28"/>
          <w:lang w:val="ro-MD"/>
        </w:rPr>
        <w:t>ndicație geografică protejată.</w:t>
      </w:r>
    </w:p>
    <w:p w:rsidR="00974C87" w:rsidRPr="002751FC" w:rsidRDefault="00974C87" w:rsidP="00952CA5">
      <w:pPr>
        <w:spacing w:before="120" w:after="0"/>
        <w:ind w:firstLine="36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În scop</w:t>
      </w:r>
      <w:r w:rsidR="00253568" w:rsidRPr="002751FC">
        <w:rPr>
          <w:rFonts w:asciiTheme="majorHAnsi" w:hAnsiTheme="majorHAnsi" w:cstheme="majorHAnsi"/>
          <w:sz w:val="28"/>
          <w:szCs w:val="28"/>
          <w:lang w:val="ro-MD"/>
        </w:rPr>
        <w:t>ul</w:t>
      </w:r>
      <w:r w:rsidRPr="002751FC">
        <w:rPr>
          <w:rFonts w:asciiTheme="majorHAnsi" w:hAnsiTheme="majorHAnsi" w:cstheme="majorHAnsi"/>
          <w:sz w:val="28"/>
          <w:szCs w:val="28"/>
          <w:lang w:val="ro-MD"/>
        </w:rPr>
        <w:t xml:space="preserve"> </w:t>
      </w:r>
      <w:r w:rsidR="002650C0" w:rsidRPr="002751FC">
        <w:rPr>
          <w:rFonts w:asciiTheme="majorHAnsi" w:hAnsiTheme="majorHAnsi" w:cstheme="majorHAnsi"/>
          <w:sz w:val="28"/>
          <w:szCs w:val="28"/>
          <w:lang w:val="ro-MD"/>
        </w:rPr>
        <w:t>susținer</w:t>
      </w:r>
      <w:r w:rsidR="00253568" w:rsidRPr="002751FC">
        <w:rPr>
          <w:rFonts w:asciiTheme="majorHAnsi" w:hAnsiTheme="majorHAnsi" w:cstheme="majorHAnsi"/>
          <w:sz w:val="28"/>
          <w:szCs w:val="28"/>
          <w:lang w:val="ro-MD"/>
        </w:rPr>
        <w:t>ii</w:t>
      </w:r>
      <w:r w:rsidRPr="002751FC">
        <w:rPr>
          <w:rFonts w:asciiTheme="majorHAnsi" w:hAnsiTheme="majorHAnsi" w:cstheme="majorHAnsi"/>
          <w:sz w:val="28"/>
          <w:szCs w:val="28"/>
          <w:lang w:val="ro-MD"/>
        </w:rPr>
        <w:t xml:space="preserve"> financiar</w:t>
      </w:r>
      <w:r w:rsidR="00253568" w:rsidRPr="002751FC">
        <w:rPr>
          <w:rFonts w:asciiTheme="majorHAnsi" w:hAnsiTheme="majorHAnsi" w:cstheme="majorHAnsi"/>
          <w:sz w:val="28"/>
          <w:szCs w:val="28"/>
          <w:lang w:val="ro-MD"/>
        </w:rPr>
        <w:t>e</w:t>
      </w:r>
      <w:r w:rsidRPr="002751FC">
        <w:rPr>
          <w:rFonts w:asciiTheme="majorHAnsi" w:hAnsiTheme="majorHAnsi" w:cstheme="majorHAnsi"/>
          <w:sz w:val="28"/>
          <w:szCs w:val="28"/>
          <w:lang w:val="ro-MD"/>
        </w:rPr>
        <w:t xml:space="preserve"> a măsurilor de dezvoltare a sectorului vitivinicol, în anul 2013 a fost </w:t>
      </w:r>
      <w:r w:rsidR="002650C0" w:rsidRPr="002751FC">
        <w:rPr>
          <w:rFonts w:asciiTheme="majorHAnsi" w:hAnsiTheme="majorHAnsi" w:cstheme="majorHAnsi"/>
          <w:sz w:val="28"/>
          <w:szCs w:val="28"/>
          <w:lang w:val="ro-MD"/>
        </w:rPr>
        <w:t>creat</w:t>
      </w:r>
      <w:r w:rsidRPr="002751FC">
        <w:rPr>
          <w:rFonts w:asciiTheme="majorHAnsi" w:hAnsiTheme="majorHAnsi" w:cstheme="majorHAnsi"/>
          <w:sz w:val="28"/>
          <w:szCs w:val="28"/>
          <w:lang w:val="ro-MD"/>
        </w:rPr>
        <w:t xml:space="preserve"> Oficiul Național al </w:t>
      </w:r>
      <w:r w:rsidR="002650C0" w:rsidRPr="002751FC">
        <w:rPr>
          <w:rFonts w:asciiTheme="majorHAnsi" w:hAnsiTheme="majorHAnsi" w:cstheme="majorHAnsi"/>
          <w:sz w:val="28"/>
          <w:szCs w:val="28"/>
          <w:lang w:val="ro-MD"/>
        </w:rPr>
        <w:t>V</w:t>
      </w:r>
      <w:r w:rsidRPr="002751FC">
        <w:rPr>
          <w:rFonts w:asciiTheme="majorHAnsi" w:hAnsiTheme="majorHAnsi" w:cstheme="majorHAnsi"/>
          <w:sz w:val="28"/>
          <w:szCs w:val="28"/>
          <w:lang w:val="ro-MD"/>
        </w:rPr>
        <w:t xml:space="preserve">iei și </w:t>
      </w:r>
      <w:r w:rsidR="002650C0" w:rsidRPr="002751FC">
        <w:rPr>
          <w:rFonts w:asciiTheme="majorHAnsi" w:hAnsiTheme="majorHAnsi" w:cstheme="majorHAnsi"/>
          <w:sz w:val="28"/>
          <w:szCs w:val="28"/>
          <w:lang w:val="ro-MD"/>
        </w:rPr>
        <w:t>Vinului</w:t>
      </w:r>
      <w:r w:rsidR="00253568"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în</w:t>
      </w:r>
      <w:r w:rsidR="00253568" w:rsidRPr="002751FC">
        <w:rPr>
          <w:rFonts w:asciiTheme="majorHAnsi" w:hAnsiTheme="majorHAnsi" w:cstheme="majorHAnsi"/>
          <w:sz w:val="28"/>
          <w:szCs w:val="28"/>
          <w:lang w:val="ro-MD"/>
        </w:rPr>
        <w:t xml:space="preserve"> a cărui</w:t>
      </w:r>
      <w:r w:rsidRPr="002751FC">
        <w:rPr>
          <w:rFonts w:asciiTheme="majorHAnsi" w:hAnsiTheme="majorHAnsi" w:cstheme="majorHAnsi"/>
          <w:sz w:val="28"/>
          <w:szCs w:val="28"/>
          <w:lang w:val="ro-MD"/>
        </w:rPr>
        <w:t xml:space="preserve"> sarcin</w:t>
      </w:r>
      <w:r w:rsidR="00253568" w:rsidRPr="002751FC">
        <w:rPr>
          <w:rFonts w:asciiTheme="majorHAnsi" w:hAnsiTheme="majorHAnsi" w:cstheme="majorHAnsi"/>
          <w:sz w:val="28"/>
          <w:szCs w:val="28"/>
          <w:lang w:val="ro-MD"/>
        </w:rPr>
        <w:t>ă</w:t>
      </w:r>
      <w:r w:rsidRPr="002751FC">
        <w:rPr>
          <w:rFonts w:asciiTheme="majorHAnsi" w:hAnsiTheme="majorHAnsi" w:cstheme="majorHAnsi"/>
          <w:sz w:val="28"/>
          <w:szCs w:val="28"/>
          <w:lang w:val="ro-MD"/>
        </w:rPr>
        <w:t xml:space="preserve"> a fost pusă gestion</w:t>
      </w:r>
      <w:r w:rsidR="0058221E" w:rsidRPr="002751FC">
        <w:rPr>
          <w:rFonts w:asciiTheme="majorHAnsi" w:hAnsiTheme="majorHAnsi" w:cstheme="majorHAnsi"/>
          <w:sz w:val="28"/>
          <w:szCs w:val="28"/>
          <w:lang w:val="ro-MD"/>
        </w:rPr>
        <w:t>area Fondului Viei și Vinului.</w:t>
      </w:r>
    </w:p>
    <w:p w:rsidR="00974C87" w:rsidRPr="002751FC" w:rsidRDefault="00974C87" w:rsidP="00952CA5">
      <w:pPr>
        <w:spacing w:before="120" w:after="0"/>
        <w:ind w:firstLine="36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Auditul a fost inițiat pentru oferirea asigurării rezonabile referitor la faptul </w:t>
      </w:r>
      <w:r w:rsidR="00253568" w:rsidRPr="002751FC">
        <w:rPr>
          <w:rFonts w:asciiTheme="majorHAnsi" w:hAnsiTheme="majorHAnsi" w:cstheme="majorHAnsi"/>
          <w:sz w:val="28"/>
          <w:szCs w:val="28"/>
          <w:lang w:val="ro-MD"/>
        </w:rPr>
        <w:t>da</w:t>
      </w:r>
      <w:r w:rsidRPr="002751FC">
        <w:rPr>
          <w:rFonts w:asciiTheme="majorHAnsi" w:hAnsiTheme="majorHAnsi" w:cstheme="majorHAnsi"/>
          <w:sz w:val="28"/>
          <w:szCs w:val="28"/>
          <w:lang w:val="ro-MD"/>
        </w:rPr>
        <w:t>că</w:t>
      </w:r>
      <w:r w:rsidR="00804522"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 xml:space="preserve">mijloacele FVV au fost utilizate </w:t>
      </w:r>
      <w:r w:rsidR="00804522" w:rsidRPr="002751FC">
        <w:rPr>
          <w:rFonts w:asciiTheme="majorHAnsi" w:hAnsiTheme="majorHAnsi" w:cstheme="majorHAnsi"/>
          <w:sz w:val="28"/>
          <w:szCs w:val="28"/>
          <w:lang w:val="ro-MD"/>
        </w:rPr>
        <w:t xml:space="preserve">conform </w:t>
      </w:r>
      <w:r w:rsidR="00D319F1" w:rsidRPr="002751FC">
        <w:rPr>
          <w:rFonts w:asciiTheme="majorHAnsi" w:hAnsiTheme="majorHAnsi" w:cstheme="majorHAnsi"/>
          <w:sz w:val="28"/>
          <w:szCs w:val="28"/>
          <w:lang w:val="ro-MD"/>
        </w:rPr>
        <w:t>cadrului regul</w:t>
      </w:r>
      <w:r w:rsidR="006B7A76" w:rsidRPr="002751FC">
        <w:rPr>
          <w:rFonts w:asciiTheme="majorHAnsi" w:hAnsiTheme="majorHAnsi" w:cstheme="majorHAnsi"/>
          <w:sz w:val="28"/>
          <w:szCs w:val="28"/>
          <w:lang w:val="ro-MD"/>
        </w:rPr>
        <w:t>a</w:t>
      </w:r>
      <w:r w:rsidR="00D319F1" w:rsidRPr="002751FC">
        <w:rPr>
          <w:rFonts w:asciiTheme="majorHAnsi" w:hAnsiTheme="majorHAnsi" w:cstheme="majorHAnsi"/>
          <w:sz w:val="28"/>
          <w:szCs w:val="28"/>
          <w:lang w:val="ro-MD"/>
        </w:rPr>
        <w:t>tor releva</w:t>
      </w:r>
      <w:r w:rsidR="0069706D">
        <w:rPr>
          <w:rFonts w:asciiTheme="majorHAnsi" w:hAnsiTheme="majorHAnsi" w:cstheme="majorHAnsi"/>
          <w:sz w:val="28"/>
          <w:szCs w:val="28"/>
          <w:lang w:val="ro-MD"/>
        </w:rPr>
        <w:t>n</w:t>
      </w:r>
      <w:r w:rsidR="00D319F1" w:rsidRPr="002751FC">
        <w:rPr>
          <w:rFonts w:asciiTheme="majorHAnsi" w:hAnsiTheme="majorHAnsi" w:cstheme="majorHAnsi"/>
          <w:sz w:val="28"/>
          <w:szCs w:val="28"/>
          <w:lang w:val="ro-MD"/>
        </w:rPr>
        <w:t>t.</w:t>
      </w:r>
      <w:r w:rsidR="00E033B9">
        <w:rPr>
          <w:rFonts w:ascii="Times New Roman" w:hAnsi="Times New Roman"/>
          <w:sz w:val="28"/>
          <w:szCs w:val="28"/>
          <w:lang w:val="ro-MD"/>
        </w:rPr>
        <w:t xml:space="preserve"> </w:t>
      </w:r>
      <w:r w:rsidRPr="002751FC">
        <w:rPr>
          <w:rFonts w:asciiTheme="majorHAnsi" w:hAnsiTheme="majorHAnsi" w:cstheme="majorHAnsi"/>
          <w:sz w:val="28"/>
          <w:szCs w:val="28"/>
          <w:lang w:val="ro-MD"/>
        </w:rPr>
        <w:t xml:space="preserve">Procedurile de audit realizate au identificat probleme și deficiențe în gestionarea mijloacelor FVV, care au </w:t>
      </w:r>
      <w:r w:rsidR="00D319F1" w:rsidRPr="002751FC">
        <w:rPr>
          <w:rFonts w:asciiTheme="majorHAnsi" w:hAnsiTheme="majorHAnsi" w:cstheme="majorHAnsi"/>
          <w:sz w:val="28"/>
          <w:szCs w:val="28"/>
          <w:lang w:val="ro-MD"/>
        </w:rPr>
        <w:t xml:space="preserve">afectat </w:t>
      </w:r>
      <w:r w:rsidR="009F6E7D" w:rsidRPr="002751FC">
        <w:rPr>
          <w:rFonts w:asciiTheme="majorHAnsi" w:hAnsiTheme="majorHAnsi" w:cstheme="majorHAnsi"/>
          <w:sz w:val="28"/>
          <w:szCs w:val="28"/>
          <w:lang w:val="ro-MD"/>
        </w:rPr>
        <w:t xml:space="preserve">gestionarea conformă a </w:t>
      </w:r>
      <w:r w:rsidRPr="002751FC">
        <w:rPr>
          <w:rFonts w:asciiTheme="majorHAnsi" w:hAnsiTheme="majorHAnsi" w:cstheme="majorHAnsi"/>
          <w:sz w:val="28"/>
          <w:szCs w:val="28"/>
          <w:lang w:val="ro-MD"/>
        </w:rPr>
        <w:t>mijloacelor alocate, precum și atingerea obiectivelor propuse în realizarea măsurilor finanțate din FVV. Astfel, s-au atestat următoarele deficiențe:</w:t>
      </w:r>
    </w:p>
    <w:p w:rsidR="00974C87" w:rsidRPr="002751FC" w:rsidRDefault="002650C0" w:rsidP="00974C87">
      <w:pPr>
        <w:pStyle w:val="ac"/>
        <w:numPr>
          <w:ilvl w:val="0"/>
          <w:numId w:val="40"/>
        </w:numPr>
        <w:ind w:left="0" w:firstLine="567"/>
        <w:rPr>
          <w:rFonts w:asciiTheme="majorHAnsi" w:hAnsiTheme="majorHAnsi" w:cstheme="majorHAnsi"/>
          <w:bCs/>
          <w:iCs/>
          <w:szCs w:val="28"/>
          <w:lang w:val="ro-MD"/>
        </w:rPr>
      </w:pPr>
      <w:r w:rsidRPr="002751FC">
        <w:rPr>
          <w:rFonts w:asciiTheme="majorHAnsi" w:hAnsiTheme="majorHAnsi" w:cstheme="majorHAnsi"/>
          <w:bCs/>
          <w:iCs/>
          <w:szCs w:val="28"/>
          <w:lang w:val="ro-MD"/>
        </w:rPr>
        <w:lastRenderedPageBreak/>
        <w:t xml:space="preserve">nu au fost </w:t>
      </w:r>
      <w:r w:rsidR="00974C87" w:rsidRPr="002751FC">
        <w:rPr>
          <w:rFonts w:asciiTheme="majorHAnsi" w:hAnsiTheme="majorHAnsi" w:cstheme="majorHAnsi"/>
          <w:bCs/>
          <w:iCs/>
          <w:szCs w:val="28"/>
          <w:lang w:val="ro-MD"/>
        </w:rPr>
        <w:t>respectate prevederile cadrului regulator în vigoare privi</w:t>
      </w:r>
      <w:r w:rsidRPr="002751FC">
        <w:rPr>
          <w:rFonts w:asciiTheme="majorHAnsi" w:hAnsiTheme="majorHAnsi" w:cstheme="majorHAnsi"/>
          <w:bCs/>
          <w:iCs/>
          <w:szCs w:val="28"/>
          <w:lang w:val="ro-MD"/>
        </w:rPr>
        <w:t>nd</w:t>
      </w:r>
      <w:r w:rsidR="00974C87" w:rsidRPr="002751FC">
        <w:rPr>
          <w:rFonts w:asciiTheme="majorHAnsi" w:hAnsiTheme="majorHAnsi" w:cstheme="majorHAnsi"/>
          <w:bCs/>
          <w:iCs/>
          <w:szCs w:val="28"/>
          <w:lang w:val="ro-MD"/>
        </w:rPr>
        <w:t xml:space="preserve"> aprobarea, alocarea şi utilizarea mijloacelor din FVV, ceea ce a </w:t>
      </w:r>
      <w:r w:rsidR="00150C38" w:rsidRPr="002751FC">
        <w:rPr>
          <w:rFonts w:asciiTheme="majorHAnsi" w:hAnsiTheme="majorHAnsi" w:cstheme="majorHAnsi"/>
          <w:bCs/>
          <w:iCs/>
          <w:szCs w:val="28"/>
          <w:lang w:val="ro-MD"/>
        </w:rPr>
        <w:t>generat</w:t>
      </w:r>
      <w:r w:rsidR="00974C87" w:rsidRPr="002751FC">
        <w:rPr>
          <w:rFonts w:asciiTheme="majorHAnsi" w:hAnsiTheme="majorHAnsi" w:cstheme="majorHAnsi"/>
          <w:bCs/>
          <w:iCs/>
          <w:szCs w:val="28"/>
          <w:lang w:val="ro-MD"/>
        </w:rPr>
        <w:t xml:space="preserve">: (i) efectuarea de către MF a cheltuielilor suplimentare pentru finanțarea FVV în mărime de </w:t>
      </w:r>
      <w:r w:rsidR="00974C87" w:rsidRPr="002751FC">
        <w:rPr>
          <w:rFonts w:asciiTheme="majorHAnsi" w:hAnsiTheme="majorHAnsi" w:cstheme="majorHAnsi"/>
          <w:b/>
          <w:bCs/>
          <w:iCs/>
          <w:szCs w:val="28"/>
          <w:lang w:val="ro-MD"/>
        </w:rPr>
        <w:t xml:space="preserve">28,0 </w:t>
      </w:r>
      <w:proofErr w:type="spellStart"/>
      <w:r w:rsidR="00974C87" w:rsidRPr="002751FC">
        <w:rPr>
          <w:rFonts w:asciiTheme="majorHAnsi" w:hAnsiTheme="majorHAnsi" w:cstheme="majorHAnsi"/>
          <w:b/>
          <w:bCs/>
          <w:iCs/>
          <w:szCs w:val="28"/>
          <w:lang w:val="ro-MD"/>
        </w:rPr>
        <w:t>mil.MDL</w:t>
      </w:r>
      <w:proofErr w:type="spellEnd"/>
      <w:r w:rsidR="00150C38" w:rsidRPr="002751FC">
        <w:rPr>
          <w:rFonts w:asciiTheme="majorHAnsi" w:hAnsiTheme="majorHAnsi" w:cstheme="majorHAnsi"/>
          <w:b/>
          <w:bCs/>
          <w:iCs/>
          <w:szCs w:val="28"/>
          <w:lang w:val="ro-MD"/>
        </w:rPr>
        <w:t xml:space="preserve"> </w:t>
      </w:r>
      <w:r w:rsidR="00326284" w:rsidRPr="002751FC">
        <w:rPr>
          <w:rFonts w:asciiTheme="majorHAnsi" w:hAnsiTheme="majorHAnsi" w:cstheme="majorHAnsi"/>
          <w:bCs/>
          <w:szCs w:val="28"/>
          <w:lang w:val="ro-MD"/>
        </w:rPr>
        <w:t>(</w:t>
      </w:r>
      <w:r w:rsidR="00326284" w:rsidRPr="002751FC">
        <w:rPr>
          <w:rFonts w:asciiTheme="majorHAnsi" w:hAnsiTheme="majorHAnsi" w:cstheme="majorHAnsi"/>
          <w:b/>
          <w:bCs/>
          <w:szCs w:val="28"/>
          <w:lang w:val="ro-MD"/>
        </w:rPr>
        <w:t>pct.4.1.1</w:t>
      </w:r>
      <w:r w:rsidR="00326284" w:rsidRPr="002751FC">
        <w:rPr>
          <w:rFonts w:asciiTheme="majorHAnsi" w:hAnsiTheme="majorHAnsi" w:cstheme="majorHAnsi"/>
          <w:bCs/>
          <w:szCs w:val="28"/>
          <w:lang w:val="ro-MD"/>
        </w:rPr>
        <w:t>)</w:t>
      </w:r>
      <w:r w:rsidR="00974C87" w:rsidRPr="002751FC">
        <w:rPr>
          <w:rFonts w:asciiTheme="majorHAnsi" w:hAnsiTheme="majorHAnsi" w:cstheme="majorHAnsi"/>
          <w:bCs/>
          <w:iCs/>
          <w:szCs w:val="28"/>
          <w:lang w:val="ro-MD"/>
        </w:rPr>
        <w:t xml:space="preserve"> </w:t>
      </w:r>
      <w:proofErr w:type="spellStart"/>
      <w:r w:rsidR="009D2269" w:rsidRPr="002751FC">
        <w:rPr>
          <w:rFonts w:asciiTheme="majorHAnsi" w:hAnsiTheme="majorHAnsi" w:cstheme="majorHAnsi"/>
          <w:bCs/>
          <w:iCs/>
          <w:szCs w:val="28"/>
          <w:lang w:val="ro-MD"/>
        </w:rPr>
        <w:t>şi</w:t>
      </w:r>
      <w:proofErr w:type="spellEnd"/>
      <w:r w:rsidR="00EB1C7B" w:rsidRPr="002751FC">
        <w:rPr>
          <w:rFonts w:asciiTheme="majorHAnsi" w:hAnsiTheme="majorHAnsi" w:cstheme="majorHAnsi"/>
          <w:bCs/>
          <w:iCs/>
          <w:szCs w:val="28"/>
          <w:lang w:val="ro-MD"/>
        </w:rPr>
        <w:t xml:space="preserve"> </w:t>
      </w:r>
      <w:r w:rsidR="00974C87" w:rsidRPr="002751FC">
        <w:rPr>
          <w:rFonts w:asciiTheme="majorHAnsi" w:hAnsiTheme="majorHAnsi" w:cstheme="majorHAnsi"/>
          <w:bCs/>
          <w:iCs/>
          <w:szCs w:val="28"/>
          <w:lang w:val="ro-MD"/>
        </w:rPr>
        <w:t>acumularea</w:t>
      </w:r>
      <w:r w:rsidR="009D2269" w:rsidRPr="002751FC">
        <w:rPr>
          <w:rFonts w:asciiTheme="majorHAnsi" w:hAnsiTheme="majorHAnsi" w:cstheme="majorHAnsi"/>
          <w:bCs/>
          <w:iCs/>
          <w:szCs w:val="28"/>
          <w:lang w:val="ro-MD"/>
        </w:rPr>
        <w:t xml:space="preserve"> în conturile ONVV,</w:t>
      </w:r>
      <w:r w:rsidR="00974C87" w:rsidRPr="002751FC">
        <w:rPr>
          <w:rFonts w:asciiTheme="majorHAnsi" w:hAnsiTheme="majorHAnsi" w:cstheme="majorHAnsi"/>
          <w:bCs/>
          <w:iCs/>
          <w:szCs w:val="28"/>
          <w:lang w:val="ro-MD"/>
        </w:rPr>
        <w:t xml:space="preserve"> pe parcursul mai multor ani</w:t>
      </w:r>
      <w:r w:rsidR="009D2269" w:rsidRPr="002751FC">
        <w:rPr>
          <w:rFonts w:asciiTheme="majorHAnsi" w:hAnsiTheme="majorHAnsi" w:cstheme="majorHAnsi"/>
          <w:bCs/>
          <w:iCs/>
          <w:szCs w:val="28"/>
          <w:lang w:val="ro-MD"/>
        </w:rPr>
        <w:t>,</w:t>
      </w:r>
      <w:r w:rsidR="00974C87" w:rsidRPr="002751FC">
        <w:rPr>
          <w:rFonts w:asciiTheme="majorHAnsi" w:hAnsiTheme="majorHAnsi" w:cstheme="majorHAnsi"/>
          <w:bCs/>
          <w:iCs/>
          <w:szCs w:val="28"/>
          <w:lang w:val="ro-MD"/>
        </w:rPr>
        <w:t xml:space="preserve"> a </w:t>
      </w:r>
      <w:r w:rsidR="00EB1C7B" w:rsidRPr="002751FC">
        <w:rPr>
          <w:rFonts w:asciiTheme="majorHAnsi" w:hAnsiTheme="majorHAnsi" w:cstheme="majorHAnsi"/>
          <w:bCs/>
          <w:iCs/>
          <w:szCs w:val="28"/>
          <w:lang w:val="ro-MD"/>
        </w:rPr>
        <w:t>mijloacelor</w:t>
      </w:r>
      <w:r w:rsidR="00974C87" w:rsidRPr="002751FC">
        <w:rPr>
          <w:rFonts w:asciiTheme="majorHAnsi" w:hAnsiTheme="majorHAnsi" w:cstheme="majorHAnsi"/>
          <w:bCs/>
          <w:iCs/>
          <w:szCs w:val="28"/>
          <w:lang w:val="ro-MD"/>
        </w:rPr>
        <w:t xml:space="preserve"> </w:t>
      </w:r>
      <w:r w:rsidR="00EB1C7B" w:rsidRPr="002751FC">
        <w:rPr>
          <w:rFonts w:asciiTheme="majorHAnsi" w:hAnsiTheme="majorHAnsi" w:cstheme="majorHAnsi"/>
          <w:bCs/>
          <w:iCs/>
          <w:szCs w:val="28"/>
          <w:lang w:val="ro-MD"/>
        </w:rPr>
        <w:t>financiare</w:t>
      </w:r>
      <w:r w:rsidR="00974C87" w:rsidRPr="002751FC">
        <w:rPr>
          <w:rFonts w:asciiTheme="majorHAnsi" w:hAnsiTheme="majorHAnsi" w:cstheme="majorHAnsi"/>
          <w:bCs/>
          <w:iCs/>
          <w:szCs w:val="28"/>
          <w:lang w:val="ro-MD"/>
        </w:rPr>
        <w:t xml:space="preserve"> neutilizate în sumă de </w:t>
      </w:r>
      <w:r w:rsidR="00974C87" w:rsidRPr="002751FC">
        <w:rPr>
          <w:rFonts w:asciiTheme="majorHAnsi" w:hAnsiTheme="majorHAnsi" w:cstheme="majorHAnsi"/>
          <w:b/>
          <w:bCs/>
          <w:iCs/>
          <w:szCs w:val="28"/>
          <w:lang w:val="ro-MD"/>
        </w:rPr>
        <w:t xml:space="preserve">35,1 </w:t>
      </w:r>
      <w:proofErr w:type="spellStart"/>
      <w:r w:rsidR="00974C87" w:rsidRPr="002751FC">
        <w:rPr>
          <w:rFonts w:asciiTheme="majorHAnsi" w:hAnsiTheme="majorHAnsi" w:cstheme="majorHAnsi"/>
          <w:b/>
          <w:bCs/>
          <w:iCs/>
          <w:szCs w:val="28"/>
          <w:lang w:val="ro-MD"/>
        </w:rPr>
        <w:t>mil.MDL</w:t>
      </w:r>
      <w:proofErr w:type="spellEnd"/>
      <w:r w:rsidR="00326284" w:rsidRPr="002751FC">
        <w:rPr>
          <w:rFonts w:asciiTheme="majorHAnsi" w:hAnsiTheme="majorHAnsi" w:cstheme="majorHAnsi"/>
          <w:bCs/>
          <w:iCs/>
          <w:szCs w:val="28"/>
          <w:lang w:val="ro-MD"/>
        </w:rPr>
        <w:t xml:space="preserve"> </w:t>
      </w:r>
      <w:r w:rsidR="00326284" w:rsidRPr="002751FC">
        <w:rPr>
          <w:rFonts w:asciiTheme="majorHAnsi" w:hAnsiTheme="majorHAnsi" w:cstheme="majorHAnsi"/>
          <w:bCs/>
          <w:szCs w:val="28"/>
          <w:lang w:val="ro-MD"/>
        </w:rPr>
        <w:t>(</w:t>
      </w:r>
      <w:r w:rsidR="00326284" w:rsidRPr="002751FC">
        <w:rPr>
          <w:rFonts w:asciiTheme="majorHAnsi" w:hAnsiTheme="majorHAnsi" w:cstheme="majorHAnsi"/>
          <w:b/>
          <w:bCs/>
          <w:szCs w:val="28"/>
          <w:lang w:val="ro-MD"/>
        </w:rPr>
        <w:t>pct.4.1.2</w:t>
      </w:r>
      <w:r w:rsidR="00326284" w:rsidRPr="002751FC">
        <w:rPr>
          <w:rFonts w:asciiTheme="majorHAnsi" w:hAnsiTheme="majorHAnsi" w:cstheme="majorHAnsi"/>
          <w:bCs/>
          <w:szCs w:val="28"/>
          <w:lang w:val="ro-MD"/>
        </w:rPr>
        <w:t>)</w:t>
      </w:r>
      <w:r w:rsidR="00150C38" w:rsidRPr="002751FC">
        <w:rPr>
          <w:rFonts w:asciiTheme="majorHAnsi" w:hAnsiTheme="majorHAnsi" w:cstheme="majorHAnsi"/>
          <w:bCs/>
          <w:szCs w:val="28"/>
          <w:lang w:val="ro-MD"/>
        </w:rPr>
        <w:t>;</w:t>
      </w:r>
    </w:p>
    <w:p w:rsidR="00974C87" w:rsidRPr="002751FC" w:rsidRDefault="00974C87" w:rsidP="00D707B5">
      <w:pPr>
        <w:pStyle w:val="ac"/>
        <w:numPr>
          <w:ilvl w:val="0"/>
          <w:numId w:val="4"/>
        </w:numPr>
        <w:ind w:left="0" w:firstLine="567"/>
        <w:rPr>
          <w:rFonts w:asciiTheme="majorHAnsi" w:hAnsiTheme="majorHAnsi" w:cstheme="majorHAnsi"/>
          <w:bCs/>
          <w:szCs w:val="28"/>
          <w:lang w:val="ro-MD"/>
        </w:rPr>
      </w:pPr>
      <w:r w:rsidRPr="002751FC">
        <w:rPr>
          <w:rFonts w:asciiTheme="majorHAnsi" w:hAnsiTheme="majorHAnsi" w:cstheme="majorHAnsi"/>
          <w:bCs/>
          <w:szCs w:val="28"/>
          <w:lang w:val="ro-MD"/>
        </w:rPr>
        <w:t xml:space="preserve">urmare a </w:t>
      </w:r>
      <w:r w:rsidR="00E03F9D" w:rsidRPr="002751FC">
        <w:rPr>
          <w:rFonts w:asciiTheme="majorHAnsi" w:hAnsiTheme="majorHAnsi" w:cstheme="majorHAnsi"/>
          <w:bCs/>
          <w:szCs w:val="28"/>
          <w:lang w:val="ro-MD"/>
        </w:rPr>
        <w:t xml:space="preserve">faptului că ONVV are </w:t>
      </w:r>
      <w:r w:rsidR="005E10B4" w:rsidRPr="002751FC">
        <w:rPr>
          <w:rFonts w:asciiTheme="majorHAnsi" w:hAnsiTheme="majorHAnsi" w:cstheme="majorHAnsi"/>
          <w:bCs/>
          <w:szCs w:val="28"/>
          <w:lang w:val="ro-MD"/>
        </w:rPr>
        <w:t>statut</w:t>
      </w:r>
      <w:r w:rsidRPr="002751FC">
        <w:rPr>
          <w:rFonts w:asciiTheme="majorHAnsi" w:hAnsiTheme="majorHAnsi" w:cstheme="majorHAnsi"/>
          <w:bCs/>
          <w:szCs w:val="28"/>
          <w:lang w:val="ro-MD"/>
        </w:rPr>
        <w:t xml:space="preserve"> dublu, FVV are 2 bugete anuale diferite, unul aprobat prin Legea bugetului de stat pentru anul </w:t>
      </w:r>
      <w:r w:rsidR="000D1EFF" w:rsidRPr="002751FC">
        <w:rPr>
          <w:rFonts w:asciiTheme="majorHAnsi" w:hAnsiTheme="majorHAnsi" w:cstheme="majorHAnsi"/>
          <w:bCs/>
          <w:szCs w:val="28"/>
          <w:lang w:val="ro-MD"/>
        </w:rPr>
        <w:t>bugetar</w:t>
      </w:r>
      <w:r w:rsidRPr="002751FC">
        <w:rPr>
          <w:rFonts w:asciiTheme="majorHAnsi" w:hAnsiTheme="majorHAnsi" w:cstheme="majorHAnsi"/>
          <w:bCs/>
          <w:szCs w:val="28"/>
          <w:lang w:val="ro-MD"/>
        </w:rPr>
        <w:t xml:space="preserve"> respectiv, altul</w:t>
      </w:r>
      <w:r w:rsidR="00D707B5" w:rsidRPr="002751FC">
        <w:rPr>
          <w:rFonts w:asciiTheme="majorHAnsi" w:hAnsiTheme="majorHAnsi" w:cstheme="majorHAnsi"/>
          <w:bCs/>
          <w:szCs w:val="28"/>
          <w:lang w:val="ro-MD"/>
        </w:rPr>
        <w:t xml:space="preserve"> </w:t>
      </w:r>
      <w:r w:rsidR="004C688D" w:rsidRPr="002751FC">
        <w:rPr>
          <w:rFonts w:asciiTheme="majorHAnsi" w:hAnsiTheme="majorHAnsi" w:cstheme="majorHAnsi"/>
          <w:lang w:val="ro-MD"/>
        </w:rPr>
        <w:t>–</w:t>
      </w:r>
      <w:r w:rsidRPr="002751FC">
        <w:rPr>
          <w:rFonts w:asciiTheme="majorHAnsi" w:hAnsiTheme="majorHAnsi" w:cstheme="majorHAnsi"/>
          <w:bCs/>
          <w:szCs w:val="28"/>
          <w:lang w:val="ro-MD"/>
        </w:rPr>
        <w:t xml:space="preserve"> de Consiliul de coordonare, fiind admise diminuări și majorări at</w:t>
      </w:r>
      <w:r w:rsidR="003E340D" w:rsidRPr="002751FC">
        <w:rPr>
          <w:rFonts w:asciiTheme="majorHAnsi" w:hAnsiTheme="majorHAnsi" w:cstheme="majorHAnsi"/>
          <w:bCs/>
          <w:szCs w:val="28"/>
          <w:lang w:val="ro-MD"/>
        </w:rPr>
        <w:t>â</w:t>
      </w:r>
      <w:r w:rsidRPr="002751FC">
        <w:rPr>
          <w:rFonts w:asciiTheme="majorHAnsi" w:hAnsiTheme="majorHAnsi" w:cstheme="majorHAnsi"/>
          <w:bCs/>
          <w:szCs w:val="28"/>
          <w:lang w:val="ro-MD"/>
        </w:rPr>
        <w:t>t a</w:t>
      </w:r>
      <w:r w:rsidR="00D707B5" w:rsidRPr="002751FC">
        <w:rPr>
          <w:rFonts w:asciiTheme="majorHAnsi" w:hAnsiTheme="majorHAnsi" w:cstheme="majorHAnsi"/>
          <w:bCs/>
          <w:szCs w:val="28"/>
          <w:lang w:val="ro-MD"/>
        </w:rPr>
        <w:t>le</w:t>
      </w:r>
      <w:r w:rsidRPr="002751FC">
        <w:rPr>
          <w:rFonts w:asciiTheme="majorHAnsi" w:hAnsiTheme="majorHAnsi" w:cstheme="majorHAnsi"/>
          <w:bCs/>
          <w:szCs w:val="28"/>
          <w:lang w:val="ro-MD"/>
        </w:rPr>
        <w:t xml:space="preserve"> părții de venituri a FVV</w:t>
      </w:r>
      <w:r w:rsidR="00D707B5" w:rsidRPr="002751FC">
        <w:rPr>
          <w:rFonts w:asciiTheme="majorHAnsi" w:hAnsiTheme="majorHAnsi" w:cstheme="majorHAnsi"/>
          <w:bCs/>
          <w:szCs w:val="28"/>
          <w:lang w:val="ro-MD"/>
        </w:rPr>
        <w:t>,</w:t>
      </w:r>
      <w:r w:rsidRPr="002751FC">
        <w:rPr>
          <w:rFonts w:asciiTheme="majorHAnsi" w:hAnsiTheme="majorHAnsi" w:cstheme="majorHAnsi"/>
          <w:bCs/>
          <w:szCs w:val="28"/>
          <w:lang w:val="ro-MD"/>
        </w:rPr>
        <w:t xml:space="preserve"> </w:t>
      </w:r>
      <w:r w:rsidR="003E340D" w:rsidRPr="002751FC">
        <w:rPr>
          <w:rFonts w:asciiTheme="majorHAnsi" w:hAnsiTheme="majorHAnsi" w:cstheme="majorHAnsi"/>
          <w:bCs/>
          <w:szCs w:val="28"/>
          <w:lang w:val="ro-MD"/>
        </w:rPr>
        <w:t>cât</w:t>
      </w:r>
      <w:r w:rsidRPr="002751FC">
        <w:rPr>
          <w:rFonts w:asciiTheme="majorHAnsi" w:hAnsiTheme="majorHAnsi" w:cstheme="majorHAnsi"/>
          <w:bCs/>
          <w:szCs w:val="28"/>
          <w:lang w:val="ro-MD"/>
        </w:rPr>
        <w:t xml:space="preserve"> și a</w:t>
      </w:r>
      <w:r w:rsidR="00D707B5" w:rsidRPr="002751FC">
        <w:rPr>
          <w:rFonts w:asciiTheme="majorHAnsi" w:hAnsiTheme="majorHAnsi" w:cstheme="majorHAnsi"/>
          <w:bCs/>
          <w:szCs w:val="28"/>
          <w:lang w:val="ro-MD"/>
        </w:rPr>
        <w:t>le</w:t>
      </w:r>
      <w:r w:rsidRPr="002751FC">
        <w:rPr>
          <w:rFonts w:asciiTheme="majorHAnsi" w:hAnsiTheme="majorHAnsi" w:cstheme="majorHAnsi"/>
          <w:bCs/>
          <w:szCs w:val="28"/>
          <w:lang w:val="ro-MD"/>
        </w:rPr>
        <w:t xml:space="preserve"> părții de cheltuieli</w:t>
      </w:r>
      <w:r w:rsidR="0095521C" w:rsidRPr="002751FC">
        <w:rPr>
          <w:rFonts w:asciiTheme="majorHAnsi" w:hAnsiTheme="majorHAnsi" w:cstheme="majorHAnsi"/>
          <w:bCs/>
          <w:szCs w:val="28"/>
          <w:lang w:val="ro-MD"/>
        </w:rPr>
        <w:t xml:space="preserve"> (</w:t>
      </w:r>
      <w:r w:rsidR="0095521C" w:rsidRPr="002751FC">
        <w:rPr>
          <w:rFonts w:asciiTheme="majorHAnsi" w:hAnsiTheme="majorHAnsi" w:cstheme="majorHAnsi"/>
          <w:b/>
          <w:bCs/>
          <w:szCs w:val="28"/>
          <w:lang w:val="ro-MD"/>
        </w:rPr>
        <w:t>pct.4.1.3</w:t>
      </w:r>
      <w:r w:rsidR="0095521C" w:rsidRPr="002751FC">
        <w:rPr>
          <w:rFonts w:asciiTheme="majorHAnsi" w:hAnsiTheme="majorHAnsi" w:cstheme="majorHAnsi"/>
          <w:bCs/>
          <w:szCs w:val="28"/>
          <w:lang w:val="ro-MD"/>
        </w:rPr>
        <w:t>)</w:t>
      </w:r>
      <w:r w:rsidR="00D707B5" w:rsidRPr="002751FC">
        <w:rPr>
          <w:rFonts w:asciiTheme="majorHAnsi" w:hAnsiTheme="majorHAnsi" w:cstheme="majorHAnsi"/>
          <w:bCs/>
          <w:szCs w:val="28"/>
          <w:lang w:val="ro-MD"/>
        </w:rPr>
        <w:t>;</w:t>
      </w:r>
    </w:p>
    <w:p w:rsidR="00974C87" w:rsidRPr="002751FC" w:rsidRDefault="00B96AFD" w:rsidP="00974C87">
      <w:pPr>
        <w:pStyle w:val="ac"/>
        <w:numPr>
          <w:ilvl w:val="0"/>
          <w:numId w:val="4"/>
        </w:numPr>
        <w:ind w:left="0" w:firstLine="567"/>
        <w:rPr>
          <w:rFonts w:asciiTheme="majorHAnsi" w:hAnsiTheme="majorHAnsi" w:cstheme="majorHAnsi"/>
          <w:bCs/>
          <w:szCs w:val="28"/>
          <w:lang w:val="ro-MD"/>
        </w:rPr>
      </w:pPr>
      <w:r w:rsidRPr="002751FC">
        <w:rPr>
          <w:rFonts w:asciiTheme="majorHAnsi" w:hAnsiTheme="majorHAnsi" w:cstheme="majorHAnsi"/>
          <w:bCs/>
          <w:szCs w:val="28"/>
          <w:lang w:val="ro-MD"/>
        </w:rPr>
        <w:t>lipsa unor proceduri formalizate, bine definite privind rectificarea bugetului aprobat de Consiliul de coordonare a permis finanțarea unor măsuri suplimentar</w:t>
      </w:r>
      <w:r w:rsidR="0010682F" w:rsidRPr="002751FC">
        <w:rPr>
          <w:rFonts w:asciiTheme="majorHAnsi" w:hAnsiTheme="majorHAnsi" w:cstheme="majorHAnsi"/>
          <w:bCs/>
          <w:szCs w:val="28"/>
          <w:lang w:val="ro-MD"/>
        </w:rPr>
        <w:t>e</w:t>
      </w:r>
      <w:r w:rsidRPr="002751FC">
        <w:rPr>
          <w:rFonts w:asciiTheme="majorHAnsi" w:hAnsiTheme="majorHAnsi" w:cstheme="majorHAnsi"/>
          <w:bCs/>
          <w:szCs w:val="28"/>
          <w:lang w:val="ro-MD"/>
        </w:rPr>
        <w:t xml:space="preserve"> fără identificarea surselor de acoperire</w:t>
      </w:r>
      <w:r w:rsidR="007D0747" w:rsidRPr="002751FC">
        <w:rPr>
          <w:rFonts w:asciiTheme="majorHAnsi" w:hAnsiTheme="majorHAnsi" w:cstheme="majorHAnsi"/>
          <w:bCs/>
          <w:szCs w:val="28"/>
          <w:lang w:val="ro-MD"/>
        </w:rPr>
        <w:t xml:space="preserve"> </w:t>
      </w:r>
      <w:r w:rsidR="00EF019A" w:rsidRPr="002751FC">
        <w:rPr>
          <w:rFonts w:asciiTheme="majorHAnsi" w:hAnsiTheme="majorHAnsi" w:cstheme="majorHAnsi"/>
          <w:bCs/>
          <w:szCs w:val="28"/>
          <w:lang w:val="ro-MD"/>
        </w:rPr>
        <w:t>(+</w:t>
      </w:r>
      <w:r w:rsidR="00974C87" w:rsidRPr="002751FC">
        <w:rPr>
          <w:rFonts w:asciiTheme="majorHAnsi" w:hAnsiTheme="majorHAnsi" w:cstheme="majorHAnsi"/>
          <w:b/>
          <w:bCs/>
          <w:szCs w:val="28"/>
          <w:lang w:val="ro-MD"/>
        </w:rPr>
        <w:t>2</w:t>
      </w:r>
      <w:r w:rsidRPr="002751FC">
        <w:rPr>
          <w:rFonts w:asciiTheme="majorHAnsi" w:hAnsiTheme="majorHAnsi" w:cstheme="majorHAnsi"/>
          <w:b/>
          <w:bCs/>
          <w:szCs w:val="28"/>
          <w:lang w:val="ro-MD"/>
        </w:rPr>
        <w:t xml:space="preserve">,8 </w:t>
      </w:r>
      <w:proofErr w:type="spellStart"/>
      <w:r w:rsidR="00974C87" w:rsidRPr="002751FC">
        <w:rPr>
          <w:rFonts w:asciiTheme="majorHAnsi" w:hAnsiTheme="majorHAnsi" w:cstheme="majorHAnsi"/>
          <w:b/>
          <w:bCs/>
          <w:szCs w:val="28"/>
          <w:lang w:val="ro-MD"/>
        </w:rPr>
        <w:t>mil.MDL</w:t>
      </w:r>
      <w:proofErr w:type="spellEnd"/>
      <w:r w:rsidR="00974C87" w:rsidRPr="002751FC">
        <w:rPr>
          <w:rFonts w:asciiTheme="majorHAnsi" w:hAnsiTheme="majorHAnsi" w:cstheme="majorHAnsi"/>
          <w:bCs/>
          <w:szCs w:val="28"/>
          <w:lang w:val="ro-MD"/>
        </w:rPr>
        <w:t>)</w:t>
      </w:r>
      <w:r w:rsidR="00457941" w:rsidRPr="002751FC">
        <w:rPr>
          <w:rFonts w:asciiTheme="majorHAnsi" w:hAnsiTheme="majorHAnsi" w:cstheme="majorHAnsi"/>
          <w:bCs/>
          <w:szCs w:val="28"/>
          <w:lang w:val="ro-MD"/>
        </w:rPr>
        <w:t>,</w:t>
      </w:r>
      <w:r w:rsidR="00974C87" w:rsidRPr="002751FC">
        <w:rPr>
          <w:rFonts w:asciiTheme="majorHAnsi" w:hAnsiTheme="majorHAnsi" w:cstheme="majorHAnsi"/>
          <w:bCs/>
          <w:szCs w:val="28"/>
          <w:lang w:val="ro-MD"/>
        </w:rPr>
        <w:t xml:space="preserve"> efectuarea cheltuielilor neprevăzute în </w:t>
      </w:r>
      <w:r w:rsidR="00EF019A" w:rsidRPr="002751FC">
        <w:rPr>
          <w:rFonts w:asciiTheme="majorHAnsi" w:hAnsiTheme="majorHAnsi" w:cstheme="majorHAnsi"/>
          <w:bCs/>
          <w:szCs w:val="28"/>
          <w:lang w:val="ro-MD"/>
        </w:rPr>
        <w:t>buget fără aprobarea de către CC (+</w:t>
      </w:r>
      <w:r w:rsidR="00974C87" w:rsidRPr="002751FC">
        <w:rPr>
          <w:rFonts w:asciiTheme="majorHAnsi" w:hAnsiTheme="majorHAnsi" w:cstheme="majorHAnsi"/>
          <w:b/>
          <w:bCs/>
          <w:szCs w:val="28"/>
          <w:lang w:val="ro-MD"/>
        </w:rPr>
        <w:t xml:space="preserve">0,62 </w:t>
      </w:r>
      <w:proofErr w:type="spellStart"/>
      <w:r w:rsidR="00974C87" w:rsidRPr="002751FC">
        <w:rPr>
          <w:rFonts w:asciiTheme="majorHAnsi" w:hAnsiTheme="majorHAnsi" w:cstheme="majorHAnsi"/>
          <w:b/>
          <w:bCs/>
          <w:szCs w:val="28"/>
          <w:lang w:val="ro-MD"/>
        </w:rPr>
        <w:t>mil.MDL</w:t>
      </w:r>
      <w:proofErr w:type="spellEnd"/>
      <w:r w:rsidR="00974C87" w:rsidRPr="002751FC">
        <w:rPr>
          <w:rFonts w:asciiTheme="majorHAnsi" w:hAnsiTheme="majorHAnsi" w:cstheme="majorHAnsi"/>
          <w:bCs/>
          <w:szCs w:val="28"/>
          <w:lang w:val="ro-MD"/>
        </w:rPr>
        <w:t>), precum și efectuarea cheltuielilor cu depășirea limitelor de cheltuieli aprobate pentru activitățile respective (+</w:t>
      </w:r>
      <w:r w:rsidR="00974C87" w:rsidRPr="002751FC">
        <w:rPr>
          <w:rFonts w:asciiTheme="majorHAnsi" w:hAnsiTheme="majorHAnsi" w:cstheme="majorHAnsi"/>
          <w:b/>
          <w:bCs/>
          <w:szCs w:val="28"/>
          <w:lang w:val="ro-MD"/>
        </w:rPr>
        <w:t xml:space="preserve">2,96 </w:t>
      </w:r>
      <w:proofErr w:type="spellStart"/>
      <w:r w:rsidR="00974C87" w:rsidRPr="002751FC">
        <w:rPr>
          <w:rFonts w:asciiTheme="majorHAnsi" w:hAnsiTheme="majorHAnsi" w:cstheme="majorHAnsi"/>
          <w:b/>
          <w:bCs/>
          <w:szCs w:val="28"/>
          <w:lang w:val="ro-MD"/>
        </w:rPr>
        <w:t>mil.MDL</w:t>
      </w:r>
      <w:proofErr w:type="spellEnd"/>
      <w:r w:rsidR="006C0C78" w:rsidRPr="002751FC">
        <w:rPr>
          <w:rFonts w:asciiTheme="majorHAnsi" w:hAnsiTheme="majorHAnsi" w:cstheme="majorHAnsi"/>
          <w:bCs/>
          <w:szCs w:val="28"/>
          <w:lang w:val="ro-MD"/>
        </w:rPr>
        <w:t>) (</w:t>
      </w:r>
      <w:r w:rsidR="006C0C78" w:rsidRPr="002751FC">
        <w:rPr>
          <w:rFonts w:asciiTheme="majorHAnsi" w:hAnsiTheme="majorHAnsi" w:cstheme="majorHAnsi"/>
          <w:b/>
          <w:bCs/>
          <w:szCs w:val="28"/>
          <w:lang w:val="ro-MD"/>
        </w:rPr>
        <w:t>pct.4.1.4</w:t>
      </w:r>
      <w:r w:rsidR="006C0C78" w:rsidRPr="002751FC">
        <w:rPr>
          <w:rFonts w:asciiTheme="majorHAnsi" w:hAnsiTheme="majorHAnsi" w:cstheme="majorHAnsi"/>
          <w:bCs/>
          <w:szCs w:val="28"/>
          <w:lang w:val="ro-MD"/>
        </w:rPr>
        <w:t>)</w:t>
      </w:r>
      <w:r w:rsidR="004C688D" w:rsidRPr="002751FC">
        <w:rPr>
          <w:rFonts w:asciiTheme="majorHAnsi" w:hAnsiTheme="majorHAnsi" w:cstheme="majorHAnsi"/>
          <w:bCs/>
          <w:szCs w:val="28"/>
          <w:lang w:val="ro-MD"/>
        </w:rPr>
        <w:t>;</w:t>
      </w:r>
    </w:p>
    <w:p w:rsidR="00974C87" w:rsidRPr="002751FC" w:rsidRDefault="00974C87" w:rsidP="00974C87">
      <w:pPr>
        <w:pStyle w:val="ac"/>
        <w:numPr>
          <w:ilvl w:val="0"/>
          <w:numId w:val="41"/>
        </w:numPr>
        <w:ind w:left="0" w:firstLine="567"/>
        <w:rPr>
          <w:rFonts w:asciiTheme="majorHAnsi" w:hAnsiTheme="majorHAnsi" w:cstheme="majorHAnsi"/>
          <w:szCs w:val="28"/>
          <w:lang w:val="ro-MD"/>
        </w:rPr>
      </w:pPr>
      <w:r w:rsidRPr="002751FC">
        <w:rPr>
          <w:rFonts w:asciiTheme="majorHAnsi" w:hAnsiTheme="majorHAnsi" w:cstheme="majorHAnsi"/>
          <w:szCs w:val="28"/>
          <w:lang w:val="ro-MD"/>
        </w:rPr>
        <w:t xml:space="preserve">planificarea neadecvată a resurselor financiare și </w:t>
      </w:r>
      <w:r w:rsidR="004C688D" w:rsidRPr="002751FC">
        <w:rPr>
          <w:rFonts w:asciiTheme="majorHAnsi" w:hAnsiTheme="majorHAnsi" w:cstheme="majorHAnsi"/>
          <w:szCs w:val="28"/>
          <w:lang w:val="ro-MD"/>
        </w:rPr>
        <w:t xml:space="preserve">a </w:t>
      </w:r>
      <w:r w:rsidRPr="002751FC">
        <w:rPr>
          <w:rFonts w:asciiTheme="majorHAnsi" w:hAnsiTheme="majorHAnsi" w:cstheme="majorHAnsi"/>
          <w:szCs w:val="28"/>
          <w:lang w:val="ro-MD"/>
        </w:rPr>
        <w:t xml:space="preserve">măsurilor care urmează a fi realizate în anul bugetar respectiv a influențat nivelul de realizare a indicatorilor bugetari aprobați, </w:t>
      </w:r>
      <w:r w:rsidR="002F4CEB" w:rsidRPr="002751FC">
        <w:rPr>
          <w:rFonts w:asciiTheme="majorHAnsi" w:hAnsiTheme="majorHAnsi" w:cstheme="majorHAnsi"/>
          <w:szCs w:val="28"/>
          <w:lang w:val="ro-MD"/>
        </w:rPr>
        <w:t>aceștia</w:t>
      </w:r>
      <w:r w:rsidRPr="002751FC">
        <w:rPr>
          <w:rFonts w:asciiTheme="majorHAnsi" w:hAnsiTheme="majorHAnsi" w:cstheme="majorHAnsi"/>
          <w:szCs w:val="28"/>
          <w:lang w:val="ro-MD"/>
        </w:rPr>
        <w:t>, în perioada 2014-2018, variind</w:t>
      </w:r>
      <w:r w:rsidRPr="002751FC">
        <w:rPr>
          <w:rStyle w:val="ab"/>
          <w:rFonts w:asciiTheme="majorHAnsi" w:hAnsiTheme="majorHAnsi" w:cstheme="majorHAnsi"/>
          <w:szCs w:val="28"/>
          <w:lang w:val="ro-MD"/>
        </w:rPr>
        <w:footnoteReference w:id="5"/>
      </w:r>
      <w:r w:rsidR="000667EF" w:rsidRPr="002751FC">
        <w:rPr>
          <w:rFonts w:asciiTheme="majorHAnsi" w:hAnsiTheme="majorHAnsi" w:cstheme="majorHAnsi"/>
          <w:szCs w:val="28"/>
          <w:lang w:val="ro-MD"/>
        </w:rPr>
        <w:t xml:space="preserve"> la venituri între</w:t>
      </w:r>
      <w:r w:rsidRPr="002751FC">
        <w:rPr>
          <w:rFonts w:asciiTheme="majorHAnsi" w:hAnsiTheme="majorHAnsi" w:cstheme="majorHAnsi"/>
          <w:szCs w:val="28"/>
          <w:lang w:val="ro-MD"/>
        </w:rPr>
        <w:t xml:space="preserve"> 32,7% și 126,7% și la </w:t>
      </w:r>
      <w:r w:rsidR="005771C8" w:rsidRPr="002751FC">
        <w:rPr>
          <w:rFonts w:asciiTheme="majorHAnsi" w:hAnsiTheme="majorHAnsi" w:cstheme="majorHAnsi"/>
          <w:szCs w:val="28"/>
          <w:lang w:val="ro-MD"/>
        </w:rPr>
        <w:t xml:space="preserve">cheltuieli între 25,2% și 73,7% </w:t>
      </w:r>
      <w:r w:rsidR="005771C8" w:rsidRPr="002751FC">
        <w:rPr>
          <w:rFonts w:asciiTheme="majorHAnsi" w:hAnsiTheme="majorHAnsi" w:cstheme="majorHAnsi"/>
          <w:bCs/>
          <w:szCs w:val="28"/>
          <w:lang w:val="ro-MD"/>
        </w:rPr>
        <w:t>(</w:t>
      </w:r>
      <w:r w:rsidR="005771C8" w:rsidRPr="002751FC">
        <w:rPr>
          <w:rFonts w:asciiTheme="majorHAnsi" w:hAnsiTheme="majorHAnsi" w:cstheme="majorHAnsi"/>
          <w:b/>
          <w:bCs/>
          <w:szCs w:val="28"/>
          <w:lang w:val="ro-MD"/>
        </w:rPr>
        <w:t>pct.4.1.6</w:t>
      </w:r>
      <w:r w:rsidR="005771C8" w:rsidRPr="002751FC">
        <w:rPr>
          <w:rFonts w:asciiTheme="majorHAnsi" w:hAnsiTheme="majorHAnsi" w:cstheme="majorHAnsi"/>
          <w:bCs/>
          <w:szCs w:val="28"/>
          <w:lang w:val="ro-MD"/>
        </w:rPr>
        <w:t>)</w:t>
      </w:r>
      <w:r w:rsidR="004C688D" w:rsidRPr="002751FC">
        <w:rPr>
          <w:rFonts w:asciiTheme="majorHAnsi" w:hAnsiTheme="majorHAnsi" w:cstheme="majorHAnsi"/>
          <w:bCs/>
          <w:szCs w:val="28"/>
          <w:lang w:val="ro-MD"/>
        </w:rPr>
        <w:t>;</w:t>
      </w:r>
    </w:p>
    <w:p w:rsidR="00974C87" w:rsidRPr="00E031FA" w:rsidRDefault="00974C87" w:rsidP="005F5A7B">
      <w:pPr>
        <w:pStyle w:val="ac"/>
        <w:numPr>
          <w:ilvl w:val="0"/>
          <w:numId w:val="4"/>
        </w:numPr>
        <w:ind w:left="0" w:firstLine="567"/>
        <w:rPr>
          <w:rFonts w:asciiTheme="majorHAnsi" w:hAnsiTheme="majorHAnsi" w:cstheme="majorHAnsi"/>
          <w:lang w:val="ro-MD"/>
        </w:rPr>
      </w:pPr>
      <w:r w:rsidRPr="002751FC">
        <w:rPr>
          <w:rFonts w:asciiTheme="majorHAnsi" w:hAnsiTheme="majorHAnsi" w:cstheme="majorHAnsi"/>
          <w:lang w:val="ro-MD"/>
        </w:rPr>
        <w:t>suportarea cheltuielilor</w:t>
      </w:r>
      <w:r w:rsidR="000667EF" w:rsidRPr="002751FC">
        <w:rPr>
          <w:rFonts w:asciiTheme="majorHAnsi" w:hAnsiTheme="majorHAnsi" w:cstheme="majorHAnsi"/>
          <w:lang w:val="ro-MD"/>
        </w:rPr>
        <w:t xml:space="preserve"> nejustificate în mărime de </w:t>
      </w:r>
      <w:r w:rsidRPr="002751FC">
        <w:rPr>
          <w:rFonts w:asciiTheme="majorHAnsi" w:hAnsiTheme="majorHAnsi" w:cstheme="majorHAnsi"/>
          <w:b/>
          <w:lang w:val="ro-MD"/>
        </w:rPr>
        <w:t xml:space="preserve">1,2 </w:t>
      </w:r>
      <w:proofErr w:type="spellStart"/>
      <w:r w:rsidRPr="002751FC">
        <w:rPr>
          <w:rFonts w:asciiTheme="majorHAnsi" w:hAnsiTheme="majorHAnsi" w:cstheme="majorHAnsi"/>
          <w:b/>
          <w:lang w:val="ro-MD"/>
        </w:rPr>
        <w:t>mil.MDL</w:t>
      </w:r>
      <w:proofErr w:type="spellEnd"/>
      <w:r w:rsidRPr="002751FC">
        <w:rPr>
          <w:rFonts w:asciiTheme="majorHAnsi" w:hAnsiTheme="majorHAnsi" w:cstheme="majorHAnsi"/>
          <w:lang w:val="ro-MD"/>
        </w:rPr>
        <w:t>, dintre care: (i) urmare a acordării sporului lunar de 15% în lipsa unor indicatori sau criterii măsurabil</w:t>
      </w:r>
      <w:r w:rsidR="00646266">
        <w:rPr>
          <w:rFonts w:asciiTheme="majorHAnsi" w:hAnsiTheme="majorHAnsi" w:cstheme="majorHAnsi"/>
          <w:lang w:val="ro-MD"/>
        </w:rPr>
        <w:t>e</w:t>
      </w:r>
      <w:r w:rsidRPr="002751FC">
        <w:rPr>
          <w:rFonts w:asciiTheme="majorHAnsi" w:hAnsiTheme="majorHAnsi" w:cstheme="majorHAnsi"/>
          <w:lang w:val="ro-MD"/>
        </w:rPr>
        <w:t xml:space="preserve"> (0,6 </w:t>
      </w:r>
      <w:proofErr w:type="spellStart"/>
      <w:r w:rsidRPr="002751FC">
        <w:rPr>
          <w:rFonts w:asciiTheme="majorHAnsi" w:hAnsiTheme="majorHAnsi" w:cstheme="majorHAnsi"/>
          <w:lang w:val="ro-MD"/>
        </w:rPr>
        <w:t>mil.MDL</w:t>
      </w:r>
      <w:proofErr w:type="spellEnd"/>
      <w:r w:rsidRPr="002751FC">
        <w:rPr>
          <w:rFonts w:asciiTheme="majorHAnsi" w:hAnsiTheme="majorHAnsi" w:cstheme="majorHAnsi"/>
          <w:lang w:val="ro-MD"/>
        </w:rPr>
        <w:t>)</w:t>
      </w:r>
      <w:r w:rsidR="005771C8" w:rsidRPr="002751FC">
        <w:rPr>
          <w:rFonts w:asciiTheme="majorHAnsi" w:hAnsiTheme="majorHAnsi" w:cstheme="majorHAnsi"/>
          <w:lang w:val="ro-MD"/>
        </w:rPr>
        <w:t xml:space="preserve"> </w:t>
      </w:r>
      <w:r w:rsidR="005771C8" w:rsidRPr="00E031FA">
        <w:rPr>
          <w:rFonts w:asciiTheme="majorHAnsi" w:hAnsiTheme="majorHAnsi" w:cstheme="majorHAnsi"/>
          <w:bCs/>
          <w:szCs w:val="28"/>
          <w:lang w:val="ro-MD"/>
        </w:rPr>
        <w:t>(</w:t>
      </w:r>
      <w:r w:rsidR="005771C8" w:rsidRPr="00E031FA">
        <w:rPr>
          <w:rFonts w:asciiTheme="majorHAnsi" w:hAnsiTheme="majorHAnsi" w:cstheme="majorHAnsi"/>
          <w:b/>
          <w:bCs/>
          <w:szCs w:val="28"/>
          <w:lang w:val="ro-MD"/>
        </w:rPr>
        <w:t>pct.4.3.</w:t>
      </w:r>
      <w:r w:rsidR="00C07043" w:rsidRPr="00E031FA">
        <w:rPr>
          <w:rFonts w:asciiTheme="majorHAnsi" w:hAnsiTheme="majorHAnsi" w:cstheme="majorHAnsi"/>
          <w:b/>
          <w:bCs/>
          <w:szCs w:val="28"/>
          <w:lang w:val="en-US"/>
        </w:rPr>
        <w:t>1.1</w:t>
      </w:r>
      <w:r w:rsidR="005771C8" w:rsidRPr="00E031FA">
        <w:rPr>
          <w:rFonts w:asciiTheme="majorHAnsi" w:hAnsiTheme="majorHAnsi" w:cstheme="majorHAnsi"/>
          <w:bCs/>
          <w:szCs w:val="28"/>
          <w:lang w:val="ro-MD"/>
        </w:rPr>
        <w:t>)</w:t>
      </w:r>
      <w:r w:rsidRPr="00E031FA">
        <w:rPr>
          <w:rFonts w:asciiTheme="majorHAnsi" w:hAnsiTheme="majorHAnsi" w:cstheme="majorHAnsi"/>
          <w:lang w:val="ro-MD"/>
        </w:rPr>
        <w:t xml:space="preserve">, sporului pentru performanță (0,4 </w:t>
      </w:r>
      <w:proofErr w:type="spellStart"/>
      <w:r w:rsidRPr="00E031FA">
        <w:rPr>
          <w:rFonts w:asciiTheme="majorHAnsi" w:hAnsiTheme="majorHAnsi" w:cstheme="majorHAnsi"/>
          <w:lang w:val="ro-MD"/>
        </w:rPr>
        <w:t>mil.MDL</w:t>
      </w:r>
      <w:proofErr w:type="spellEnd"/>
      <w:r w:rsidRPr="00E031FA">
        <w:rPr>
          <w:rFonts w:asciiTheme="majorHAnsi" w:hAnsiTheme="majorHAnsi" w:cstheme="majorHAnsi"/>
          <w:lang w:val="ro-MD"/>
        </w:rPr>
        <w:t xml:space="preserve">) </w:t>
      </w:r>
      <w:r w:rsidR="004C688D" w:rsidRPr="00E031FA">
        <w:rPr>
          <w:rFonts w:asciiTheme="majorHAnsi" w:hAnsiTheme="majorHAnsi" w:cstheme="majorHAnsi"/>
          <w:lang w:val="ro-MD"/>
        </w:rPr>
        <w:t xml:space="preserve">– </w:t>
      </w:r>
      <w:r w:rsidRPr="00E031FA">
        <w:rPr>
          <w:rFonts w:asciiTheme="majorHAnsi" w:hAnsiTheme="majorHAnsi" w:cstheme="majorHAnsi"/>
          <w:lang w:val="ro-MD"/>
        </w:rPr>
        <w:t>în lipsa obiectivelor de performanță stabilite</w:t>
      </w:r>
      <w:r w:rsidR="005771C8" w:rsidRPr="00E031FA">
        <w:rPr>
          <w:rFonts w:asciiTheme="majorHAnsi" w:hAnsiTheme="majorHAnsi" w:cstheme="majorHAnsi"/>
          <w:lang w:val="ro-MD"/>
        </w:rPr>
        <w:t xml:space="preserve"> </w:t>
      </w:r>
      <w:r w:rsidR="005771C8" w:rsidRPr="00E031FA">
        <w:rPr>
          <w:rFonts w:asciiTheme="majorHAnsi" w:hAnsiTheme="majorHAnsi" w:cstheme="majorHAnsi"/>
          <w:bCs/>
          <w:szCs w:val="28"/>
          <w:lang w:val="ro-MD"/>
        </w:rPr>
        <w:t>(</w:t>
      </w:r>
      <w:r w:rsidR="005771C8" w:rsidRPr="00E031FA">
        <w:rPr>
          <w:rFonts w:asciiTheme="majorHAnsi" w:hAnsiTheme="majorHAnsi" w:cstheme="majorHAnsi"/>
          <w:b/>
          <w:bCs/>
          <w:szCs w:val="28"/>
          <w:lang w:val="ro-MD"/>
        </w:rPr>
        <w:t>pct.4.3.</w:t>
      </w:r>
      <w:r w:rsidR="00C07043" w:rsidRPr="00E031FA">
        <w:rPr>
          <w:rFonts w:asciiTheme="majorHAnsi" w:hAnsiTheme="majorHAnsi" w:cstheme="majorHAnsi"/>
          <w:b/>
          <w:bCs/>
          <w:szCs w:val="28"/>
          <w:lang w:val="en-US"/>
        </w:rPr>
        <w:t>1.2</w:t>
      </w:r>
      <w:r w:rsidR="005771C8" w:rsidRPr="00E031FA">
        <w:rPr>
          <w:rFonts w:asciiTheme="majorHAnsi" w:hAnsiTheme="majorHAnsi" w:cstheme="majorHAnsi"/>
          <w:bCs/>
          <w:szCs w:val="28"/>
          <w:lang w:val="ro-MD"/>
        </w:rPr>
        <w:t>)</w:t>
      </w:r>
      <w:r w:rsidRPr="00E031FA">
        <w:rPr>
          <w:rFonts w:asciiTheme="majorHAnsi" w:hAnsiTheme="majorHAnsi" w:cstheme="majorHAnsi"/>
          <w:lang w:val="ro-MD"/>
        </w:rPr>
        <w:t xml:space="preserve">, la baza </w:t>
      </w:r>
      <w:r w:rsidR="00353307" w:rsidRPr="00E031FA">
        <w:rPr>
          <w:rFonts w:asciiTheme="majorHAnsi" w:hAnsiTheme="majorHAnsi" w:cstheme="majorHAnsi"/>
          <w:lang w:val="ro-MD"/>
        </w:rPr>
        <w:t>evaluării</w:t>
      </w:r>
      <w:r w:rsidRPr="00E031FA">
        <w:rPr>
          <w:rFonts w:asciiTheme="majorHAnsi" w:hAnsiTheme="majorHAnsi" w:cstheme="majorHAnsi"/>
          <w:lang w:val="ro-MD"/>
        </w:rPr>
        <w:t xml:space="preserve"> fiind pus</w:t>
      </w:r>
      <w:r w:rsidR="00B4622E" w:rsidRPr="00E031FA">
        <w:rPr>
          <w:rFonts w:asciiTheme="majorHAnsi" w:hAnsiTheme="majorHAnsi" w:cstheme="majorHAnsi"/>
          <w:lang w:val="ro-MD"/>
        </w:rPr>
        <w:t>e criteriile</w:t>
      </w:r>
      <w:r w:rsidR="00353307" w:rsidRPr="00E031FA">
        <w:rPr>
          <w:rFonts w:asciiTheme="majorHAnsi" w:hAnsiTheme="majorHAnsi" w:cstheme="majorHAnsi"/>
          <w:lang w:val="ro-MD"/>
        </w:rPr>
        <w:t xml:space="preserve"> </w:t>
      </w:r>
      <w:r w:rsidR="00270879" w:rsidRPr="00E031FA">
        <w:rPr>
          <w:rFonts w:asciiTheme="majorHAnsi" w:hAnsiTheme="majorHAnsi" w:cstheme="majorHAnsi"/>
          <w:lang w:val="ro-MD"/>
        </w:rPr>
        <w:t xml:space="preserve">de </w:t>
      </w:r>
      <w:r w:rsidR="00353307" w:rsidRPr="00E031FA">
        <w:rPr>
          <w:rFonts w:asciiTheme="majorHAnsi" w:hAnsiTheme="majorHAnsi" w:cstheme="majorHAnsi"/>
          <w:lang w:val="ro-MD"/>
        </w:rPr>
        <w:t xml:space="preserve">profesionalism </w:t>
      </w:r>
      <w:r w:rsidRPr="00E031FA">
        <w:rPr>
          <w:rFonts w:asciiTheme="majorHAnsi" w:hAnsiTheme="majorHAnsi" w:cstheme="majorHAnsi"/>
          <w:lang w:val="ro-MD"/>
        </w:rPr>
        <w:t>și calitățil</w:t>
      </w:r>
      <w:r w:rsidR="00270879" w:rsidRPr="00E031FA">
        <w:rPr>
          <w:rFonts w:asciiTheme="majorHAnsi" w:hAnsiTheme="majorHAnsi" w:cstheme="majorHAnsi"/>
          <w:lang w:val="ro-MD"/>
        </w:rPr>
        <w:t>e</w:t>
      </w:r>
      <w:r w:rsidRPr="00E031FA">
        <w:rPr>
          <w:rFonts w:asciiTheme="majorHAnsi" w:hAnsiTheme="majorHAnsi" w:cstheme="majorHAnsi"/>
          <w:lang w:val="ro-MD"/>
        </w:rPr>
        <w:t xml:space="preserve"> personale ale angajaților (competență, calitatea și di</w:t>
      </w:r>
      <w:r w:rsidR="00353307" w:rsidRPr="00E031FA">
        <w:rPr>
          <w:rFonts w:asciiTheme="majorHAnsi" w:hAnsiTheme="majorHAnsi" w:cstheme="majorHAnsi"/>
          <w:lang w:val="ro-MD"/>
        </w:rPr>
        <w:t>sciplina muncii, activismul și motivarea, lucr</w:t>
      </w:r>
      <w:r w:rsidRPr="00E031FA">
        <w:rPr>
          <w:rFonts w:asciiTheme="majorHAnsi" w:hAnsiTheme="majorHAnsi" w:cstheme="majorHAnsi"/>
          <w:lang w:val="ro-MD"/>
        </w:rPr>
        <w:t>u</w:t>
      </w:r>
      <w:r w:rsidR="00270879" w:rsidRPr="00E031FA">
        <w:rPr>
          <w:rFonts w:asciiTheme="majorHAnsi" w:hAnsiTheme="majorHAnsi" w:cstheme="majorHAnsi"/>
          <w:lang w:val="ro-MD"/>
        </w:rPr>
        <w:t>l</w:t>
      </w:r>
      <w:r w:rsidRPr="00E031FA">
        <w:rPr>
          <w:rFonts w:asciiTheme="majorHAnsi" w:hAnsiTheme="majorHAnsi" w:cstheme="majorHAnsi"/>
          <w:lang w:val="ro-MD"/>
        </w:rPr>
        <w:t xml:space="preserve"> în echipă, comunicarea etc.), (ii) achitarea studiilor de doctorat pentru un angajat (0,038 </w:t>
      </w:r>
      <w:proofErr w:type="spellStart"/>
      <w:r w:rsidRPr="00E031FA">
        <w:rPr>
          <w:rFonts w:asciiTheme="majorHAnsi" w:hAnsiTheme="majorHAnsi" w:cstheme="majorHAnsi"/>
          <w:lang w:val="ro-MD"/>
        </w:rPr>
        <w:t>mil.MDL</w:t>
      </w:r>
      <w:proofErr w:type="spellEnd"/>
      <w:r w:rsidRPr="00E031FA">
        <w:rPr>
          <w:rFonts w:asciiTheme="majorHAnsi" w:hAnsiTheme="majorHAnsi" w:cstheme="majorHAnsi"/>
          <w:lang w:val="ro-MD"/>
        </w:rPr>
        <w:t>)</w:t>
      </w:r>
      <w:r w:rsidR="005771C8" w:rsidRPr="00E031FA">
        <w:rPr>
          <w:rFonts w:asciiTheme="majorHAnsi" w:hAnsiTheme="majorHAnsi" w:cstheme="majorHAnsi"/>
          <w:lang w:val="ro-MD"/>
        </w:rPr>
        <w:t xml:space="preserve"> </w:t>
      </w:r>
      <w:r w:rsidR="005771C8" w:rsidRPr="00E031FA">
        <w:rPr>
          <w:rFonts w:asciiTheme="majorHAnsi" w:hAnsiTheme="majorHAnsi" w:cstheme="majorHAnsi"/>
          <w:bCs/>
          <w:szCs w:val="28"/>
          <w:lang w:val="ro-MD"/>
        </w:rPr>
        <w:t>(</w:t>
      </w:r>
      <w:r w:rsidR="005771C8" w:rsidRPr="00E031FA">
        <w:rPr>
          <w:rFonts w:asciiTheme="majorHAnsi" w:hAnsiTheme="majorHAnsi" w:cstheme="majorHAnsi"/>
          <w:b/>
          <w:bCs/>
          <w:szCs w:val="28"/>
          <w:lang w:val="ro-MD"/>
        </w:rPr>
        <w:t>pct.4.3.</w:t>
      </w:r>
      <w:r w:rsidR="00FF1FB7" w:rsidRPr="00E031FA">
        <w:rPr>
          <w:rFonts w:asciiTheme="majorHAnsi" w:hAnsiTheme="majorHAnsi" w:cstheme="majorHAnsi"/>
          <w:b/>
          <w:bCs/>
          <w:szCs w:val="28"/>
          <w:lang w:val="en-US"/>
        </w:rPr>
        <w:t>6</w:t>
      </w:r>
      <w:r w:rsidR="005771C8" w:rsidRPr="00E031FA">
        <w:rPr>
          <w:rFonts w:asciiTheme="majorHAnsi" w:hAnsiTheme="majorHAnsi" w:cstheme="majorHAnsi"/>
          <w:bCs/>
          <w:szCs w:val="28"/>
          <w:lang w:val="ro-MD"/>
        </w:rPr>
        <w:t>)</w:t>
      </w:r>
      <w:r w:rsidRPr="00E031FA">
        <w:rPr>
          <w:rFonts w:asciiTheme="majorHAnsi" w:hAnsiTheme="majorHAnsi" w:cstheme="majorHAnsi"/>
          <w:lang w:val="ro-MD"/>
        </w:rPr>
        <w:t xml:space="preserve">, (iii) suportarea </w:t>
      </w:r>
      <w:r w:rsidR="00F61147" w:rsidRPr="00E031FA">
        <w:rPr>
          <w:rFonts w:asciiTheme="majorHAnsi" w:hAnsiTheme="majorHAnsi" w:cstheme="majorHAnsi"/>
          <w:lang w:val="ro-MD"/>
        </w:rPr>
        <w:t>cheltuielilor</w:t>
      </w:r>
      <w:r w:rsidRPr="00E031FA">
        <w:rPr>
          <w:rFonts w:asciiTheme="majorHAnsi" w:hAnsiTheme="majorHAnsi" w:cstheme="majorHAnsi"/>
          <w:lang w:val="ro-MD"/>
        </w:rPr>
        <w:t xml:space="preserve"> de deplasa</w:t>
      </w:r>
      <w:r w:rsidR="00F61147" w:rsidRPr="00E031FA">
        <w:rPr>
          <w:rFonts w:asciiTheme="majorHAnsi" w:hAnsiTheme="majorHAnsi" w:cstheme="majorHAnsi"/>
          <w:lang w:val="ro-MD"/>
        </w:rPr>
        <w:t>r</w:t>
      </w:r>
      <w:r w:rsidRPr="00E031FA">
        <w:rPr>
          <w:rFonts w:asciiTheme="majorHAnsi" w:hAnsiTheme="majorHAnsi" w:cstheme="majorHAnsi"/>
          <w:lang w:val="ro-MD"/>
        </w:rPr>
        <w:t xml:space="preserve">e peste hotare pentru membrii CC (0,066 </w:t>
      </w:r>
      <w:proofErr w:type="spellStart"/>
      <w:r w:rsidRPr="00E031FA">
        <w:rPr>
          <w:rFonts w:asciiTheme="majorHAnsi" w:hAnsiTheme="majorHAnsi" w:cstheme="majorHAnsi"/>
          <w:lang w:val="ro-MD"/>
        </w:rPr>
        <w:t>mil.MDL</w:t>
      </w:r>
      <w:proofErr w:type="spellEnd"/>
      <w:r w:rsidRPr="00E031FA">
        <w:rPr>
          <w:rFonts w:asciiTheme="majorHAnsi" w:hAnsiTheme="majorHAnsi" w:cstheme="majorHAnsi"/>
          <w:lang w:val="ro-MD"/>
        </w:rPr>
        <w:t xml:space="preserve">) și persoanele cu funcții de demnitate publică (0,081 </w:t>
      </w:r>
      <w:proofErr w:type="spellStart"/>
      <w:r w:rsidRPr="00E031FA">
        <w:rPr>
          <w:rFonts w:asciiTheme="majorHAnsi" w:hAnsiTheme="majorHAnsi" w:cstheme="majorHAnsi"/>
          <w:lang w:val="ro-MD"/>
        </w:rPr>
        <w:t>mil.MDL</w:t>
      </w:r>
      <w:proofErr w:type="spellEnd"/>
      <w:r w:rsidRPr="00E031FA">
        <w:rPr>
          <w:rFonts w:asciiTheme="majorHAnsi" w:hAnsiTheme="majorHAnsi" w:cstheme="majorHAnsi"/>
          <w:lang w:val="ro-MD"/>
        </w:rPr>
        <w:t>)</w:t>
      </w:r>
      <w:r w:rsidR="00FF3AB1" w:rsidRPr="00E031FA">
        <w:rPr>
          <w:rFonts w:asciiTheme="majorHAnsi" w:hAnsiTheme="majorHAnsi" w:cstheme="majorHAnsi"/>
          <w:lang w:val="en-US"/>
        </w:rPr>
        <w:t xml:space="preserve"> </w:t>
      </w:r>
      <w:r w:rsidR="00FF3AB1" w:rsidRPr="00E031FA">
        <w:rPr>
          <w:rFonts w:asciiTheme="majorHAnsi" w:hAnsiTheme="majorHAnsi" w:cstheme="majorHAnsi"/>
          <w:bCs/>
          <w:szCs w:val="28"/>
          <w:lang w:val="ro-MD"/>
        </w:rPr>
        <w:t>(</w:t>
      </w:r>
      <w:r w:rsidR="00FF3AB1" w:rsidRPr="00E031FA">
        <w:rPr>
          <w:rFonts w:asciiTheme="majorHAnsi" w:hAnsiTheme="majorHAnsi" w:cstheme="majorHAnsi"/>
          <w:b/>
          <w:bCs/>
          <w:szCs w:val="28"/>
          <w:lang w:val="ro-MD"/>
        </w:rPr>
        <w:t>pct.4.3.</w:t>
      </w:r>
      <w:r w:rsidR="00FF3AB1" w:rsidRPr="00E031FA">
        <w:rPr>
          <w:rFonts w:asciiTheme="majorHAnsi" w:hAnsiTheme="majorHAnsi" w:cstheme="majorHAnsi"/>
          <w:b/>
          <w:bCs/>
          <w:szCs w:val="28"/>
          <w:lang w:val="en-US"/>
        </w:rPr>
        <w:t>7</w:t>
      </w:r>
      <w:r w:rsidR="00FF3AB1" w:rsidRPr="00E031FA">
        <w:rPr>
          <w:rFonts w:asciiTheme="majorHAnsi" w:hAnsiTheme="majorHAnsi" w:cstheme="majorHAnsi"/>
          <w:bCs/>
          <w:szCs w:val="28"/>
          <w:lang w:val="ro-MD"/>
        </w:rPr>
        <w:t>)</w:t>
      </w:r>
      <w:r w:rsidRPr="00E031FA">
        <w:rPr>
          <w:rFonts w:asciiTheme="majorHAnsi" w:hAnsiTheme="majorHAnsi" w:cstheme="majorHAnsi"/>
          <w:lang w:val="ro-MD"/>
        </w:rPr>
        <w:t>, (iv) abordarea neuniformă privitor la angajarea perso</w:t>
      </w:r>
      <w:r w:rsidR="00457941" w:rsidRPr="00E031FA">
        <w:rPr>
          <w:rFonts w:asciiTheme="majorHAnsi" w:hAnsiTheme="majorHAnsi" w:cstheme="majorHAnsi"/>
          <w:lang w:val="ro-MD"/>
        </w:rPr>
        <w:t>nalului, serviciile de angajare</w:t>
      </w:r>
      <w:r w:rsidRPr="00E031FA">
        <w:rPr>
          <w:rFonts w:asciiTheme="majorHAnsi" w:hAnsiTheme="majorHAnsi" w:cstheme="majorHAnsi"/>
          <w:lang w:val="ro-MD"/>
        </w:rPr>
        <w:t>/</w:t>
      </w:r>
      <w:proofErr w:type="spellStart"/>
      <w:r w:rsidRPr="00E031FA">
        <w:rPr>
          <w:rFonts w:asciiTheme="majorHAnsi" w:hAnsiTheme="majorHAnsi" w:cstheme="majorHAnsi"/>
          <w:lang w:val="ro-MD"/>
        </w:rPr>
        <w:t>recruting</w:t>
      </w:r>
      <w:proofErr w:type="spellEnd"/>
      <w:r w:rsidRPr="00E031FA">
        <w:rPr>
          <w:rFonts w:asciiTheme="majorHAnsi" w:hAnsiTheme="majorHAnsi" w:cstheme="majorHAnsi"/>
          <w:lang w:val="ro-MD"/>
        </w:rPr>
        <w:t xml:space="preserve"> fiind </w:t>
      </w:r>
      <w:proofErr w:type="spellStart"/>
      <w:r w:rsidRPr="00E031FA">
        <w:rPr>
          <w:rFonts w:asciiTheme="majorHAnsi" w:hAnsiTheme="majorHAnsi" w:cstheme="majorHAnsi"/>
          <w:lang w:val="ro-MD"/>
        </w:rPr>
        <w:t>externalizate</w:t>
      </w:r>
      <w:proofErr w:type="spellEnd"/>
      <w:r w:rsidRPr="00E031FA">
        <w:rPr>
          <w:rFonts w:asciiTheme="majorHAnsi" w:hAnsiTheme="majorHAnsi" w:cstheme="majorHAnsi"/>
          <w:lang w:val="ro-MD"/>
        </w:rPr>
        <w:t xml:space="preserve"> unui agent economic </w:t>
      </w:r>
      <w:r w:rsidR="00F61147" w:rsidRPr="00E031FA">
        <w:rPr>
          <w:rFonts w:asciiTheme="majorHAnsi" w:hAnsiTheme="majorHAnsi" w:cstheme="majorHAnsi"/>
          <w:lang w:val="ro-MD"/>
        </w:rPr>
        <w:t>(0,0</w:t>
      </w:r>
      <w:r w:rsidRPr="00E031FA">
        <w:rPr>
          <w:rFonts w:asciiTheme="majorHAnsi" w:hAnsiTheme="majorHAnsi" w:cstheme="majorHAnsi"/>
          <w:lang w:val="ro-MD"/>
        </w:rPr>
        <w:t>3</w:t>
      </w:r>
      <w:r w:rsidR="00F61147" w:rsidRPr="00E031FA">
        <w:rPr>
          <w:rFonts w:asciiTheme="majorHAnsi" w:hAnsiTheme="majorHAnsi" w:cstheme="majorHAnsi"/>
          <w:lang w:val="ro-MD"/>
        </w:rPr>
        <w:t>5</w:t>
      </w:r>
      <w:r w:rsidRPr="00E031FA">
        <w:rPr>
          <w:rFonts w:asciiTheme="majorHAnsi" w:hAnsiTheme="majorHAnsi" w:cstheme="majorHAnsi"/>
          <w:lang w:val="ro-MD"/>
        </w:rPr>
        <w:t xml:space="preserve"> </w:t>
      </w:r>
      <w:proofErr w:type="spellStart"/>
      <w:r w:rsidRPr="00E031FA">
        <w:rPr>
          <w:rFonts w:asciiTheme="majorHAnsi" w:hAnsiTheme="majorHAnsi" w:cstheme="majorHAnsi"/>
          <w:lang w:val="ro-MD"/>
        </w:rPr>
        <w:t>mil.MDL</w:t>
      </w:r>
      <w:proofErr w:type="spellEnd"/>
      <w:r w:rsidRPr="00E031FA">
        <w:rPr>
          <w:rFonts w:asciiTheme="majorHAnsi" w:hAnsiTheme="majorHAnsi" w:cstheme="majorHAnsi"/>
          <w:lang w:val="ro-MD"/>
        </w:rPr>
        <w:t>)</w:t>
      </w:r>
      <w:r w:rsidR="00A72E06" w:rsidRPr="00E031FA">
        <w:rPr>
          <w:rFonts w:asciiTheme="majorHAnsi" w:hAnsiTheme="majorHAnsi" w:cstheme="majorHAnsi"/>
          <w:bCs/>
          <w:szCs w:val="28"/>
          <w:lang w:val="ro-MD"/>
        </w:rPr>
        <w:t xml:space="preserve"> (</w:t>
      </w:r>
      <w:r w:rsidR="00A72E06" w:rsidRPr="00E031FA">
        <w:rPr>
          <w:rFonts w:asciiTheme="majorHAnsi" w:hAnsiTheme="majorHAnsi" w:cstheme="majorHAnsi"/>
          <w:b/>
          <w:bCs/>
          <w:szCs w:val="28"/>
          <w:lang w:val="ro-MD"/>
        </w:rPr>
        <w:t>pct.4.3.</w:t>
      </w:r>
      <w:r w:rsidR="00FF3AB1" w:rsidRPr="00E031FA">
        <w:rPr>
          <w:rFonts w:asciiTheme="majorHAnsi" w:hAnsiTheme="majorHAnsi" w:cstheme="majorHAnsi"/>
          <w:b/>
          <w:bCs/>
          <w:szCs w:val="28"/>
          <w:lang w:val="en-US"/>
        </w:rPr>
        <w:t>3</w:t>
      </w:r>
      <w:r w:rsidR="00A72E06" w:rsidRPr="00E031FA">
        <w:rPr>
          <w:rFonts w:asciiTheme="majorHAnsi" w:hAnsiTheme="majorHAnsi" w:cstheme="majorHAnsi"/>
          <w:bCs/>
          <w:szCs w:val="28"/>
          <w:lang w:val="ro-MD"/>
        </w:rPr>
        <w:t>)</w:t>
      </w:r>
      <w:r w:rsidR="004C688D" w:rsidRPr="00E031FA">
        <w:rPr>
          <w:rFonts w:asciiTheme="majorHAnsi" w:hAnsiTheme="majorHAnsi" w:cstheme="majorHAnsi"/>
          <w:bCs/>
          <w:szCs w:val="28"/>
          <w:lang w:val="ro-MD"/>
        </w:rPr>
        <w:t>;</w:t>
      </w:r>
    </w:p>
    <w:p w:rsidR="00A42CDA" w:rsidRPr="00E031FA" w:rsidRDefault="00053F42" w:rsidP="00A42CDA">
      <w:pPr>
        <w:pStyle w:val="ac"/>
        <w:numPr>
          <w:ilvl w:val="2"/>
          <w:numId w:val="4"/>
        </w:numPr>
        <w:tabs>
          <w:tab w:val="left" w:pos="284"/>
          <w:tab w:val="left" w:pos="567"/>
        </w:tabs>
        <w:ind w:left="0" w:firstLine="567"/>
        <w:rPr>
          <w:rFonts w:asciiTheme="majorHAnsi" w:hAnsiTheme="majorHAnsi" w:cstheme="majorHAnsi"/>
          <w:lang w:val="ro-MD"/>
        </w:rPr>
      </w:pPr>
      <w:r w:rsidRPr="00E031FA">
        <w:rPr>
          <w:rFonts w:asciiTheme="majorHAnsi" w:hAnsiTheme="majorHAnsi" w:cstheme="majorHAnsi"/>
          <w:szCs w:val="28"/>
          <w:lang w:val="ro-MD"/>
        </w:rPr>
        <w:t>neelaborarea</w:t>
      </w:r>
      <w:r w:rsidR="00974C87" w:rsidRPr="00E031FA">
        <w:rPr>
          <w:rFonts w:asciiTheme="majorHAnsi" w:hAnsiTheme="majorHAnsi" w:cstheme="majorHAnsi"/>
          <w:szCs w:val="28"/>
          <w:lang w:val="ro-MD"/>
        </w:rPr>
        <w:t xml:space="preserve"> </w:t>
      </w:r>
      <w:r w:rsidRPr="00E031FA">
        <w:rPr>
          <w:rFonts w:asciiTheme="majorHAnsi" w:hAnsiTheme="majorHAnsi" w:cstheme="majorHAnsi"/>
          <w:szCs w:val="28"/>
          <w:lang w:val="ro-MD"/>
        </w:rPr>
        <w:t>cadrului de reglementare privind</w:t>
      </w:r>
      <w:r w:rsidR="00974C87" w:rsidRPr="00E031FA">
        <w:rPr>
          <w:rFonts w:asciiTheme="majorHAnsi" w:hAnsiTheme="majorHAnsi" w:cstheme="majorHAnsi"/>
          <w:szCs w:val="28"/>
          <w:lang w:val="ro-MD"/>
        </w:rPr>
        <w:t xml:space="preserve"> primirea </w:t>
      </w:r>
      <w:r w:rsidR="00A42CDA" w:rsidRPr="00E031FA">
        <w:rPr>
          <w:rFonts w:asciiTheme="majorHAnsi" w:hAnsiTheme="majorHAnsi" w:cstheme="majorHAnsi"/>
          <w:szCs w:val="28"/>
          <w:lang w:val="ro-MD"/>
        </w:rPr>
        <w:t>delegați</w:t>
      </w:r>
      <w:r w:rsidRPr="00E031FA">
        <w:rPr>
          <w:rFonts w:asciiTheme="majorHAnsi" w:hAnsiTheme="majorHAnsi" w:cstheme="majorHAnsi"/>
          <w:szCs w:val="28"/>
          <w:lang w:val="ro-MD"/>
        </w:rPr>
        <w:t>i</w:t>
      </w:r>
      <w:r w:rsidR="00A42CDA" w:rsidRPr="00E031FA">
        <w:rPr>
          <w:rFonts w:asciiTheme="majorHAnsi" w:hAnsiTheme="majorHAnsi" w:cstheme="majorHAnsi"/>
          <w:szCs w:val="28"/>
          <w:lang w:val="ro-MD"/>
        </w:rPr>
        <w:t>lor</w:t>
      </w:r>
      <w:r w:rsidR="00974C87" w:rsidRPr="00E031FA">
        <w:rPr>
          <w:rFonts w:asciiTheme="majorHAnsi" w:hAnsiTheme="majorHAnsi" w:cstheme="majorHAnsi"/>
          <w:szCs w:val="28"/>
          <w:lang w:val="ro-MD"/>
        </w:rPr>
        <w:t xml:space="preserve"> străine</w:t>
      </w:r>
      <w:r w:rsidRPr="00E031FA">
        <w:rPr>
          <w:rFonts w:asciiTheme="majorHAnsi" w:hAnsiTheme="majorHAnsi" w:cstheme="majorHAnsi"/>
          <w:szCs w:val="28"/>
          <w:lang w:val="ro-MD"/>
        </w:rPr>
        <w:t>,</w:t>
      </w:r>
      <w:r w:rsidR="008D1494" w:rsidRPr="00E031FA">
        <w:rPr>
          <w:rFonts w:asciiTheme="majorHAnsi" w:hAnsiTheme="majorHAnsi" w:cstheme="majorHAnsi"/>
          <w:szCs w:val="28"/>
          <w:lang w:val="ro-MD"/>
        </w:rPr>
        <w:t xml:space="preserve"> precum și</w:t>
      </w:r>
      <w:r w:rsidR="00974C87" w:rsidRPr="00E031FA">
        <w:rPr>
          <w:rFonts w:asciiTheme="majorHAnsi" w:hAnsiTheme="majorHAnsi" w:cstheme="majorHAnsi"/>
          <w:szCs w:val="28"/>
          <w:lang w:val="ro-MD"/>
        </w:rPr>
        <w:t xml:space="preserve"> suporta</w:t>
      </w:r>
      <w:r w:rsidRPr="00E031FA">
        <w:rPr>
          <w:rFonts w:asciiTheme="majorHAnsi" w:hAnsiTheme="majorHAnsi" w:cstheme="majorHAnsi"/>
          <w:szCs w:val="28"/>
          <w:lang w:val="ro-MD"/>
        </w:rPr>
        <w:t>rea</w:t>
      </w:r>
      <w:r w:rsidR="00974C87" w:rsidRPr="00E031FA">
        <w:rPr>
          <w:rFonts w:asciiTheme="majorHAnsi" w:hAnsiTheme="majorHAnsi" w:cstheme="majorHAnsi"/>
          <w:szCs w:val="28"/>
          <w:lang w:val="ro-MD"/>
        </w:rPr>
        <w:t xml:space="preserve"> nejustificat</w:t>
      </w:r>
      <w:r w:rsidRPr="00E031FA">
        <w:rPr>
          <w:rFonts w:asciiTheme="majorHAnsi" w:hAnsiTheme="majorHAnsi" w:cstheme="majorHAnsi"/>
          <w:szCs w:val="28"/>
          <w:lang w:val="ro-MD"/>
        </w:rPr>
        <w:t>ă</w:t>
      </w:r>
      <w:r w:rsidR="00974C87" w:rsidRPr="00E031FA">
        <w:rPr>
          <w:rFonts w:asciiTheme="majorHAnsi" w:hAnsiTheme="majorHAnsi" w:cstheme="majorHAnsi"/>
          <w:szCs w:val="28"/>
          <w:lang w:val="ro-MD"/>
        </w:rPr>
        <w:t xml:space="preserve"> </w:t>
      </w:r>
      <w:r w:rsidRPr="00E031FA">
        <w:rPr>
          <w:rFonts w:asciiTheme="majorHAnsi" w:hAnsiTheme="majorHAnsi" w:cstheme="majorHAnsi"/>
          <w:szCs w:val="28"/>
          <w:lang w:val="ro-MD"/>
        </w:rPr>
        <w:t xml:space="preserve">a </w:t>
      </w:r>
      <w:r w:rsidR="00974C87" w:rsidRPr="00E031FA">
        <w:rPr>
          <w:rFonts w:asciiTheme="majorHAnsi" w:hAnsiTheme="majorHAnsi" w:cstheme="majorHAnsi"/>
          <w:szCs w:val="28"/>
          <w:lang w:val="ro-MD"/>
        </w:rPr>
        <w:t>un</w:t>
      </w:r>
      <w:r w:rsidRPr="00E031FA">
        <w:rPr>
          <w:rFonts w:asciiTheme="majorHAnsi" w:hAnsiTheme="majorHAnsi" w:cstheme="majorHAnsi"/>
          <w:szCs w:val="28"/>
          <w:lang w:val="ro-MD"/>
        </w:rPr>
        <w:t>or</w:t>
      </w:r>
      <w:r w:rsidR="00974C87" w:rsidRPr="00E031FA">
        <w:rPr>
          <w:rFonts w:asciiTheme="majorHAnsi" w:hAnsiTheme="majorHAnsi" w:cstheme="majorHAnsi"/>
          <w:szCs w:val="28"/>
          <w:lang w:val="ro-MD"/>
        </w:rPr>
        <w:t xml:space="preserve"> cheltuieli privind primirea şi deservirea delegațiilor şi persoanelor oficiale străine </w:t>
      </w:r>
      <w:r w:rsidRPr="00E031FA">
        <w:rPr>
          <w:rFonts w:asciiTheme="majorHAnsi" w:hAnsiTheme="majorHAnsi" w:cstheme="majorHAnsi"/>
          <w:szCs w:val="28"/>
          <w:lang w:val="ro-MD"/>
        </w:rPr>
        <w:t xml:space="preserve">au limitat </w:t>
      </w:r>
      <w:r w:rsidR="00974C87" w:rsidRPr="00E031FA">
        <w:rPr>
          <w:rFonts w:asciiTheme="majorHAnsi" w:hAnsiTheme="majorHAnsi" w:cstheme="majorHAnsi"/>
          <w:szCs w:val="28"/>
          <w:lang w:val="ro-MD"/>
        </w:rPr>
        <w:t>auditul în obținerea probelor de audit suficiente și a</w:t>
      </w:r>
      <w:r w:rsidR="00A42CDA" w:rsidRPr="00E031FA">
        <w:rPr>
          <w:rFonts w:asciiTheme="majorHAnsi" w:hAnsiTheme="majorHAnsi" w:cstheme="majorHAnsi"/>
          <w:szCs w:val="28"/>
          <w:lang w:val="ro-MD"/>
        </w:rPr>
        <w:t>d</w:t>
      </w:r>
      <w:r w:rsidR="00974C87" w:rsidRPr="00E031FA">
        <w:rPr>
          <w:rFonts w:asciiTheme="majorHAnsi" w:hAnsiTheme="majorHAnsi" w:cstheme="majorHAnsi"/>
          <w:szCs w:val="28"/>
          <w:lang w:val="ro-MD"/>
        </w:rPr>
        <w:t xml:space="preserve">ecvate privitor la </w:t>
      </w:r>
      <w:r w:rsidR="00A42CDA" w:rsidRPr="00E031FA">
        <w:rPr>
          <w:rFonts w:asciiTheme="majorHAnsi" w:hAnsiTheme="majorHAnsi" w:cstheme="majorHAnsi"/>
          <w:szCs w:val="28"/>
          <w:lang w:val="ro-MD"/>
        </w:rPr>
        <w:t>conformi</w:t>
      </w:r>
      <w:r w:rsidR="00A42CDA" w:rsidRPr="002751FC">
        <w:rPr>
          <w:rFonts w:asciiTheme="majorHAnsi" w:hAnsiTheme="majorHAnsi" w:cstheme="majorHAnsi"/>
          <w:szCs w:val="28"/>
          <w:lang w:val="ro-MD"/>
        </w:rPr>
        <w:t>tatea</w:t>
      </w:r>
      <w:r w:rsidR="00974C87" w:rsidRPr="002751FC">
        <w:rPr>
          <w:rFonts w:asciiTheme="majorHAnsi" w:hAnsiTheme="majorHAnsi" w:cstheme="majorHAnsi"/>
          <w:szCs w:val="28"/>
          <w:lang w:val="ro-MD"/>
        </w:rPr>
        <w:t xml:space="preserve"> efectuării cheltuielilor </w:t>
      </w:r>
      <w:r w:rsidR="00A42CDA" w:rsidRPr="002751FC">
        <w:rPr>
          <w:rFonts w:asciiTheme="majorHAnsi" w:hAnsiTheme="majorHAnsi" w:cstheme="majorHAnsi"/>
          <w:szCs w:val="28"/>
          <w:lang w:val="ro-MD"/>
        </w:rPr>
        <w:t>î</w:t>
      </w:r>
      <w:r w:rsidR="00974C87" w:rsidRPr="002751FC">
        <w:rPr>
          <w:rFonts w:asciiTheme="majorHAnsi" w:hAnsiTheme="majorHAnsi" w:cstheme="majorHAnsi"/>
          <w:szCs w:val="28"/>
          <w:lang w:val="ro-MD"/>
        </w:rPr>
        <w:t xml:space="preserve">n valoare de </w:t>
      </w:r>
      <w:r w:rsidR="00974C87" w:rsidRPr="002751FC">
        <w:rPr>
          <w:rFonts w:asciiTheme="majorHAnsi" w:hAnsiTheme="majorHAnsi" w:cstheme="majorHAnsi"/>
          <w:b/>
          <w:szCs w:val="28"/>
          <w:lang w:val="ro-MD"/>
        </w:rPr>
        <w:t xml:space="preserve">0,7 </w:t>
      </w:r>
      <w:proofErr w:type="spellStart"/>
      <w:r w:rsidR="00974C87" w:rsidRPr="002751FC">
        <w:rPr>
          <w:rFonts w:asciiTheme="majorHAnsi" w:hAnsiTheme="majorHAnsi" w:cstheme="majorHAnsi"/>
          <w:b/>
          <w:szCs w:val="28"/>
          <w:lang w:val="ro-MD"/>
        </w:rPr>
        <w:t>mil.MDL</w:t>
      </w:r>
      <w:proofErr w:type="spellEnd"/>
      <w:r w:rsidR="00AB5223" w:rsidRPr="002751FC">
        <w:rPr>
          <w:rFonts w:asciiTheme="majorHAnsi" w:hAnsiTheme="majorHAnsi" w:cstheme="majorHAnsi"/>
          <w:b/>
          <w:szCs w:val="28"/>
          <w:lang w:val="ro-MD"/>
        </w:rPr>
        <w:t xml:space="preserve"> </w:t>
      </w:r>
      <w:r w:rsidR="00AB5223" w:rsidRPr="00E031FA">
        <w:rPr>
          <w:rFonts w:asciiTheme="majorHAnsi" w:hAnsiTheme="majorHAnsi" w:cstheme="majorHAnsi"/>
          <w:bCs/>
          <w:szCs w:val="28"/>
          <w:lang w:val="ro-MD"/>
        </w:rPr>
        <w:t>(</w:t>
      </w:r>
      <w:r w:rsidR="00AB5223" w:rsidRPr="00E031FA">
        <w:rPr>
          <w:rFonts w:asciiTheme="majorHAnsi" w:hAnsiTheme="majorHAnsi" w:cstheme="majorHAnsi"/>
          <w:b/>
          <w:bCs/>
          <w:szCs w:val="28"/>
          <w:lang w:val="ro-MD"/>
        </w:rPr>
        <w:t>pct.4.3.</w:t>
      </w:r>
      <w:r w:rsidR="00E305AA" w:rsidRPr="00E031FA">
        <w:rPr>
          <w:rFonts w:asciiTheme="majorHAnsi" w:hAnsiTheme="majorHAnsi" w:cstheme="majorHAnsi"/>
          <w:b/>
          <w:bCs/>
          <w:szCs w:val="28"/>
          <w:lang w:val="en-US"/>
        </w:rPr>
        <w:t>8</w:t>
      </w:r>
      <w:r w:rsidR="00AB5223" w:rsidRPr="00E031FA">
        <w:rPr>
          <w:rFonts w:asciiTheme="majorHAnsi" w:hAnsiTheme="majorHAnsi" w:cstheme="majorHAnsi"/>
          <w:bCs/>
          <w:szCs w:val="28"/>
          <w:lang w:val="ro-MD"/>
        </w:rPr>
        <w:t>)</w:t>
      </w:r>
      <w:r w:rsidRPr="00E031FA">
        <w:rPr>
          <w:rFonts w:asciiTheme="majorHAnsi" w:hAnsiTheme="majorHAnsi" w:cstheme="majorHAnsi"/>
          <w:bCs/>
          <w:szCs w:val="28"/>
          <w:lang w:val="ro-MD"/>
        </w:rPr>
        <w:t>;</w:t>
      </w:r>
    </w:p>
    <w:p w:rsidR="00974C87" w:rsidRPr="002751FC" w:rsidRDefault="00974C87" w:rsidP="00A42CDA">
      <w:pPr>
        <w:pStyle w:val="ac"/>
        <w:numPr>
          <w:ilvl w:val="2"/>
          <w:numId w:val="4"/>
        </w:numPr>
        <w:tabs>
          <w:tab w:val="left" w:pos="284"/>
          <w:tab w:val="left" w:pos="567"/>
        </w:tabs>
        <w:ind w:left="0" w:firstLine="567"/>
        <w:rPr>
          <w:rFonts w:asciiTheme="majorHAnsi" w:hAnsiTheme="majorHAnsi" w:cstheme="majorHAnsi"/>
          <w:lang w:val="ro-MD"/>
        </w:rPr>
      </w:pPr>
      <w:r w:rsidRPr="002751FC">
        <w:rPr>
          <w:rFonts w:asciiTheme="majorHAnsi" w:hAnsiTheme="majorHAnsi" w:cstheme="majorHAnsi"/>
          <w:szCs w:val="28"/>
          <w:lang w:val="ro-MD"/>
        </w:rPr>
        <w:t>CC a adoptat u</w:t>
      </w:r>
      <w:r w:rsidR="00AB5223" w:rsidRPr="002751FC">
        <w:rPr>
          <w:rFonts w:asciiTheme="majorHAnsi" w:hAnsiTheme="majorHAnsi" w:cstheme="majorHAnsi"/>
          <w:szCs w:val="28"/>
          <w:lang w:val="ro-MD"/>
        </w:rPr>
        <w:t xml:space="preserve">nele decizii în lipsă de cvorum </w:t>
      </w:r>
      <w:r w:rsidR="00AB5223" w:rsidRPr="002751FC">
        <w:rPr>
          <w:rFonts w:asciiTheme="majorHAnsi" w:hAnsiTheme="majorHAnsi" w:cstheme="majorHAnsi"/>
          <w:bCs/>
          <w:szCs w:val="28"/>
          <w:lang w:val="ro-MD"/>
        </w:rPr>
        <w:t>(</w:t>
      </w:r>
      <w:r w:rsidR="00AB5223" w:rsidRPr="002751FC">
        <w:rPr>
          <w:rFonts w:asciiTheme="majorHAnsi" w:hAnsiTheme="majorHAnsi" w:cstheme="majorHAnsi"/>
          <w:b/>
          <w:bCs/>
          <w:szCs w:val="28"/>
          <w:lang w:val="ro-MD"/>
        </w:rPr>
        <w:t>pct.4.2.1</w:t>
      </w:r>
      <w:r w:rsidR="00AB5223" w:rsidRPr="002751FC">
        <w:rPr>
          <w:rFonts w:asciiTheme="majorHAnsi" w:hAnsiTheme="majorHAnsi" w:cstheme="majorHAnsi"/>
          <w:bCs/>
          <w:szCs w:val="28"/>
          <w:lang w:val="ro-MD"/>
        </w:rPr>
        <w:t>)</w:t>
      </w:r>
      <w:r w:rsidR="00A3726A" w:rsidRPr="002751FC">
        <w:rPr>
          <w:rFonts w:asciiTheme="majorHAnsi" w:hAnsiTheme="majorHAnsi" w:cstheme="majorHAnsi"/>
          <w:bCs/>
          <w:szCs w:val="28"/>
          <w:lang w:val="ro-MD"/>
        </w:rPr>
        <w:t>;</w:t>
      </w:r>
    </w:p>
    <w:p w:rsidR="00974C87" w:rsidRPr="002751FC" w:rsidRDefault="00974C87" w:rsidP="00974C87">
      <w:pPr>
        <w:pStyle w:val="ac"/>
        <w:numPr>
          <w:ilvl w:val="2"/>
          <w:numId w:val="33"/>
        </w:numPr>
        <w:spacing w:line="276" w:lineRule="auto"/>
        <w:ind w:left="0" w:firstLine="567"/>
        <w:rPr>
          <w:rFonts w:asciiTheme="majorHAnsi" w:hAnsiTheme="majorHAnsi" w:cstheme="majorHAnsi"/>
          <w:szCs w:val="28"/>
          <w:lang w:val="ro-MD"/>
        </w:rPr>
      </w:pPr>
      <w:r w:rsidRPr="002751FC">
        <w:rPr>
          <w:rFonts w:asciiTheme="majorHAnsi" w:hAnsiTheme="majorHAnsi" w:cstheme="majorHAnsi"/>
          <w:szCs w:val="28"/>
          <w:lang w:val="ro-MD"/>
        </w:rPr>
        <w:lastRenderedPageBreak/>
        <w:t>carențe</w:t>
      </w:r>
      <w:r w:rsidR="00270879" w:rsidRPr="002751FC">
        <w:rPr>
          <w:rFonts w:asciiTheme="majorHAnsi" w:hAnsiTheme="majorHAnsi" w:cstheme="majorHAnsi"/>
          <w:szCs w:val="28"/>
          <w:lang w:val="ro-MD"/>
        </w:rPr>
        <w:t>le</w:t>
      </w:r>
      <w:r w:rsidRPr="002751FC">
        <w:rPr>
          <w:rFonts w:asciiTheme="majorHAnsi" w:hAnsiTheme="majorHAnsi" w:cstheme="majorHAnsi"/>
          <w:szCs w:val="28"/>
          <w:lang w:val="ro-MD"/>
        </w:rPr>
        <w:t xml:space="preserve"> cadrului legal</w:t>
      </w:r>
      <w:r w:rsidR="00457941" w:rsidRPr="002751FC">
        <w:rPr>
          <w:rFonts w:asciiTheme="majorHAnsi" w:hAnsiTheme="majorHAnsi" w:cstheme="majorHAnsi"/>
          <w:szCs w:val="28"/>
          <w:lang w:val="ro-MD"/>
        </w:rPr>
        <w:t xml:space="preserve"> ce vizează componența Consiliului</w:t>
      </w:r>
      <w:r w:rsidRPr="002751FC">
        <w:rPr>
          <w:rFonts w:asciiTheme="majorHAnsi" w:hAnsiTheme="majorHAnsi" w:cstheme="majorHAnsi"/>
          <w:szCs w:val="28"/>
          <w:lang w:val="ro-MD"/>
        </w:rPr>
        <w:t xml:space="preserve"> au condiționat imposibilitatea desemnării tuturor membril</w:t>
      </w:r>
      <w:r w:rsidR="001C1356" w:rsidRPr="002751FC">
        <w:rPr>
          <w:rFonts w:asciiTheme="majorHAnsi" w:hAnsiTheme="majorHAnsi" w:cstheme="majorHAnsi"/>
          <w:szCs w:val="28"/>
          <w:lang w:val="ro-MD"/>
        </w:rPr>
        <w:t xml:space="preserve">or în </w:t>
      </w:r>
      <w:r w:rsidR="006F13BD" w:rsidRPr="002751FC">
        <w:rPr>
          <w:rFonts w:asciiTheme="majorHAnsi" w:hAnsiTheme="majorHAnsi" w:cstheme="majorHAnsi"/>
          <w:szCs w:val="28"/>
          <w:lang w:val="ro-MD"/>
        </w:rPr>
        <w:t>CC</w:t>
      </w:r>
      <w:r w:rsidR="001C1356" w:rsidRPr="002751FC">
        <w:rPr>
          <w:rFonts w:asciiTheme="majorHAnsi" w:hAnsiTheme="majorHAnsi" w:cstheme="majorHAnsi"/>
          <w:szCs w:val="28"/>
          <w:lang w:val="ro-MD"/>
        </w:rPr>
        <w:t xml:space="preserve">, </w:t>
      </w:r>
      <w:r w:rsidR="00A3726A" w:rsidRPr="002751FC">
        <w:rPr>
          <w:rFonts w:asciiTheme="majorHAnsi" w:hAnsiTheme="majorHAnsi" w:cstheme="majorHAnsi"/>
          <w:szCs w:val="28"/>
          <w:lang w:val="ro-MD"/>
        </w:rPr>
        <w:t>având în vedere</w:t>
      </w:r>
      <w:r w:rsidR="001C1356" w:rsidRPr="002751FC">
        <w:rPr>
          <w:rFonts w:asciiTheme="majorHAnsi" w:hAnsiTheme="majorHAnsi" w:cstheme="majorHAnsi"/>
          <w:szCs w:val="28"/>
          <w:lang w:val="ro-MD"/>
        </w:rPr>
        <w:t xml:space="preserve"> faptul că </w:t>
      </w:r>
      <w:r w:rsidRPr="002751FC">
        <w:rPr>
          <w:rFonts w:asciiTheme="majorHAnsi" w:hAnsiTheme="majorHAnsi" w:cstheme="majorHAnsi"/>
          <w:szCs w:val="28"/>
          <w:lang w:val="ro-MD"/>
        </w:rPr>
        <w:t>Asociația producătorilor de vinuri cu IGP „Bălți” n</w:t>
      </w:r>
      <w:r w:rsidR="006F13BD" w:rsidRPr="002751FC">
        <w:rPr>
          <w:rFonts w:asciiTheme="majorHAnsi" w:hAnsiTheme="majorHAnsi" w:cstheme="majorHAnsi"/>
          <w:szCs w:val="28"/>
          <w:lang w:val="ro-MD"/>
        </w:rPr>
        <w:t>u a fost</w:t>
      </w:r>
      <w:r w:rsidRPr="002751FC">
        <w:rPr>
          <w:rFonts w:asciiTheme="majorHAnsi" w:hAnsiTheme="majorHAnsi" w:cstheme="majorHAnsi"/>
          <w:szCs w:val="28"/>
          <w:lang w:val="ro-MD"/>
        </w:rPr>
        <w:t xml:space="preserve"> creată p</w:t>
      </w:r>
      <w:r w:rsidR="001C1356" w:rsidRPr="002751FC">
        <w:rPr>
          <w:rFonts w:asciiTheme="majorHAnsi" w:hAnsiTheme="majorHAnsi" w:cstheme="majorHAnsi"/>
          <w:szCs w:val="28"/>
          <w:lang w:val="ro-MD"/>
        </w:rPr>
        <w:t>â</w:t>
      </w:r>
      <w:r w:rsidRPr="002751FC">
        <w:rPr>
          <w:rFonts w:asciiTheme="majorHAnsi" w:hAnsiTheme="majorHAnsi" w:cstheme="majorHAnsi"/>
          <w:szCs w:val="28"/>
          <w:lang w:val="ro-MD"/>
        </w:rPr>
        <w:t>n</w:t>
      </w:r>
      <w:r w:rsidR="001C1356" w:rsidRPr="002751FC">
        <w:rPr>
          <w:rFonts w:asciiTheme="majorHAnsi" w:hAnsiTheme="majorHAnsi" w:cstheme="majorHAnsi"/>
          <w:szCs w:val="28"/>
          <w:lang w:val="ro-MD"/>
        </w:rPr>
        <w:t>ă</w:t>
      </w:r>
      <w:r w:rsidRPr="002751FC">
        <w:rPr>
          <w:rFonts w:asciiTheme="majorHAnsi" w:hAnsiTheme="majorHAnsi" w:cstheme="majorHAnsi"/>
          <w:szCs w:val="28"/>
          <w:lang w:val="ro-MD"/>
        </w:rPr>
        <w:t xml:space="preserve"> în prezent, CC fiind compus din 12 membri în loc </w:t>
      </w:r>
      <w:r w:rsidR="00A3726A" w:rsidRPr="002751FC">
        <w:rPr>
          <w:rFonts w:asciiTheme="majorHAnsi" w:hAnsiTheme="majorHAnsi" w:cstheme="majorHAnsi"/>
          <w:szCs w:val="28"/>
          <w:lang w:val="ro-MD"/>
        </w:rPr>
        <w:t>d</w:t>
      </w:r>
      <w:r w:rsidRPr="002751FC">
        <w:rPr>
          <w:rFonts w:asciiTheme="majorHAnsi" w:hAnsiTheme="majorHAnsi" w:cstheme="majorHAnsi"/>
          <w:szCs w:val="28"/>
          <w:lang w:val="ro-MD"/>
        </w:rPr>
        <w:t>e 13</w:t>
      </w:r>
      <w:r w:rsidR="00681216">
        <w:rPr>
          <w:rFonts w:asciiTheme="majorHAnsi" w:hAnsiTheme="majorHAnsi" w:cstheme="majorHAnsi"/>
          <w:szCs w:val="28"/>
          <w:lang w:val="ro-MD"/>
        </w:rPr>
        <w:t>,</w:t>
      </w:r>
      <w:r w:rsidRPr="002751FC">
        <w:rPr>
          <w:rFonts w:asciiTheme="majorHAnsi" w:hAnsiTheme="majorHAnsi" w:cstheme="majorHAnsi"/>
          <w:szCs w:val="28"/>
          <w:lang w:val="ro-MD"/>
        </w:rPr>
        <w:t xml:space="preserve"> cum prevede norma legală</w:t>
      </w:r>
      <w:r w:rsidR="00E13BE6" w:rsidRPr="002751FC">
        <w:rPr>
          <w:rFonts w:asciiTheme="majorHAnsi" w:hAnsiTheme="majorHAnsi" w:cstheme="majorHAnsi"/>
          <w:szCs w:val="28"/>
          <w:lang w:val="ro-MD"/>
        </w:rPr>
        <w:t xml:space="preserve"> </w:t>
      </w:r>
      <w:r w:rsidR="00E13BE6" w:rsidRPr="002751FC">
        <w:rPr>
          <w:rFonts w:asciiTheme="majorHAnsi" w:hAnsiTheme="majorHAnsi" w:cstheme="majorHAnsi"/>
          <w:bCs/>
          <w:szCs w:val="28"/>
          <w:lang w:val="ro-MD"/>
        </w:rPr>
        <w:t>(</w:t>
      </w:r>
      <w:r w:rsidR="00E13BE6" w:rsidRPr="002751FC">
        <w:rPr>
          <w:rFonts w:asciiTheme="majorHAnsi" w:hAnsiTheme="majorHAnsi" w:cstheme="majorHAnsi"/>
          <w:b/>
          <w:bCs/>
          <w:szCs w:val="28"/>
          <w:lang w:val="ro-MD"/>
        </w:rPr>
        <w:t>pct.4.2.2</w:t>
      </w:r>
      <w:r w:rsidR="00E13BE6" w:rsidRPr="002751FC">
        <w:rPr>
          <w:rFonts w:asciiTheme="majorHAnsi" w:hAnsiTheme="majorHAnsi" w:cstheme="majorHAnsi"/>
          <w:bCs/>
          <w:szCs w:val="28"/>
          <w:lang w:val="ro-MD"/>
        </w:rPr>
        <w:t>)</w:t>
      </w:r>
      <w:r w:rsidR="00A3726A" w:rsidRPr="002751FC">
        <w:rPr>
          <w:rFonts w:asciiTheme="majorHAnsi" w:hAnsiTheme="majorHAnsi" w:cstheme="majorHAnsi"/>
          <w:szCs w:val="28"/>
          <w:lang w:val="ro-MD"/>
        </w:rPr>
        <w:t>;</w:t>
      </w:r>
    </w:p>
    <w:p w:rsidR="00974C87" w:rsidRPr="002751FC" w:rsidRDefault="006F13BD" w:rsidP="00974C87">
      <w:pPr>
        <w:pStyle w:val="ac"/>
        <w:numPr>
          <w:ilvl w:val="0"/>
          <w:numId w:val="38"/>
        </w:numPr>
        <w:ind w:left="0" w:firstLine="567"/>
        <w:rPr>
          <w:rFonts w:asciiTheme="majorHAnsi" w:hAnsiTheme="majorHAnsi" w:cstheme="majorHAnsi"/>
          <w:szCs w:val="28"/>
          <w:lang w:val="ro-MD"/>
        </w:rPr>
      </w:pPr>
      <w:r w:rsidRPr="002751FC">
        <w:rPr>
          <w:rFonts w:asciiTheme="majorHAnsi" w:hAnsiTheme="majorHAnsi" w:cstheme="majorHAnsi"/>
          <w:szCs w:val="28"/>
          <w:lang w:val="ro-MD"/>
        </w:rPr>
        <w:t xml:space="preserve">imperfecțiunea mecanismului de </w:t>
      </w:r>
      <w:r w:rsidR="00974C87" w:rsidRPr="002751FC">
        <w:rPr>
          <w:rFonts w:asciiTheme="majorHAnsi" w:hAnsiTheme="majorHAnsi" w:cstheme="majorHAnsi"/>
          <w:szCs w:val="28"/>
          <w:lang w:val="ro-MD"/>
        </w:rPr>
        <w:t>gestionare, colectare și evidență a c</w:t>
      </w:r>
      <w:r w:rsidRPr="002751FC">
        <w:rPr>
          <w:rFonts w:asciiTheme="majorHAnsi" w:hAnsiTheme="majorHAnsi" w:cstheme="majorHAnsi"/>
          <w:szCs w:val="28"/>
          <w:lang w:val="ro-MD"/>
        </w:rPr>
        <w:t xml:space="preserve">ontribuțiilor și penalităților </w:t>
      </w:r>
      <w:r w:rsidR="00974C87" w:rsidRPr="002751FC">
        <w:rPr>
          <w:rFonts w:asciiTheme="majorHAnsi" w:hAnsiTheme="majorHAnsi" w:cstheme="majorHAnsi"/>
          <w:szCs w:val="28"/>
          <w:lang w:val="ro-MD"/>
        </w:rPr>
        <w:t>în FVV, precum și urmărirea datoriilor către Fond stabilite de actualul cadru normativ a</w:t>
      </w:r>
      <w:r w:rsidR="00681216">
        <w:rPr>
          <w:rFonts w:asciiTheme="majorHAnsi" w:hAnsiTheme="majorHAnsi" w:cstheme="majorHAnsi"/>
          <w:szCs w:val="28"/>
          <w:lang w:val="ro-MD"/>
        </w:rPr>
        <w:t>u</w:t>
      </w:r>
      <w:r w:rsidR="00974C87" w:rsidRPr="002751FC">
        <w:rPr>
          <w:rFonts w:asciiTheme="majorHAnsi" w:hAnsiTheme="majorHAnsi" w:cstheme="majorHAnsi"/>
          <w:szCs w:val="28"/>
          <w:lang w:val="ro-MD"/>
        </w:rPr>
        <w:t xml:space="preserve"> </w:t>
      </w:r>
      <w:r w:rsidR="00A3726A" w:rsidRPr="002751FC">
        <w:rPr>
          <w:rFonts w:asciiTheme="majorHAnsi" w:hAnsiTheme="majorHAnsi" w:cstheme="majorHAnsi"/>
          <w:szCs w:val="28"/>
          <w:lang w:val="ro-MD"/>
        </w:rPr>
        <w:t>determinat</w:t>
      </w:r>
      <w:r w:rsidR="00974C87" w:rsidRPr="002751FC">
        <w:rPr>
          <w:rFonts w:asciiTheme="majorHAnsi" w:hAnsiTheme="majorHAnsi" w:cstheme="majorHAnsi"/>
          <w:szCs w:val="28"/>
          <w:lang w:val="ro-MD"/>
        </w:rPr>
        <w:t xml:space="preserve"> faptul că acestea</w:t>
      </w:r>
      <w:r w:rsidR="00A3726A" w:rsidRPr="002751FC">
        <w:rPr>
          <w:rFonts w:asciiTheme="majorHAnsi" w:hAnsiTheme="majorHAnsi" w:cstheme="majorHAnsi"/>
          <w:szCs w:val="28"/>
          <w:lang w:val="ro-MD"/>
        </w:rPr>
        <w:t>,</w:t>
      </w:r>
      <w:r w:rsidR="00974C87" w:rsidRPr="002751FC">
        <w:rPr>
          <w:rFonts w:asciiTheme="majorHAnsi" w:hAnsiTheme="majorHAnsi" w:cstheme="majorHAnsi"/>
          <w:szCs w:val="28"/>
          <w:lang w:val="ro-MD"/>
        </w:rPr>
        <w:t xml:space="preserve"> pe parcursul mai multor ani</w:t>
      </w:r>
      <w:r w:rsidR="00A3726A" w:rsidRPr="002751FC">
        <w:rPr>
          <w:rFonts w:asciiTheme="majorHAnsi" w:hAnsiTheme="majorHAnsi" w:cstheme="majorHAnsi"/>
          <w:szCs w:val="28"/>
          <w:lang w:val="ro-MD"/>
        </w:rPr>
        <w:t>,</w:t>
      </w:r>
      <w:r w:rsidR="00974C87" w:rsidRPr="002751FC">
        <w:rPr>
          <w:rFonts w:asciiTheme="majorHAnsi" w:hAnsiTheme="majorHAnsi" w:cstheme="majorHAnsi"/>
          <w:szCs w:val="28"/>
          <w:lang w:val="ro-MD"/>
        </w:rPr>
        <w:t xml:space="preserve"> au fost gestionate </w:t>
      </w:r>
      <w:r w:rsidRPr="002751FC">
        <w:rPr>
          <w:rFonts w:asciiTheme="majorHAnsi" w:hAnsiTheme="majorHAnsi" w:cstheme="majorHAnsi"/>
          <w:szCs w:val="28"/>
          <w:lang w:val="ro-MD"/>
        </w:rPr>
        <w:t>segmentat</w:t>
      </w:r>
      <w:r w:rsidR="00974C87" w:rsidRPr="002751FC">
        <w:rPr>
          <w:rFonts w:asciiTheme="majorHAnsi" w:hAnsiTheme="majorHAnsi" w:cstheme="majorHAnsi"/>
          <w:szCs w:val="28"/>
          <w:lang w:val="ro-MD"/>
        </w:rPr>
        <w:t xml:space="preserve"> de diferiți actori, nefiind întreprinse măsuri suficiente pentru colectarea restanțelor față de FVV, care la fin</w:t>
      </w:r>
      <w:r w:rsidRPr="002751FC">
        <w:rPr>
          <w:rFonts w:asciiTheme="majorHAnsi" w:hAnsiTheme="majorHAnsi" w:cstheme="majorHAnsi"/>
          <w:szCs w:val="28"/>
          <w:lang w:val="ro-MD"/>
        </w:rPr>
        <w:t>e</w:t>
      </w:r>
      <w:r w:rsidR="00974C87" w:rsidRPr="002751FC">
        <w:rPr>
          <w:rFonts w:asciiTheme="majorHAnsi" w:hAnsiTheme="majorHAnsi" w:cstheme="majorHAnsi"/>
          <w:szCs w:val="28"/>
          <w:lang w:val="ro-MD"/>
        </w:rPr>
        <w:t>le anului 2018, conform datelor evidenței ONVV</w:t>
      </w:r>
      <w:r w:rsidR="00A3726A" w:rsidRPr="002751FC">
        <w:rPr>
          <w:rFonts w:asciiTheme="majorHAnsi" w:hAnsiTheme="majorHAnsi" w:cstheme="majorHAnsi"/>
          <w:szCs w:val="28"/>
          <w:lang w:val="ro-MD"/>
        </w:rPr>
        <w:t>,</w:t>
      </w:r>
      <w:r w:rsidR="00974C87" w:rsidRPr="002751FC">
        <w:rPr>
          <w:rFonts w:asciiTheme="majorHAnsi" w:hAnsiTheme="majorHAnsi" w:cstheme="majorHAnsi"/>
          <w:szCs w:val="28"/>
          <w:lang w:val="ro-MD"/>
        </w:rPr>
        <w:t xml:space="preserve"> au constituit </w:t>
      </w:r>
      <w:r w:rsidR="00974C87" w:rsidRPr="002751FC">
        <w:rPr>
          <w:rFonts w:asciiTheme="majorHAnsi" w:hAnsiTheme="majorHAnsi" w:cstheme="majorHAnsi"/>
          <w:b/>
          <w:szCs w:val="28"/>
          <w:lang w:val="ro-MD"/>
        </w:rPr>
        <w:t xml:space="preserve">21,0 </w:t>
      </w:r>
      <w:proofErr w:type="spellStart"/>
      <w:r w:rsidR="00974C87" w:rsidRPr="002751FC">
        <w:rPr>
          <w:rFonts w:asciiTheme="majorHAnsi" w:hAnsiTheme="majorHAnsi" w:cstheme="majorHAnsi"/>
          <w:b/>
          <w:szCs w:val="28"/>
          <w:lang w:val="ro-MD"/>
        </w:rPr>
        <w:t>mil.MDL</w:t>
      </w:r>
      <w:proofErr w:type="spellEnd"/>
      <w:r w:rsidR="00BA0A66" w:rsidRPr="002751FC">
        <w:rPr>
          <w:rFonts w:asciiTheme="majorHAnsi" w:hAnsiTheme="majorHAnsi" w:cstheme="majorHAnsi"/>
          <w:szCs w:val="28"/>
          <w:lang w:val="ro-MD"/>
        </w:rPr>
        <w:t xml:space="preserve"> </w:t>
      </w:r>
      <w:r w:rsidR="00BA0A66" w:rsidRPr="002751FC">
        <w:rPr>
          <w:rFonts w:asciiTheme="majorHAnsi" w:hAnsiTheme="majorHAnsi" w:cstheme="majorHAnsi"/>
          <w:bCs/>
          <w:szCs w:val="28"/>
          <w:lang w:val="ro-MD"/>
        </w:rPr>
        <w:t>(</w:t>
      </w:r>
      <w:r w:rsidR="00BA0A66" w:rsidRPr="002751FC">
        <w:rPr>
          <w:rFonts w:asciiTheme="majorHAnsi" w:hAnsiTheme="majorHAnsi" w:cstheme="majorHAnsi"/>
          <w:b/>
          <w:bCs/>
          <w:szCs w:val="28"/>
          <w:lang w:val="ro-MD"/>
        </w:rPr>
        <w:t>pct.4.4.3</w:t>
      </w:r>
      <w:r w:rsidR="00BA0A66" w:rsidRPr="002751FC">
        <w:rPr>
          <w:rFonts w:asciiTheme="majorHAnsi" w:hAnsiTheme="majorHAnsi" w:cstheme="majorHAnsi"/>
          <w:bCs/>
          <w:szCs w:val="28"/>
          <w:lang w:val="ro-MD"/>
        </w:rPr>
        <w:t>)</w:t>
      </w:r>
      <w:r w:rsidR="00A3726A" w:rsidRPr="002751FC">
        <w:rPr>
          <w:rFonts w:asciiTheme="majorHAnsi" w:hAnsiTheme="majorHAnsi" w:cstheme="majorHAnsi"/>
          <w:bCs/>
          <w:szCs w:val="28"/>
          <w:lang w:val="ro-MD"/>
        </w:rPr>
        <w:t>;</w:t>
      </w:r>
    </w:p>
    <w:p w:rsidR="00974C87" w:rsidRPr="002751FC" w:rsidRDefault="00974C87" w:rsidP="005C5925">
      <w:pPr>
        <w:pStyle w:val="ac"/>
        <w:numPr>
          <w:ilvl w:val="0"/>
          <w:numId w:val="39"/>
        </w:numPr>
        <w:ind w:left="0" w:firstLine="567"/>
        <w:rPr>
          <w:rFonts w:asciiTheme="majorHAnsi" w:hAnsiTheme="majorHAnsi" w:cstheme="majorHAnsi"/>
          <w:szCs w:val="28"/>
          <w:lang w:val="ro-MD"/>
        </w:rPr>
      </w:pPr>
      <w:r w:rsidRPr="002751FC">
        <w:rPr>
          <w:rFonts w:asciiTheme="majorHAnsi" w:hAnsiTheme="majorHAnsi" w:cstheme="majorHAnsi"/>
          <w:szCs w:val="28"/>
          <w:lang w:val="ro-MD"/>
        </w:rPr>
        <w:t xml:space="preserve">lipsa unui mecanism </w:t>
      </w:r>
      <w:r w:rsidR="006F13BD" w:rsidRPr="002751FC">
        <w:rPr>
          <w:rFonts w:asciiTheme="majorHAnsi" w:hAnsiTheme="majorHAnsi" w:cstheme="majorHAnsi"/>
          <w:szCs w:val="28"/>
          <w:lang w:val="ro-MD"/>
        </w:rPr>
        <w:t>exhaustiv privi</w:t>
      </w:r>
      <w:r w:rsidRPr="002751FC">
        <w:rPr>
          <w:rFonts w:asciiTheme="majorHAnsi" w:hAnsiTheme="majorHAnsi" w:cstheme="majorHAnsi"/>
          <w:szCs w:val="28"/>
          <w:lang w:val="ro-MD"/>
        </w:rPr>
        <w:t>tor la periodicitatea verific</w:t>
      </w:r>
      <w:r w:rsidR="005C5925" w:rsidRPr="002751FC">
        <w:rPr>
          <w:rFonts w:asciiTheme="majorHAnsi" w:hAnsiTheme="majorHAnsi" w:cstheme="majorHAnsi"/>
          <w:szCs w:val="28"/>
          <w:lang w:val="ro-MD"/>
        </w:rPr>
        <w:t>ării</w:t>
      </w:r>
      <w:r w:rsidRPr="002751FC">
        <w:rPr>
          <w:rFonts w:asciiTheme="majorHAnsi" w:hAnsiTheme="majorHAnsi" w:cstheme="majorHAnsi"/>
          <w:szCs w:val="28"/>
          <w:lang w:val="ro-MD"/>
        </w:rPr>
        <w:t xml:space="preserve"> datelor pentru anii precedenți, corectate de contribuabili, a </w:t>
      </w:r>
      <w:r w:rsidR="005C5925" w:rsidRPr="002751FC">
        <w:rPr>
          <w:rFonts w:asciiTheme="majorHAnsi" w:hAnsiTheme="majorHAnsi" w:cstheme="majorHAnsi"/>
          <w:szCs w:val="28"/>
          <w:lang w:val="ro-MD"/>
        </w:rPr>
        <w:t>cauzat</w:t>
      </w:r>
      <w:r w:rsidRPr="002751FC">
        <w:rPr>
          <w:rFonts w:asciiTheme="majorHAnsi" w:hAnsiTheme="majorHAnsi" w:cstheme="majorHAnsi"/>
          <w:szCs w:val="28"/>
          <w:lang w:val="ro-MD"/>
        </w:rPr>
        <w:t xml:space="preserve"> majorarea </w:t>
      </w:r>
      <w:r w:rsidR="005C5925" w:rsidRPr="002751FC">
        <w:rPr>
          <w:rFonts w:asciiTheme="majorHAnsi" w:hAnsiTheme="majorHAnsi" w:cstheme="majorHAnsi"/>
          <w:szCs w:val="28"/>
          <w:lang w:val="ro-MD"/>
        </w:rPr>
        <w:t xml:space="preserve">cu </w:t>
      </w:r>
      <w:r w:rsidR="00765FE9" w:rsidRPr="002751FC">
        <w:rPr>
          <w:rFonts w:asciiTheme="majorHAnsi" w:hAnsiTheme="majorHAnsi" w:cstheme="majorHAnsi"/>
          <w:szCs w:val="28"/>
          <w:lang w:val="ro-MD"/>
        </w:rPr>
        <w:t>2,8</w:t>
      </w:r>
      <w:r w:rsidR="005C5925" w:rsidRPr="002751FC">
        <w:rPr>
          <w:rFonts w:asciiTheme="majorHAnsi" w:hAnsiTheme="majorHAnsi" w:cstheme="majorHAnsi"/>
          <w:szCs w:val="28"/>
          <w:lang w:val="ro-MD"/>
        </w:rPr>
        <w:t xml:space="preserve"> </w:t>
      </w:r>
      <w:proofErr w:type="spellStart"/>
      <w:r w:rsidR="005C5925" w:rsidRPr="002751FC">
        <w:rPr>
          <w:rFonts w:asciiTheme="majorHAnsi" w:hAnsiTheme="majorHAnsi" w:cstheme="majorHAnsi"/>
          <w:szCs w:val="28"/>
          <w:lang w:val="ro-MD"/>
        </w:rPr>
        <w:t>mil.MDL</w:t>
      </w:r>
      <w:proofErr w:type="spellEnd"/>
      <w:r w:rsidR="005C5925" w:rsidRPr="002751FC">
        <w:rPr>
          <w:rFonts w:asciiTheme="majorHAnsi" w:hAnsiTheme="majorHAnsi" w:cstheme="majorHAnsi"/>
          <w:szCs w:val="28"/>
          <w:lang w:val="ro-MD"/>
        </w:rPr>
        <w:t xml:space="preserve"> a </w:t>
      </w:r>
      <w:r w:rsidRPr="002751FC">
        <w:rPr>
          <w:rFonts w:asciiTheme="majorHAnsi" w:hAnsiTheme="majorHAnsi" w:cstheme="majorHAnsi"/>
          <w:szCs w:val="28"/>
          <w:lang w:val="ro-MD"/>
        </w:rPr>
        <w:t xml:space="preserve">restanțelor la plata contribuțiilor, iar realizarea neconformă a prevederilor Legii </w:t>
      </w:r>
      <w:r w:rsidR="009D4D35" w:rsidRPr="002751FC">
        <w:rPr>
          <w:rFonts w:asciiTheme="majorHAnsi" w:hAnsiTheme="majorHAnsi" w:cstheme="majorHAnsi"/>
          <w:szCs w:val="28"/>
          <w:lang w:val="ro-MD"/>
        </w:rPr>
        <w:t>nr.</w:t>
      </w:r>
      <w:r w:rsidRPr="002751FC">
        <w:rPr>
          <w:rFonts w:asciiTheme="majorHAnsi" w:hAnsiTheme="majorHAnsi" w:cstheme="majorHAnsi"/>
          <w:szCs w:val="28"/>
          <w:lang w:val="ro-MD"/>
        </w:rPr>
        <w:t xml:space="preserve">227 din 10.12.2015 </w:t>
      </w:r>
      <w:r w:rsidR="005C5925" w:rsidRPr="002751FC">
        <w:rPr>
          <w:rFonts w:asciiTheme="majorHAnsi" w:hAnsiTheme="majorHAnsi" w:cstheme="majorHAnsi"/>
          <w:szCs w:val="28"/>
          <w:lang w:val="ro-MD"/>
        </w:rPr>
        <w:t>–</w:t>
      </w:r>
      <w:r w:rsidRPr="002751FC">
        <w:rPr>
          <w:rFonts w:asciiTheme="majorHAnsi" w:hAnsiTheme="majorHAnsi" w:cstheme="majorHAnsi"/>
          <w:szCs w:val="28"/>
          <w:lang w:val="ro-MD"/>
        </w:rPr>
        <w:t xml:space="preserve"> la diminuarea lor cu </w:t>
      </w:r>
      <w:r w:rsidR="00765FE9" w:rsidRPr="002751FC">
        <w:rPr>
          <w:rFonts w:asciiTheme="majorHAnsi" w:hAnsiTheme="majorHAnsi" w:cstheme="majorHAnsi"/>
          <w:szCs w:val="28"/>
          <w:lang w:val="ro-MD"/>
        </w:rPr>
        <w:t>23,4</w:t>
      </w:r>
      <w:r w:rsidRPr="002751FC">
        <w:rPr>
          <w:rFonts w:asciiTheme="majorHAnsi" w:hAnsiTheme="majorHAnsi" w:cstheme="majorHAnsi"/>
          <w:szCs w:val="28"/>
          <w:lang w:val="ro-MD"/>
        </w:rPr>
        <w:t xml:space="preserve"> </w:t>
      </w:r>
      <w:proofErr w:type="spellStart"/>
      <w:r w:rsidRPr="002751FC">
        <w:rPr>
          <w:rFonts w:asciiTheme="majorHAnsi" w:hAnsiTheme="majorHAnsi" w:cstheme="majorHAnsi"/>
          <w:szCs w:val="28"/>
          <w:lang w:val="ro-MD"/>
        </w:rPr>
        <w:t>mil.MDL</w:t>
      </w:r>
      <w:proofErr w:type="spellEnd"/>
      <w:r w:rsidRPr="002751FC">
        <w:rPr>
          <w:rFonts w:asciiTheme="majorHAnsi" w:hAnsiTheme="majorHAnsi" w:cstheme="majorHAnsi"/>
          <w:szCs w:val="28"/>
          <w:lang w:val="ro-MD"/>
        </w:rPr>
        <w:t xml:space="preserve">, valoarea restanțelor per total fiind diminuată cu </w:t>
      </w:r>
      <w:r w:rsidR="00765FE9" w:rsidRPr="002751FC">
        <w:rPr>
          <w:rFonts w:asciiTheme="majorHAnsi" w:hAnsiTheme="majorHAnsi" w:cstheme="majorHAnsi"/>
          <w:b/>
          <w:szCs w:val="28"/>
          <w:lang w:val="ro-MD"/>
        </w:rPr>
        <w:t>20</w:t>
      </w:r>
      <w:r w:rsidRPr="002751FC">
        <w:rPr>
          <w:rFonts w:asciiTheme="majorHAnsi" w:hAnsiTheme="majorHAnsi" w:cstheme="majorHAnsi"/>
          <w:b/>
          <w:szCs w:val="28"/>
          <w:lang w:val="ro-MD"/>
        </w:rPr>
        <w:t xml:space="preserve">,6 </w:t>
      </w:r>
      <w:proofErr w:type="spellStart"/>
      <w:r w:rsidRPr="002751FC">
        <w:rPr>
          <w:rFonts w:asciiTheme="majorHAnsi" w:hAnsiTheme="majorHAnsi" w:cstheme="majorHAnsi"/>
          <w:b/>
          <w:szCs w:val="28"/>
          <w:lang w:val="ro-MD"/>
        </w:rPr>
        <w:t>mil.MDL</w:t>
      </w:r>
      <w:proofErr w:type="spellEnd"/>
      <w:r w:rsidR="00BA0A66" w:rsidRPr="002751FC">
        <w:rPr>
          <w:rFonts w:asciiTheme="majorHAnsi" w:hAnsiTheme="majorHAnsi" w:cstheme="majorHAnsi"/>
          <w:szCs w:val="28"/>
          <w:lang w:val="ro-MD"/>
        </w:rPr>
        <w:t xml:space="preserve"> </w:t>
      </w:r>
      <w:r w:rsidR="00BA0A66" w:rsidRPr="002751FC">
        <w:rPr>
          <w:rFonts w:asciiTheme="majorHAnsi" w:hAnsiTheme="majorHAnsi" w:cstheme="majorHAnsi"/>
          <w:bCs/>
          <w:szCs w:val="28"/>
          <w:lang w:val="ro-MD"/>
        </w:rPr>
        <w:t>(</w:t>
      </w:r>
      <w:r w:rsidR="00BA0A66" w:rsidRPr="002751FC">
        <w:rPr>
          <w:rFonts w:asciiTheme="majorHAnsi" w:hAnsiTheme="majorHAnsi" w:cstheme="majorHAnsi"/>
          <w:b/>
          <w:bCs/>
          <w:szCs w:val="28"/>
          <w:lang w:val="ro-MD"/>
        </w:rPr>
        <w:t>pct.4.4.2</w:t>
      </w:r>
      <w:r w:rsidR="00BA0A66" w:rsidRPr="002751FC">
        <w:rPr>
          <w:rFonts w:asciiTheme="majorHAnsi" w:hAnsiTheme="majorHAnsi" w:cstheme="majorHAnsi"/>
          <w:bCs/>
          <w:szCs w:val="28"/>
          <w:lang w:val="ro-MD"/>
        </w:rPr>
        <w:t>)</w:t>
      </w:r>
      <w:r w:rsidR="005C5925" w:rsidRPr="002751FC">
        <w:rPr>
          <w:rFonts w:asciiTheme="majorHAnsi" w:hAnsiTheme="majorHAnsi" w:cstheme="majorHAnsi"/>
          <w:bCs/>
          <w:szCs w:val="28"/>
          <w:lang w:val="ro-MD"/>
        </w:rPr>
        <w:t>;</w:t>
      </w:r>
    </w:p>
    <w:p w:rsidR="00974C87" w:rsidRPr="002751FC" w:rsidRDefault="005C5925" w:rsidP="00974C87">
      <w:pPr>
        <w:pStyle w:val="ac"/>
        <w:numPr>
          <w:ilvl w:val="0"/>
          <w:numId w:val="4"/>
        </w:numPr>
        <w:ind w:left="0" w:firstLine="567"/>
        <w:rPr>
          <w:rFonts w:asciiTheme="majorHAnsi" w:hAnsiTheme="majorHAnsi" w:cstheme="majorHAnsi"/>
          <w:lang w:val="ro-MD"/>
        </w:rPr>
      </w:pPr>
      <w:r w:rsidRPr="002751FC">
        <w:rPr>
          <w:rFonts w:asciiTheme="majorHAnsi" w:hAnsiTheme="majorHAnsi" w:cstheme="majorHAnsi"/>
          <w:lang w:val="ro-MD"/>
        </w:rPr>
        <w:t xml:space="preserve">la </w:t>
      </w:r>
      <w:r w:rsidR="00281A0C" w:rsidRPr="002751FC">
        <w:rPr>
          <w:rFonts w:asciiTheme="majorHAnsi" w:hAnsiTheme="majorHAnsi" w:cstheme="majorHAnsi"/>
          <w:lang w:val="ro-MD"/>
        </w:rPr>
        <w:t>r</w:t>
      </w:r>
      <w:r w:rsidR="00974C87" w:rsidRPr="002751FC">
        <w:rPr>
          <w:rFonts w:asciiTheme="majorHAnsi" w:hAnsiTheme="majorHAnsi" w:cstheme="majorHAnsi"/>
          <w:lang w:val="ro-MD"/>
        </w:rPr>
        <w:t xml:space="preserve">econcilierea datelor privind numărul contribuabililor conform datelor SFS, ONVV, RVV și SV </w:t>
      </w:r>
      <w:r w:rsidRPr="002751FC">
        <w:rPr>
          <w:rFonts w:asciiTheme="majorHAnsi" w:hAnsiTheme="majorHAnsi" w:cstheme="majorHAnsi"/>
          <w:lang w:val="ro-MD"/>
        </w:rPr>
        <w:t>s-</w:t>
      </w:r>
      <w:r w:rsidR="00974C87" w:rsidRPr="002751FC">
        <w:rPr>
          <w:rFonts w:asciiTheme="majorHAnsi" w:hAnsiTheme="majorHAnsi" w:cstheme="majorHAnsi"/>
          <w:lang w:val="ro-MD"/>
        </w:rPr>
        <w:t>a</w:t>
      </w:r>
      <w:r w:rsidRPr="002751FC">
        <w:rPr>
          <w:rFonts w:asciiTheme="majorHAnsi" w:hAnsiTheme="majorHAnsi" w:cstheme="majorHAnsi"/>
          <w:lang w:val="ro-MD"/>
        </w:rPr>
        <w:t>u</w:t>
      </w:r>
      <w:r w:rsidR="00974C87" w:rsidRPr="002751FC">
        <w:rPr>
          <w:rFonts w:asciiTheme="majorHAnsi" w:hAnsiTheme="majorHAnsi" w:cstheme="majorHAnsi"/>
          <w:lang w:val="ro-MD"/>
        </w:rPr>
        <w:t xml:space="preserve"> constatat divergențe </w:t>
      </w:r>
      <w:r w:rsidR="004B704D" w:rsidRPr="002751FC">
        <w:rPr>
          <w:rFonts w:asciiTheme="majorHAnsi" w:hAnsiTheme="majorHAnsi" w:cstheme="majorHAnsi"/>
          <w:lang w:val="ro-MD"/>
        </w:rPr>
        <w:t>semnificative</w:t>
      </w:r>
      <w:r w:rsidR="00974C87" w:rsidRPr="002751FC">
        <w:rPr>
          <w:rFonts w:asciiTheme="majorHAnsi" w:hAnsiTheme="majorHAnsi" w:cstheme="majorHAnsi"/>
          <w:lang w:val="ro-MD"/>
        </w:rPr>
        <w:t xml:space="preserve">, fiind </w:t>
      </w:r>
      <w:r w:rsidR="004B704D" w:rsidRPr="002751FC">
        <w:rPr>
          <w:rFonts w:asciiTheme="majorHAnsi" w:hAnsiTheme="majorHAnsi" w:cstheme="majorHAnsi"/>
          <w:lang w:val="ro-MD"/>
        </w:rPr>
        <w:t>identificați</w:t>
      </w:r>
      <w:r w:rsidR="00974C87" w:rsidRPr="002751FC">
        <w:rPr>
          <w:rFonts w:asciiTheme="majorHAnsi" w:hAnsiTheme="majorHAnsi" w:cstheme="majorHAnsi"/>
          <w:lang w:val="ro-MD"/>
        </w:rPr>
        <w:t xml:space="preserve"> 40 </w:t>
      </w:r>
      <w:r w:rsidRPr="002751FC">
        <w:rPr>
          <w:rFonts w:asciiTheme="majorHAnsi" w:hAnsiTheme="majorHAnsi" w:cstheme="majorHAnsi"/>
          <w:lang w:val="ro-MD"/>
        </w:rPr>
        <w:t xml:space="preserve">de </w:t>
      </w:r>
      <w:r w:rsidR="00974C87" w:rsidRPr="002751FC">
        <w:rPr>
          <w:rFonts w:asciiTheme="majorHAnsi" w:hAnsiTheme="majorHAnsi" w:cstheme="majorHAnsi"/>
          <w:lang w:val="ro-MD"/>
        </w:rPr>
        <w:t>agenți economici care au exportat vinuri</w:t>
      </w:r>
      <w:r w:rsidRPr="002751FC">
        <w:rPr>
          <w:rFonts w:asciiTheme="majorHAnsi" w:hAnsiTheme="majorHAnsi" w:cstheme="majorHAnsi"/>
          <w:lang w:val="ro-MD"/>
        </w:rPr>
        <w:t>,</w:t>
      </w:r>
      <w:r w:rsidR="00974C87" w:rsidRPr="002751FC">
        <w:rPr>
          <w:rFonts w:asciiTheme="majorHAnsi" w:hAnsiTheme="majorHAnsi" w:cstheme="majorHAnsi"/>
          <w:lang w:val="ro-MD"/>
        </w:rPr>
        <w:t xml:space="preserve"> dar nu a</w:t>
      </w:r>
      <w:r w:rsidR="00281A0C" w:rsidRPr="002751FC">
        <w:rPr>
          <w:rFonts w:asciiTheme="majorHAnsi" w:hAnsiTheme="majorHAnsi" w:cstheme="majorHAnsi"/>
          <w:lang w:val="ro-MD"/>
        </w:rPr>
        <w:t>u</w:t>
      </w:r>
      <w:r w:rsidR="00974C87" w:rsidRPr="002751FC">
        <w:rPr>
          <w:rFonts w:asciiTheme="majorHAnsi" w:hAnsiTheme="majorHAnsi" w:cstheme="majorHAnsi"/>
          <w:lang w:val="ro-MD"/>
        </w:rPr>
        <w:t xml:space="preserve"> prezentat dările de seamă SFS (+4,2 </w:t>
      </w:r>
      <w:proofErr w:type="spellStart"/>
      <w:r w:rsidR="00974C87" w:rsidRPr="002751FC">
        <w:rPr>
          <w:rFonts w:asciiTheme="majorHAnsi" w:hAnsiTheme="majorHAnsi" w:cstheme="majorHAnsi"/>
          <w:lang w:val="ro-MD"/>
        </w:rPr>
        <w:t>mil.MDL</w:t>
      </w:r>
      <w:proofErr w:type="spellEnd"/>
      <w:r w:rsidR="00974C87" w:rsidRPr="002751FC">
        <w:rPr>
          <w:rFonts w:asciiTheme="majorHAnsi" w:hAnsiTheme="majorHAnsi" w:cstheme="majorHAnsi"/>
          <w:lang w:val="ro-MD"/>
        </w:rPr>
        <w:t xml:space="preserve">) și </w:t>
      </w:r>
      <w:r w:rsidR="004B704D" w:rsidRPr="002751FC">
        <w:rPr>
          <w:rFonts w:asciiTheme="majorHAnsi" w:hAnsiTheme="majorHAnsi" w:cstheme="majorHAnsi"/>
          <w:lang w:val="ro-MD"/>
        </w:rPr>
        <w:t>9</w:t>
      </w:r>
      <w:r w:rsidR="00974C87" w:rsidRPr="002751FC">
        <w:rPr>
          <w:rFonts w:asciiTheme="majorHAnsi" w:hAnsiTheme="majorHAnsi" w:cstheme="majorHAnsi"/>
          <w:lang w:val="ro-MD"/>
        </w:rPr>
        <w:t xml:space="preserve"> agenți economici care au diminuat calculele prezentate SFS față de volumele real exportate (+2,1</w:t>
      </w:r>
      <w:r w:rsidR="004B704D" w:rsidRPr="002751FC">
        <w:rPr>
          <w:rFonts w:asciiTheme="majorHAnsi" w:hAnsiTheme="majorHAnsi" w:cstheme="majorHAnsi"/>
          <w:lang w:val="ro-MD"/>
        </w:rPr>
        <w:t xml:space="preserve"> </w:t>
      </w:r>
      <w:proofErr w:type="spellStart"/>
      <w:r w:rsidR="004B704D" w:rsidRPr="002751FC">
        <w:rPr>
          <w:rFonts w:asciiTheme="majorHAnsi" w:hAnsiTheme="majorHAnsi" w:cstheme="majorHAnsi"/>
          <w:lang w:val="ro-MD"/>
        </w:rPr>
        <w:t>mil.</w:t>
      </w:r>
      <w:r w:rsidR="00974C87" w:rsidRPr="002751FC">
        <w:rPr>
          <w:rFonts w:asciiTheme="majorHAnsi" w:hAnsiTheme="majorHAnsi" w:cstheme="majorHAnsi"/>
          <w:lang w:val="ro-MD"/>
        </w:rPr>
        <w:t>MDL</w:t>
      </w:r>
      <w:proofErr w:type="spellEnd"/>
      <w:r w:rsidR="00974C87" w:rsidRPr="002751FC">
        <w:rPr>
          <w:rFonts w:asciiTheme="majorHAnsi" w:hAnsiTheme="majorHAnsi" w:cstheme="majorHAnsi"/>
          <w:lang w:val="ro-MD"/>
        </w:rPr>
        <w:t>)</w:t>
      </w:r>
      <w:r w:rsidR="00CE08F7" w:rsidRPr="002751FC">
        <w:rPr>
          <w:rFonts w:asciiTheme="majorHAnsi" w:hAnsiTheme="majorHAnsi" w:cstheme="majorHAnsi"/>
          <w:lang w:val="ro-MD"/>
        </w:rPr>
        <w:t>.</w:t>
      </w:r>
      <w:r w:rsidR="00974C87" w:rsidRPr="002751FC">
        <w:rPr>
          <w:rFonts w:asciiTheme="majorHAnsi" w:hAnsiTheme="majorHAnsi" w:cstheme="majorHAnsi"/>
          <w:lang w:val="ro-MD"/>
        </w:rPr>
        <w:t xml:space="preserve"> </w:t>
      </w:r>
      <w:r w:rsidR="00CE08F7" w:rsidRPr="002751FC">
        <w:rPr>
          <w:rFonts w:asciiTheme="majorHAnsi" w:hAnsiTheme="majorHAnsi" w:cstheme="majorHAnsi"/>
          <w:lang w:val="ro-MD"/>
        </w:rPr>
        <w:t>A</w:t>
      </w:r>
      <w:r w:rsidR="00974C87" w:rsidRPr="002751FC">
        <w:rPr>
          <w:rFonts w:asciiTheme="majorHAnsi" w:hAnsiTheme="majorHAnsi" w:cstheme="majorHAnsi"/>
          <w:lang w:val="ro-MD"/>
        </w:rPr>
        <w:t>stfel, calculele și</w:t>
      </w:r>
      <w:r w:rsidR="00E278F9" w:rsidRPr="002751FC">
        <w:rPr>
          <w:rFonts w:asciiTheme="majorHAnsi" w:hAnsiTheme="majorHAnsi" w:cstheme="majorHAnsi"/>
          <w:lang w:val="ro-MD"/>
        </w:rPr>
        <w:t>,</w:t>
      </w:r>
      <w:r w:rsidR="00974C87" w:rsidRPr="002751FC">
        <w:rPr>
          <w:rFonts w:asciiTheme="majorHAnsi" w:hAnsiTheme="majorHAnsi" w:cstheme="majorHAnsi"/>
          <w:lang w:val="ro-MD"/>
        </w:rPr>
        <w:t xml:space="preserve"> respectiv</w:t>
      </w:r>
      <w:r w:rsidR="00E278F9" w:rsidRPr="002751FC">
        <w:rPr>
          <w:rFonts w:asciiTheme="majorHAnsi" w:hAnsiTheme="majorHAnsi" w:cstheme="majorHAnsi"/>
          <w:lang w:val="ro-MD"/>
        </w:rPr>
        <w:t>,</w:t>
      </w:r>
      <w:r w:rsidR="00974C87" w:rsidRPr="002751FC">
        <w:rPr>
          <w:rFonts w:asciiTheme="majorHAnsi" w:hAnsiTheme="majorHAnsi" w:cstheme="majorHAnsi"/>
          <w:lang w:val="ro-MD"/>
        </w:rPr>
        <w:t xml:space="preserve"> restanțele la plata contribuțiilor</w:t>
      </w:r>
      <w:r w:rsidR="005B0420" w:rsidRPr="002751FC">
        <w:rPr>
          <w:rFonts w:asciiTheme="majorHAnsi" w:hAnsiTheme="majorHAnsi" w:cstheme="majorHAnsi"/>
          <w:lang w:val="ro-MD"/>
        </w:rPr>
        <w:t xml:space="preserve">, </w:t>
      </w:r>
      <w:r w:rsidR="00CB3594" w:rsidRPr="002751FC">
        <w:rPr>
          <w:rFonts w:asciiTheme="majorHAnsi" w:hAnsiTheme="majorHAnsi" w:cstheme="majorHAnsi"/>
          <w:lang w:val="ro-MD"/>
        </w:rPr>
        <w:t>reieșind</w:t>
      </w:r>
      <w:r w:rsidR="005B0420" w:rsidRPr="002751FC">
        <w:rPr>
          <w:rFonts w:asciiTheme="majorHAnsi" w:hAnsiTheme="majorHAnsi" w:cstheme="majorHAnsi"/>
          <w:lang w:val="ro-MD"/>
        </w:rPr>
        <w:t xml:space="preserve"> din datele prezentate auditului,</w:t>
      </w:r>
      <w:r w:rsidR="00974C87" w:rsidRPr="002751FC">
        <w:rPr>
          <w:rFonts w:asciiTheme="majorHAnsi" w:hAnsiTheme="majorHAnsi" w:cstheme="majorHAnsi"/>
          <w:lang w:val="ro-MD"/>
        </w:rPr>
        <w:t xml:space="preserve"> au fost diminuate cu</w:t>
      </w:r>
      <w:r w:rsidR="005B0420" w:rsidRPr="002751FC">
        <w:rPr>
          <w:rFonts w:asciiTheme="majorHAnsi" w:hAnsiTheme="majorHAnsi" w:cstheme="majorHAnsi"/>
          <w:lang w:val="ro-MD"/>
        </w:rPr>
        <w:t xml:space="preserve"> cel </w:t>
      </w:r>
      <w:proofErr w:type="spellStart"/>
      <w:r w:rsidR="005B0420" w:rsidRPr="002751FC">
        <w:rPr>
          <w:rFonts w:asciiTheme="majorHAnsi" w:hAnsiTheme="majorHAnsi" w:cstheme="majorHAnsi"/>
          <w:lang w:val="ro-MD"/>
        </w:rPr>
        <w:t>puţin</w:t>
      </w:r>
      <w:proofErr w:type="spellEnd"/>
      <w:r w:rsidR="005B0420" w:rsidRPr="002751FC">
        <w:rPr>
          <w:rFonts w:asciiTheme="majorHAnsi" w:hAnsiTheme="majorHAnsi" w:cstheme="majorHAnsi"/>
          <w:lang w:val="ro-MD"/>
        </w:rPr>
        <w:t xml:space="preserve"> </w:t>
      </w:r>
      <w:r w:rsidR="00974C87" w:rsidRPr="002751FC">
        <w:rPr>
          <w:rFonts w:asciiTheme="majorHAnsi" w:hAnsiTheme="majorHAnsi" w:cstheme="majorHAnsi"/>
          <w:b/>
          <w:lang w:val="ro-MD"/>
        </w:rPr>
        <w:t xml:space="preserve">6,3 </w:t>
      </w:r>
      <w:proofErr w:type="spellStart"/>
      <w:r w:rsidR="00974C87" w:rsidRPr="002751FC">
        <w:rPr>
          <w:rFonts w:asciiTheme="majorHAnsi" w:hAnsiTheme="majorHAnsi" w:cstheme="majorHAnsi"/>
          <w:b/>
          <w:lang w:val="ro-MD"/>
        </w:rPr>
        <w:t>mil.MDL</w:t>
      </w:r>
      <w:proofErr w:type="spellEnd"/>
      <w:r w:rsidR="009D4D35" w:rsidRPr="002751FC">
        <w:rPr>
          <w:rFonts w:asciiTheme="majorHAnsi" w:hAnsiTheme="majorHAnsi" w:cstheme="majorHAnsi"/>
          <w:lang w:val="ro-MD"/>
        </w:rPr>
        <w:t xml:space="preserve"> </w:t>
      </w:r>
      <w:r w:rsidR="009D4D35" w:rsidRPr="002751FC">
        <w:rPr>
          <w:rFonts w:asciiTheme="majorHAnsi" w:hAnsiTheme="majorHAnsi" w:cstheme="majorHAnsi"/>
          <w:bCs/>
          <w:szCs w:val="28"/>
          <w:lang w:val="ro-MD"/>
        </w:rPr>
        <w:t>(</w:t>
      </w:r>
      <w:r w:rsidR="009D4D35" w:rsidRPr="002751FC">
        <w:rPr>
          <w:rFonts w:asciiTheme="majorHAnsi" w:hAnsiTheme="majorHAnsi" w:cstheme="majorHAnsi"/>
          <w:b/>
          <w:bCs/>
          <w:szCs w:val="28"/>
          <w:lang w:val="ro-MD"/>
        </w:rPr>
        <w:t>pct.4.5</w:t>
      </w:r>
      <w:r w:rsidR="009D4D35" w:rsidRPr="002751FC">
        <w:rPr>
          <w:rFonts w:asciiTheme="majorHAnsi" w:hAnsiTheme="majorHAnsi" w:cstheme="majorHAnsi"/>
          <w:bCs/>
          <w:szCs w:val="28"/>
          <w:lang w:val="ro-MD"/>
        </w:rPr>
        <w:t>)</w:t>
      </w:r>
      <w:r w:rsidRPr="002751FC">
        <w:rPr>
          <w:rFonts w:asciiTheme="majorHAnsi" w:hAnsiTheme="majorHAnsi" w:cstheme="majorHAnsi"/>
          <w:bCs/>
          <w:szCs w:val="28"/>
          <w:lang w:val="ro-MD"/>
        </w:rPr>
        <w:t>;</w:t>
      </w:r>
    </w:p>
    <w:p w:rsidR="00974C87" w:rsidRPr="002751FC" w:rsidRDefault="00974C87" w:rsidP="00974C87">
      <w:pPr>
        <w:pStyle w:val="ac"/>
        <w:numPr>
          <w:ilvl w:val="0"/>
          <w:numId w:val="4"/>
        </w:numPr>
        <w:ind w:left="0" w:firstLine="567"/>
        <w:rPr>
          <w:rFonts w:asciiTheme="majorHAnsi" w:hAnsiTheme="majorHAnsi" w:cstheme="majorHAnsi"/>
          <w:lang w:val="ro-MD"/>
        </w:rPr>
      </w:pPr>
      <w:r w:rsidRPr="002751FC">
        <w:rPr>
          <w:rFonts w:asciiTheme="majorHAnsi" w:hAnsiTheme="majorHAnsi" w:cstheme="majorHAnsi"/>
          <w:lang w:val="ro-MD"/>
        </w:rPr>
        <w:t>nu au fost contabilizate de ONVV restanțele la plata contribuțiilor în FVV (</w:t>
      </w:r>
      <w:r w:rsidRPr="002751FC">
        <w:rPr>
          <w:rFonts w:asciiTheme="majorHAnsi" w:hAnsiTheme="majorHAnsi" w:cstheme="majorHAnsi"/>
          <w:b/>
          <w:lang w:val="ro-MD"/>
        </w:rPr>
        <w:t xml:space="preserve">21,0 </w:t>
      </w:r>
      <w:proofErr w:type="spellStart"/>
      <w:r w:rsidRPr="002751FC">
        <w:rPr>
          <w:rFonts w:asciiTheme="majorHAnsi" w:hAnsiTheme="majorHAnsi" w:cstheme="majorHAnsi"/>
          <w:b/>
          <w:lang w:val="ro-MD"/>
        </w:rPr>
        <w:t>mil</w:t>
      </w:r>
      <w:r w:rsidR="000421CF" w:rsidRPr="002751FC">
        <w:rPr>
          <w:rFonts w:asciiTheme="majorHAnsi" w:hAnsiTheme="majorHAnsi" w:cstheme="majorHAnsi"/>
          <w:b/>
          <w:lang w:val="ro-MD"/>
        </w:rPr>
        <w:t>.</w:t>
      </w:r>
      <w:r w:rsidRPr="002751FC">
        <w:rPr>
          <w:rFonts w:asciiTheme="majorHAnsi" w:hAnsiTheme="majorHAnsi" w:cstheme="majorHAnsi"/>
          <w:b/>
          <w:lang w:val="ro-MD"/>
        </w:rPr>
        <w:t>MDL</w:t>
      </w:r>
      <w:proofErr w:type="spellEnd"/>
      <w:r w:rsidRPr="002751FC">
        <w:rPr>
          <w:rFonts w:asciiTheme="majorHAnsi" w:hAnsiTheme="majorHAnsi" w:cstheme="majorHAnsi"/>
          <w:lang w:val="ro-MD"/>
        </w:rPr>
        <w:t>)</w:t>
      </w:r>
      <w:r w:rsidR="009D4D35" w:rsidRPr="002751FC">
        <w:rPr>
          <w:rFonts w:asciiTheme="majorHAnsi" w:hAnsiTheme="majorHAnsi" w:cstheme="majorHAnsi"/>
          <w:lang w:val="ro-MD"/>
        </w:rPr>
        <w:t xml:space="preserve"> </w:t>
      </w:r>
      <w:r w:rsidR="009D4D35" w:rsidRPr="002751FC">
        <w:rPr>
          <w:rFonts w:asciiTheme="majorHAnsi" w:hAnsiTheme="majorHAnsi" w:cstheme="majorHAnsi"/>
          <w:bCs/>
          <w:szCs w:val="28"/>
          <w:lang w:val="ro-MD"/>
        </w:rPr>
        <w:t>(</w:t>
      </w:r>
      <w:r w:rsidR="009D4D35" w:rsidRPr="002751FC">
        <w:rPr>
          <w:rFonts w:asciiTheme="majorHAnsi" w:hAnsiTheme="majorHAnsi" w:cstheme="majorHAnsi"/>
          <w:b/>
          <w:bCs/>
          <w:szCs w:val="28"/>
          <w:lang w:val="ro-MD"/>
        </w:rPr>
        <w:t>pct.4.4.4</w:t>
      </w:r>
      <w:r w:rsidR="009D4D35" w:rsidRPr="002751FC">
        <w:rPr>
          <w:rFonts w:asciiTheme="majorHAnsi" w:hAnsiTheme="majorHAnsi" w:cstheme="majorHAnsi"/>
          <w:bCs/>
          <w:szCs w:val="28"/>
          <w:lang w:val="ro-MD"/>
        </w:rPr>
        <w:t>)</w:t>
      </w:r>
      <w:r w:rsidRPr="002751FC">
        <w:rPr>
          <w:rFonts w:asciiTheme="majorHAnsi" w:hAnsiTheme="majorHAnsi" w:cstheme="majorHAnsi"/>
          <w:lang w:val="ro-MD"/>
        </w:rPr>
        <w:t>.</w:t>
      </w:r>
    </w:p>
    <w:p w:rsidR="00974C87" w:rsidRPr="002751FC" w:rsidRDefault="00974C87" w:rsidP="00974C87">
      <w:pPr>
        <w:pStyle w:val="ac"/>
        <w:ind w:left="567"/>
        <w:rPr>
          <w:rFonts w:asciiTheme="majorHAnsi" w:hAnsiTheme="majorHAnsi" w:cstheme="majorHAnsi"/>
          <w:highlight w:val="yellow"/>
          <w:lang w:val="ro-MD"/>
        </w:rPr>
      </w:pPr>
    </w:p>
    <w:p w:rsidR="00974C87" w:rsidRPr="002751FC" w:rsidRDefault="00974C87" w:rsidP="00974C87">
      <w:pPr>
        <w:jc w:val="both"/>
        <w:rPr>
          <w:rFonts w:asciiTheme="majorHAnsi" w:hAnsiTheme="majorHAnsi" w:cstheme="majorHAnsi"/>
          <w:bCs/>
          <w:iCs/>
          <w:sz w:val="28"/>
          <w:szCs w:val="28"/>
          <w:lang w:val="ro-MD"/>
        </w:rPr>
      </w:pPr>
      <w:r w:rsidRPr="002751FC">
        <w:rPr>
          <w:rFonts w:asciiTheme="majorHAnsi" w:hAnsiTheme="majorHAnsi" w:cstheme="majorHAnsi"/>
          <w:sz w:val="28"/>
          <w:szCs w:val="28"/>
          <w:lang w:val="ro-MD"/>
        </w:rPr>
        <w:t>De asemenea, se atestă că, d</w:t>
      </w:r>
      <w:r w:rsidRPr="002751FC">
        <w:rPr>
          <w:rFonts w:asciiTheme="majorHAnsi" w:eastAsia="Calibri" w:hAnsiTheme="majorHAnsi" w:cstheme="majorHAnsi"/>
          <w:sz w:val="28"/>
          <w:szCs w:val="28"/>
          <w:lang w:val="ro-MD"/>
        </w:rPr>
        <w:t xml:space="preserve">eși </w:t>
      </w:r>
      <w:r w:rsidRPr="002751FC">
        <w:rPr>
          <w:rFonts w:asciiTheme="majorHAnsi" w:hAnsiTheme="majorHAnsi" w:cstheme="majorHAnsi"/>
          <w:sz w:val="28"/>
          <w:szCs w:val="28"/>
          <w:lang w:val="ro-MD"/>
        </w:rPr>
        <w:t>ONVV</w:t>
      </w:r>
      <w:r w:rsidRPr="002751FC">
        <w:rPr>
          <w:rFonts w:asciiTheme="majorHAnsi" w:hAnsiTheme="majorHAnsi" w:cstheme="majorHAnsi"/>
          <w:bCs/>
          <w:iCs/>
          <w:sz w:val="28"/>
          <w:szCs w:val="28"/>
          <w:lang w:val="ro-MD"/>
        </w:rPr>
        <w:t xml:space="preserve"> a </w:t>
      </w:r>
      <w:r w:rsidR="00E73FFE" w:rsidRPr="002751FC">
        <w:rPr>
          <w:rFonts w:asciiTheme="majorHAnsi" w:hAnsiTheme="majorHAnsi" w:cstheme="majorHAnsi"/>
          <w:bCs/>
          <w:iCs/>
          <w:sz w:val="28"/>
          <w:szCs w:val="28"/>
          <w:lang w:val="ro-MD"/>
        </w:rPr>
        <w:t>întreprins unele măsuri</w:t>
      </w:r>
      <w:r w:rsidR="002B578D" w:rsidRPr="002751FC">
        <w:rPr>
          <w:rFonts w:asciiTheme="majorHAnsi" w:hAnsiTheme="majorHAnsi" w:cstheme="majorHAnsi"/>
          <w:bCs/>
          <w:iCs/>
          <w:sz w:val="28"/>
          <w:szCs w:val="28"/>
          <w:lang w:val="ro-MD"/>
        </w:rPr>
        <w:t xml:space="preserve"> </w:t>
      </w:r>
      <w:r w:rsidRPr="002751FC">
        <w:rPr>
          <w:rFonts w:asciiTheme="majorHAnsi" w:hAnsiTheme="majorHAnsi" w:cstheme="majorHAnsi"/>
          <w:bCs/>
          <w:iCs/>
          <w:sz w:val="28"/>
          <w:szCs w:val="28"/>
          <w:lang w:val="ro-MD"/>
        </w:rPr>
        <w:t>în vederea sporirii promov</w:t>
      </w:r>
      <w:r w:rsidR="00FF22FE" w:rsidRPr="002751FC">
        <w:rPr>
          <w:rFonts w:asciiTheme="majorHAnsi" w:hAnsiTheme="majorHAnsi" w:cstheme="majorHAnsi"/>
          <w:bCs/>
          <w:iCs/>
          <w:sz w:val="28"/>
          <w:szCs w:val="28"/>
          <w:lang w:val="ro-MD"/>
        </w:rPr>
        <w:t>ării</w:t>
      </w:r>
      <w:r w:rsidRPr="002751FC">
        <w:rPr>
          <w:rFonts w:asciiTheme="majorHAnsi" w:hAnsiTheme="majorHAnsi" w:cstheme="majorHAnsi"/>
          <w:bCs/>
          <w:iCs/>
          <w:sz w:val="28"/>
          <w:szCs w:val="28"/>
          <w:lang w:val="ro-MD"/>
        </w:rPr>
        <w:t xml:space="preserve"> imaginii produselor vinicole autohtone şi </w:t>
      </w:r>
      <w:r w:rsidR="002B578D" w:rsidRPr="002751FC">
        <w:rPr>
          <w:rFonts w:asciiTheme="majorHAnsi" w:hAnsiTheme="majorHAnsi" w:cstheme="majorHAnsi"/>
          <w:bCs/>
          <w:iCs/>
          <w:sz w:val="28"/>
          <w:szCs w:val="28"/>
          <w:lang w:val="ro-MD"/>
        </w:rPr>
        <w:t>creșterii</w:t>
      </w:r>
      <w:r w:rsidRPr="002751FC">
        <w:rPr>
          <w:rFonts w:asciiTheme="majorHAnsi" w:hAnsiTheme="majorHAnsi" w:cstheme="majorHAnsi"/>
          <w:bCs/>
          <w:iCs/>
          <w:sz w:val="28"/>
          <w:szCs w:val="28"/>
          <w:lang w:val="ro-MD"/>
        </w:rPr>
        <w:t xml:space="preserve"> </w:t>
      </w:r>
      <w:r w:rsidR="002B578D" w:rsidRPr="002751FC">
        <w:rPr>
          <w:rFonts w:asciiTheme="majorHAnsi" w:hAnsiTheme="majorHAnsi" w:cstheme="majorHAnsi"/>
          <w:bCs/>
          <w:iCs/>
          <w:sz w:val="28"/>
          <w:szCs w:val="28"/>
          <w:lang w:val="ro-MD"/>
        </w:rPr>
        <w:t>competitivității</w:t>
      </w:r>
      <w:r w:rsidRPr="002751FC">
        <w:rPr>
          <w:rFonts w:asciiTheme="majorHAnsi" w:hAnsiTheme="majorHAnsi" w:cstheme="majorHAnsi"/>
          <w:bCs/>
          <w:iCs/>
          <w:sz w:val="28"/>
          <w:szCs w:val="28"/>
          <w:lang w:val="ro-MD"/>
        </w:rPr>
        <w:t xml:space="preserve"> acestora atât pe </w:t>
      </w:r>
      <w:r w:rsidR="002B578D" w:rsidRPr="002751FC">
        <w:rPr>
          <w:rFonts w:asciiTheme="majorHAnsi" w:hAnsiTheme="majorHAnsi" w:cstheme="majorHAnsi"/>
          <w:bCs/>
          <w:iCs/>
          <w:sz w:val="28"/>
          <w:szCs w:val="28"/>
          <w:lang w:val="ro-MD"/>
        </w:rPr>
        <w:t>piața internă</w:t>
      </w:r>
      <w:r w:rsidR="00CE08F7" w:rsidRPr="002751FC">
        <w:rPr>
          <w:rFonts w:asciiTheme="majorHAnsi" w:hAnsiTheme="majorHAnsi" w:cstheme="majorHAnsi"/>
          <w:bCs/>
          <w:iCs/>
          <w:sz w:val="28"/>
          <w:szCs w:val="28"/>
          <w:lang w:val="ro-MD"/>
        </w:rPr>
        <w:t>,</w:t>
      </w:r>
      <w:r w:rsidR="002B578D" w:rsidRPr="002751FC">
        <w:rPr>
          <w:rFonts w:asciiTheme="majorHAnsi" w:hAnsiTheme="majorHAnsi" w:cstheme="majorHAnsi"/>
          <w:bCs/>
          <w:iCs/>
          <w:sz w:val="28"/>
          <w:szCs w:val="28"/>
          <w:lang w:val="ro-MD"/>
        </w:rPr>
        <w:t xml:space="preserve"> cât şi </w:t>
      </w:r>
      <w:r w:rsidR="00CE08F7" w:rsidRPr="002751FC">
        <w:rPr>
          <w:rFonts w:asciiTheme="majorHAnsi" w:hAnsiTheme="majorHAnsi" w:cstheme="majorHAnsi"/>
          <w:bCs/>
          <w:iCs/>
          <w:sz w:val="28"/>
          <w:szCs w:val="28"/>
          <w:lang w:val="ro-MD"/>
        </w:rPr>
        <w:t xml:space="preserve">pe </w:t>
      </w:r>
      <w:r w:rsidR="002B578D" w:rsidRPr="002751FC">
        <w:rPr>
          <w:rFonts w:asciiTheme="majorHAnsi" w:hAnsiTheme="majorHAnsi" w:cstheme="majorHAnsi"/>
          <w:bCs/>
          <w:iCs/>
          <w:sz w:val="28"/>
          <w:szCs w:val="28"/>
          <w:lang w:val="ro-MD"/>
        </w:rPr>
        <w:t xml:space="preserve">cea externă, </w:t>
      </w:r>
      <w:r w:rsidR="00CE08F7" w:rsidRPr="002751FC">
        <w:rPr>
          <w:rFonts w:asciiTheme="majorHAnsi" w:hAnsiTheme="majorHAnsi" w:cstheme="majorHAnsi"/>
          <w:bCs/>
          <w:iCs/>
          <w:sz w:val="28"/>
          <w:szCs w:val="28"/>
          <w:lang w:val="ro-MD"/>
        </w:rPr>
        <w:t>finalizate</w:t>
      </w:r>
      <w:r w:rsidR="00231C5E" w:rsidRPr="002751FC">
        <w:rPr>
          <w:rFonts w:asciiTheme="majorHAnsi" w:hAnsiTheme="majorHAnsi" w:cstheme="majorHAnsi"/>
          <w:bCs/>
          <w:iCs/>
          <w:sz w:val="28"/>
          <w:szCs w:val="28"/>
          <w:lang w:val="ro-MD"/>
        </w:rPr>
        <w:t xml:space="preserve"> cu aprecierea înaltă a calității vinurilor</w:t>
      </w:r>
      <w:r w:rsidR="00CE08F7" w:rsidRPr="002751FC">
        <w:rPr>
          <w:rFonts w:asciiTheme="majorHAnsi" w:hAnsiTheme="majorHAnsi" w:cstheme="majorHAnsi"/>
          <w:bCs/>
          <w:iCs/>
          <w:sz w:val="28"/>
          <w:szCs w:val="28"/>
          <w:lang w:val="ro-MD"/>
        </w:rPr>
        <w:t xml:space="preserve"> </w:t>
      </w:r>
      <w:r w:rsidR="005971A3" w:rsidRPr="002751FC">
        <w:rPr>
          <w:rFonts w:asciiTheme="majorHAnsi" w:hAnsiTheme="majorHAnsi" w:cstheme="majorHAnsi"/>
          <w:bCs/>
          <w:iCs/>
          <w:sz w:val="28"/>
          <w:szCs w:val="28"/>
          <w:lang w:val="ro-MD"/>
        </w:rPr>
        <w:t>moldovenești</w:t>
      </w:r>
      <w:r w:rsidR="00231C5E" w:rsidRPr="002751FC">
        <w:rPr>
          <w:rFonts w:asciiTheme="majorHAnsi" w:hAnsiTheme="majorHAnsi" w:cstheme="majorHAnsi"/>
          <w:bCs/>
          <w:iCs/>
          <w:sz w:val="28"/>
          <w:szCs w:val="28"/>
          <w:lang w:val="ro-MD"/>
        </w:rPr>
        <w:t>, nivelul de realizare a unor indicatori stabiliți în Planul Strategic 2017-2020 nu a atins rezultatele scontate</w:t>
      </w:r>
      <w:r w:rsidR="00E058D9" w:rsidRPr="002751FC">
        <w:rPr>
          <w:rFonts w:asciiTheme="majorHAnsi" w:hAnsiTheme="majorHAnsi" w:cstheme="majorHAnsi"/>
          <w:bCs/>
          <w:iCs/>
          <w:sz w:val="28"/>
          <w:szCs w:val="28"/>
          <w:lang w:val="ro-MD"/>
        </w:rPr>
        <w:t>,</w:t>
      </w:r>
      <w:r w:rsidRPr="002751FC">
        <w:rPr>
          <w:rFonts w:asciiTheme="majorHAnsi" w:hAnsiTheme="majorHAnsi" w:cstheme="majorHAnsi"/>
          <w:bCs/>
          <w:iCs/>
          <w:sz w:val="28"/>
          <w:szCs w:val="28"/>
          <w:lang w:val="ro-MD"/>
        </w:rPr>
        <w:t xml:space="preserve"> fiind necesară </w:t>
      </w:r>
      <w:r w:rsidR="002B578D" w:rsidRPr="002751FC">
        <w:rPr>
          <w:rFonts w:asciiTheme="majorHAnsi" w:hAnsiTheme="majorHAnsi" w:cstheme="majorHAnsi"/>
          <w:bCs/>
          <w:iCs/>
          <w:sz w:val="28"/>
          <w:szCs w:val="28"/>
          <w:lang w:val="ro-MD"/>
        </w:rPr>
        <w:t>fortificarea activităților</w:t>
      </w:r>
      <w:r w:rsidRPr="002751FC">
        <w:rPr>
          <w:rFonts w:asciiTheme="majorHAnsi" w:hAnsiTheme="majorHAnsi" w:cstheme="majorHAnsi"/>
          <w:bCs/>
          <w:iCs/>
          <w:sz w:val="28"/>
          <w:szCs w:val="28"/>
          <w:lang w:val="ro-MD"/>
        </w:rPr>
        <w:t xml:space="preserve"> în acest domeniu.</w:t>
      </w:r>
    </w:p>
    <w:p w:rsidR="00974C87" w:rsidRPr="002751FC" w:rsidRDefault="005971A3" w:rsidP="00974C87">
      <w:pPr>
        <w:spacing w:before="120"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O m</w:t>
      </w:r>
      <w:r w:rsidR="00974C87" w:rsidRPr="002751FC">
        <w:rPr>
          <w:rFonts w:asciiTheme="majorHAnsi" w:hAnsiTheme="majorHAnsi" w:cstheme="majorHAnsi"/>
          <w:sz w:val="28"/>
          <w:szCs w:val="28"/>
          <w:lang w:val="ro-MD"/>
        </w:rPr>
        <w:t>are parte a deficiențelor constatate în cadrul auditului sunt consecințe a</w:t>
      </w:r>
      <w:r w:rsidRPr="002751FC">
        <w:rPr>
          <w:rFonts w:asciiTheme="majorHAnsi" w:hAnsiTheme="majorHAnsi" w:cstheme="majorHAnsi"/>
          <w:sz w:val="28"/>
          <w:szCs w:val="28"/>
          <w:lang w:val="ro-MD"/>
        </w:rPr>
        <w:t>le</w:t>
      </w:r>
      <w:r w:rsidR="00974C87" w:rsidRPr="002751FC">
        <w:rPr>
          <w:rFonts w:asciiTheme="majorHAnsi" w:hAnsiTheme="majorHAnsi" w:cstheme="majorHAnsi"/>
          <w:sz w:val="28"/>
          <w:szCs w:val="28"/>
          <w:lang w:val="ro-MD"/>
        </w:rPr>
        <w:t xml:space="preserve"> neconcordanțelor sau stabilirii unor mecanisme dificil de realizat</w:t>
      </w:r>
      <w:r w:rsidR="00B31E7D" w:rsidRPr="002751FC">
        <w:rPr>
          <w:rFonts w:asciiTheme="majorHAnsi" w:hAnsiTheme="majorHAnsi" w:cstheme="majorHAnsi"/>
          <w:sz w:val="28"/>
          <w:szCs w:val="28"/>
          <w:lang w:val="ro-MD"/>
        </w:rPr>
        <w:t xml:space="preserve"> în cadrul regula</w:t>
      </w:r>
      <w:r w:rsidR="00974C87" w:rsidRPr="002751FC">
        <w:rPr>
          <w:rFonts w:asciiTheme="majorHAnsi" w:hAnsiTheme="majorHAnsi" w:cstheme="majorHAnsi"/>
          <w:sz w:val="28"/>
          <w:szCs w:val="28"/>
          <w:lang w:val="ro-MD"/>
        </w:rPr>
        <w:t xml:space="preserve">tor existent, fiind necesare măsuri </w:t>
      </w:r>
      <w:r w:rsidR="00B31E7D" w:rsidRPr="002751FC">
        <w:rPr>
          <w:rFonts w:asciiTheme="majorHAnsi" w:hAnsiTheme="majorHAnsi" w:cstheme="majorHAnsi"/>
          <w:sz w:val="28"/>
          <w:szCs w:val="28"/>
          <w:lang w:val="ro-MD"/>
        </w:rPr>
        <w:t>stringente</w:t>
      </w:r>
      <w:r w:rsidR="00974C87" w:rsidRPr="002751FC">
        <w:rPr>
          <w:rFonts w:asciiTheme="majorHAnsi" w:hAnsiTheme="majorHAnsi" w:cstheme="majorHAnsi"/>
          <w:sz w:val="28"/>
          <w:szCs w:val="28"/>
          <w:lang w:val="ro-MD"/>
        </w:rPr>
        <w:t xml:space="preserve"> de ajustare a acestu</w:t>
      </w:r>
      <w:r w:rsidR="00B31E7D" w:rsidRPr="002751FC">
        <w:rPr>
          <w:rFonts w:asciiTheme="majorHAnsi" w:hAnsiTheme="majorHAnsi" w:cstheme="majorHAnsi"/>
          <w:sz w:val="28"/>
          <w:szCs w:val="28"/>
          <w:lang w:val="ro-MD"/>
        </w:rPr>
        <w:t>i</w:t>
      </w:r>
      <w:r w:rsidR="00974C87" w:rsidRPr="002751FC">
        <w:rPr>
          <w:rFonts w:asciiTheme="majorHAnsi" w:hAnsiTheme="majorHAnsi" w:cstheme="majorHAnsi"/>
          <w:sz w:val="28"/>
          <w:szCs w:val="28"/>
          <w:lang w:val="ro-MD"/>
        </w:rPr>
        <w:t xml:space="preserve">a la rigorile reale (la zi). Astfel, dacă nu va fi schimbat mecanismul existent </w:t>
      </w:r>
      <w:r w:rsidR="00B31E7D" w:rsidRPr="002751FC">
        <w:rPr>
          <w:rFonts w:asciiTheme="majorHAnsi" w:hAnsiTheme="majorHAnsi" w:cstheme="majorHAnsi"/>
          <w:sz w:val="28"/>
          <w:szCs w:val="28"/>
          <w:lang w:val="ro-MD"/>
        </w:rPr>
        <w:t>d</w:t>
      </w:r>
      <w:r w:rsidR="00974C87" w:rsidRPr="002751FC">
        <w:rPr>
          <w:rFonts w:asciiTheme="majorHAnsi" w:hAnsiTheme="majorHAnsi" w:cstheme="majorHAnsi"/>
          <w:sz w:val="28"/>
          <w:szCs w:val="28"/>
          <w:lang w:val="ro-MD"/>
        </w:rPr>
        <w:t xml:space="preserve">e calculare și achitare a </w:t>
      </w:r>
      <w:r w:rsidR="00B31E7D" w:rsidRPr="002751FC">
        <w:rPr>
          <w:rFonts w:asciiTheme="majorHAnsi" w:hAnsiTheme="majorHAnsi" w:cstheme="majorHAnsi"/>
          <w:sz w:val="28"/>
          <w:szCs w:val="28"/>
          <w:lang w:val="ro-MD"/>
        </w:rPr>
        <w:t>contribuțiilor</w:t>
      </w:r>
      <w:r w:rsidR="00974C87" w:rsidRPr="002751FC">
        <w:rPr>
          <w:rFonts w:asciiTheme="majorHAnsi" w:hAnsiTheme="majorHAnsi" w:cstheme="majorHAnsi"/>
          <w:sz w:val="28"/>
          <w:szCs w:val="28"/>
          <w:lang w:val="ro-MD"/>
        </w:rPr>
        <w:t xml:space="preserve"> în FVV, și anume revizuit </w:t>
      </w:r>
      <w:r w:rsidR="00B31E7D" w:rsidRPr="002751FC">
        <w:rPr>
          <w:rFonts w:asciiTheme="majorHAnsi" w:hAnsiTheme="majorHAnsi" w:cstheme="majorHAnsi"/>
          <w:sz w:val="28"/>
          <w:szCs w:val="28"/>
          <w:lang w:val="ro-MD"/>
        </w:rPr>
        <w:t>termenul</w:t>
      </w:r>
      <w:r w:rsidR="00974C87" w:rsidRPr="002751FC">
        <w:rPr>
          <w:rFonts w:asciiTheme="majorHAnsi" w:hAnsiTheme="majorHAnsi" w:cstheme="majorHAnsi"/>
          <w:sz w:val="28"/>
          <w:szCs w:val="28"/>
          <w:lang w:val="ro-MD"/>
        </w:rPr>
        <w:t xml:space="preserve"> de 120 de zile</w:t>
      </w:r>
      <w:r w:rsidR="005F1E22" w:rsidRPr="002751FC">
        <w:rPr>
          <w:rFonts w:asciiTheme="majorHAnsi" w:hAnsiTheme="majorHAnsi" w:cstheme="majorHAnsi"/>
          <w:sz w:val="28"/>
          <w:szCs w:val="28"/>
          <w:lang w:val="ro-MD"/>
        </w:rPr>
        <w:t xml:space="preserve"> de la data emiterii </w:t>
      </w:r>
      <w:r w:rsidR="005F1E22" w:rsidRPr="002751FC">
        <w:rPr>
          <w:rFonts w:asciiTheme="majorHAnsi" w:hAnsiTheme="majorHAnsi" w:cstheme="majorHAnsi"/>
          <w:sz w:val="28"/>
          <w:szCs w:val="28"/>
          <w:lang w:val="ro-MD"/>
        </w:rPr>
        <w:lastRenderedPageBreak/>
        <w:t>facturii fiscale</w:t>
      </w:r>
      <w:r w:rsidR="00974C87" w:rsidRPr="002751FC">
        <w:rPr>
          <w:rFonts w:asciiTheme="majorHAnsi" w:hAnsiTheme="majorHAnsi" w:cstheme="majorHAnsi"/>
          <w:sz w:val="28"/>
          <w:szCs w:val="28"/>
          <w:lang w:val="ro-MD"/>
        </w:rPr>
        <w:t>,</w:t>
      </w:r>
      <w:r w:rsidR="00B31E7D" w:rsidRPr="002751FC">
        <w:rPr>
          <w:rFonts w:asciiTheme="majorHAnsi" w:hAnsiTheme="majorHAnsi" w:cstheme="majorHAnsi"/>
          <w:sz w:val="28"/>
          <w:szCs w:val="28"/>
          <w:lang w:val="ro-MD"/>
        </w:rPr>
        <w:t xml:space="preserve"> </w:t>
      </w:r>
      <w:r w:rsidR="00974C87" w:rsidRPr="002751FC">
        <w:rPr>
          <w:rFonts w:asciiTheme="majorHAnsi" w:hAnsiTheme="majorHAnsi" w:cstheme="majorHAnsi"/>
          <w:sz w:val="28"/>
          <w:szCs w:val="28"/>
          <w:lang w:val="ro-MD"/>
        </w:rPr>
        <w:t xml:space="preserve">problemele legate de imperfecțiunea acestuia și </w:t>
      </w:r>
      <w:r w:rsidR="005A1A3C" w:rsidRPr="002751FC">
        <w:rPr>
          <w:rFonts w:asciiTheme="majorHAnsi" w:hAnsiTheme="majorHAnsi" w:cstheme="majorHAnsi"/>
          <w:sz w:val="28"/>
          <w:szCs w:val="28"/>
          <w:lang w:val="ro-MD"/>
        </w:rPr>
        <w:t xml:space="preserve">de </w:t>
      </w:r>
      <w:r w:rsidR="00974C87" w:rsidRPr="002751FC">
        <w:rPr>
          <w:rFonts w:asciiTheme="majorHAnsi" w:hAnsiTheme="majorHAnsi" w:cstheme="majorHAnsi"/>
          <w:sz w:val="28"/>
          <w:szCs w:val="28"/>
          <w:lang w:val="ro-MD"/>
        </w:rPr>
        <w:t>imposibilitatea realizării lui vor persist</w:t>
      </w:r>
      <w:r w:rsidR="005A1A3C" w:rsidRPr="002751FC">
        <w:rPr>
          <w:rFonts w:asciiTheme="majorHAnsi" w:hAnsiTheme="majorHAnsi" w:cstheme="majorHAnsi"/>
          <w:sz w:val="28"/>
          <w:szCs w:val="28"/>
          <w:lang w:val="ro-MD"/>
        </w:rPr>
        <w:t>a</w:t>
      </w:r>
      <w:r w:rsidR="00974C87" w:rsidRPr="002751FC">
        <w:rPr>
          <w:rFonts w:asciiTheme="majorHAnsi" w:hAnsiTheme="majorHAnsi" w:cstheme="majorHAnsi"/>
          <w:sz w:val="28"/>
          <w:szCs w:val="28"/>
          <w:lang w:val="ro-MD"/>
        </w:rPr>
        <w:t xml:space="preserve"> și </w:t>
      </w:r>
      <w:r w:rsidR="005A1A3C" w:rsidRPr="002751FC">
        <w:rPr>
          <w:rFonts w:asciiTheme="majorHAnsi" w:hAnsiTheme="majorHAnsi" w:cstheme="majorHAnsi"/>
          <w:sz w:val="28"/>
          <w:szCs w:val="28"/>
          <w:lang w:val="ro-MD"/>
        </w:rPr>
        <w:t>în</w:t>
      </w:r>
      <w:r w:rsidR="00974C87" w:rsidRPr="002751FC">
        <w:rPr>
          <w:rFonts w:asciiTheme="majorHAnsi" w:hAnsiTheme="majorHAnsi" w:cstheme="majorHAnsi"/>
          <w:sz w:val="28"/>
          <w:szCs w:val="28"/>
          <w:lang w:val="ro-MD"/>
        </w:rPr>
        <w:t xml:space="preserve"> anii următori.</w:t>
      </w:r>
    </w:p>
    <w:p w:rsidR="00974C87" w:rsidRPr="002751FC" w:rsidRDefault="00974C87" w:rsidP="00974C87">
      <w:pPr>
        <w:spacing w:before="120"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De asemenea</w:t>
      </w:r>
      <w:r w:rsidR="005A1A3C"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sunt necesare măsuri de aj</w:t>
      </w:r>
      <w:r w:rsidR="00FF22FE" w:rsidRPr="002751FC">
        <w:rPr>
          <w:rFonts w:asciiTheme="majorHAnsi" w:hAnsiTheme="majorHAnsi" w:cstheme="majorHAnsi"/>
          <w:sz w:val="28"/>
          <w:szCs w:val="28"/>
          <w:lang w:val="ro-MD"/>
        </w:rPr>
        <w:t>ustare/aducere în concordanță a</w:t>
      </w:r>
      <w:r w:rsidRPr="002751FC">
        <w:rPr>
          <w:rFonts w:asciiTheme="majorHAnsi" w:hAnsiTheme="majorHAnsi" w:cstheme="majorHAnsi"/>
          <w:sz w:val="28"/>
          <w:szCs w:val="28"/>
          <w:lang w:val="ro-MD"/>
        </w:rPr>
        <w:t xml:space="preserve"> L</w:t>
      </w:r>
      <w:r w:rsidR="005877E9" w:rsidRPr="002751FC">
        <w:rPr>
          <w:rFonts w:asciiTheme="majorHAnsi" w:hAnsiTheme="majorHAnsi" w:cstheme="majorHAnsi"/>
          <w:sz w:val="28"/>
          <w:szCs w:val="28"/>
          <w:lang w:val="ro-MD"/>
        </w:rPr>
        <w:t>egii viei şi vinului</w:t>
      </w:r>
      <w:r w:rsidRPr="002751FC">
        <w:rPr>
          <w:rFonts w:asciiTheme="majorHAnsi" w:hAnsiTheme="majorHAnsi" w:cstheme="majorHAnsi"/>
          <w:sz w:val="28"/>
          <w:szCs w:val="28"/>
          <w:lang w:val="ro-MD"/>
        </w:rPr>
        <w:t xml:space="preserve"> cu Leg</w:t>
      </w:r>
      <w:r w:rsidR="005A1A3C" w:rsidRPr="002751FC">
        <w:rPr>
          <w:rFonts w:asciiTheme="majorHAnsi" w:hAnsiTheme="majorHAnsi" w:cstheme="majorHAnsi"/>
          <w:sz w:val="28"/>
          <w:szCs w:val="28"/>
          <w:lang w:val="ro-MD"/>
        </w:rPr>
        <w:t>ea</w:t>
      </w:r>
      <w:r w:rsidR="001164B9" w:rsidRPr="002751FC">
        <w:rPr>
          <w:rFonts w:asciiTheme="majorHAnsi" w:hAnsiTheme="majorHAnsi" w:cstheme="majorHAnsi"/>
          <w:sz w:val="28"/>
          <w:szCs w:val="28"/>
          <w:lang w:val="ro-MD"/>
        </w:rPr>
        <w:t xml:space="preserve"> finanțelor publice şi responsabilității bugetar-fiscale</w:t>
      </w:r>
      <w:r w:rsidRPr="002751FC">
        <w:rPr>
          <w:rFonts w:asciiTheme="majorHAnsi" w:hAnsiTheme="majorHAnsi" w:cstheme="majorHAnsi"/>
          <w:sz w:val="28"/>
          <w:szCs w:val="28"/>
          <w:lang w:val="ro-MD"/>
        </w:rPr>
        <w:t xml:space="preserve"> nr.181</w:t>
      </w:r>
      <w:r w:rsidR="001164B9" w:rsidRPr="002751FC">
        <w:rPr>
          <w:rFonts w:asciiTheme="majorHAnsi" w:hAnsiTheme="majorHAnsi" w:cstheme="majorHAnsi"/>
          <w:sz w:val="28"/>
          <w:szCs w:val="28"/>
          <w:lang w:val="ro-MD"/>
        </w:rPr>
        <w:t xml:space="preserve"> din 25.07.</w:t>
      </w:r>
      <w:r w:rsidRPr="002751FC">
        <w:rPr>
          <w:rFonts w:asciiTheme="majorHAnsi" w:hAnsiTheme="majorHAnsi" w:cstheme="majorHAnsi"/>
          <w:sz w:val="28"/>
          <w:szCs w:val="28"/>
          <w:lang w:val="ro-MD"/>
        </w:rPr>
        <w:t>2014, și anume în contextul prevederilor art.84 și art.85 din Legea respectivă</w:t>
      </w:r>
      <w:r w:rsidR="005A1A3C"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w:t>
      </w:r>
      <w:r w:rsidR="005A1A3C" w:rsidRPr="002751FC">
        <w:rPr>
          <w:rFonts w:asciiTheme="majorHAnsi" w:hAnsiTheme="majorHAnsi" w:cstheme="majorHAnsi"/>
          <w:sz w:val="28"/>
          <w:szCs w:val="28"/>
          <w:lang w:val="ro-MD"/>
        </w:rPr>
        <w:t>În caz contrar</w:t>
      </w:r>
      <w:r w:rsidRPr="002751FC">
        <w:rPr>
          <w:rFonts w:asciiTheme="majorHAnsi" w:hAnsiTheme="majorHAnsi" w:cstheme="majorHAnsi"/>
          <w:sz w:val="28"/>
          <w:szCs w:val="28"/>
          <w:lang w:val="ro-MD"/>
        </w:rPr>
        <w:t xml:space="preserve">, bugetul de stat va </w:t>
      </w:r>
      <w:r w:rsidR="005877E9" w:rsidRPr="002751FC">
        <w:rPr>
          <w:rFonts w:asciiTheme="majorHAnsi" w:hAnsiTheme="majorHAnsi" w:cstheme="majorHAnsi"/>
          <w:sz w:val="28"/>
          <w:szCs w:val="28"/>
          <w:lang w:val="ro-MD"/>
        </w:rPr>
        <w:t>continua</w:t>
      </w:r>
      <w:r w:rsidRPr="002751FC">
        <w:rPr>
          <w:rFonts w:asciiTheme="majorHAnsi" w:hAnsiTheme="majorHAnsi" w:cstheme="majorHAnsi"/>
          <w:sz w:val="28"/>
          <w:szCs w:val="28"/>
          <w:lang w:val="ro-MD"/>
        </w:rPr>
        <w:t xml:space="preserve"> să suporte cheltuieli suplimentare, </w:t>
      </w:r>
      <w:r w:rsidR="005A1A3C" w:rsidRPr="002751FC">
        <w:rPr>
          <w:rFonts w:asciiTheme="majorHAnsi" w:hAnsiTheme="majorHAnsi" w:cstheme="majorHAnsi"/>
          <w:sz w:val="28"/>
          <w:szCs w:val="28"/>
          <w:lang w:val="ro-MD"/>
        </w:rPr>
        <w:t>întrucât</w:t>
      </w:r>
      <w:r w:rsidRPr="002751FC">
        <w:rPr>
          <w:rFonts w:asciiTheme="majorHAnsi" w:hAnsiTheme="majorHAnsi" w:cstheme="majorHAnsi"/>
          <w:sz w:val="28"/>
          <w:szCs w:val="28"/>
          <w:lang w:val="ro-MD"/>
        </w:rPr>
        <w:t xml:space="preserve"> ONVV nu are capacitate să le valorifice, mijloacele bugetare fiind dezafectate pe un termen nedeterminat (la situația din 31.12.2018, soldul mijloacelor bănești neutilizate de ONVV constitui</w:t>
      </w:r>
      <w:r w:rsidR="005A1A3C" w:rsidRPr="002751FC">
        <w:rPr>
          <w:rFonts w:asciiTheme="majorHAnsi" w:hAnsiTheme="majorHAnsi" w:cstheme="majorHAnsi"/>
          <w:sz w:val="28"/>
          <w:szCs w:val="28"/>
          <w:lang w:val="ro-MD"/>
        </w:rPr>
        <w:t>a</w:t>
      </w:r>
      <w:r w:rsidRPr="002751FC">
        <w:rPr>
          <w:rFonts w:asciiTheme="majorHAnsi" w:hAnsiTheme="majorHAnsi" w:cstheme="majorHAnsi"/>
          <w:sz w:val="28"/>
          <w:szCs w:val="28"/>
          <w:lang w:val="ro-MD"/>
        </w:rPr>
        <w:t xml:space="preserve"> </w:t>
      </w:r>
      <w:r w:rsidRPr="002751FC">
        <w:rPr>
          <w:rFonts w:asciiTheme="majorHAnsi" w:hAnsiTheme="majorHAnsi" w:cstheme="majorHAnsi"/>
          <w:b/>
          <w:sz w:val="28"/>
          <w:szCs w:val="28"/>
          <w:lang w:val="ro-MD"/>
        </w:rPr>
        <w:t xml:space="preserve">35,1 </w:t>
      </w:r>
      <w:proofErr w:type="spellStart"/>
      <w:r w:rsidRPr="002751FC">
        <w:rPr>
          <w:rFonts w:asciiTheme="majorHAnsi" w:hAnsiTheme="majorHAnsi" w:cstheme="majorHAnsi"/>
          <w:b/>
          <w:sz w:val="28"/>
          <w:szCs w:val="28"/>
          <w:lang w:val="ro-MD"/>
        </w:rPr>
        <w:t>mil.MDL</w:t>
      </w:r>
      <w:proofErr w:type="spellEnd"/>
      <w:r w:rsidRPr="002751FC">
        <w:rPr>
          <w:rFonts w:asciiTheme="majorHAnsi" w:hAnsiTheme="majorHAnsi" w:cstheme="majorHAnsi"/>
          <w:b/>
          <w:sz w:val="28"/>
          <w:szCs w:val="28"/>
          <w:lang w:val="ro-MD"/>
        </w:rPr>
        <w:t>)</w:t>
      </w:r>
      <w:r w:rsidRPr="002751FC">
        <w:rPr>
          <w:rFonts w:asciiTheme="majorHAnsi" w:hAnsiTheme="majorHAnsi" w:cstheme="majorHAnsi"/>
          <w:sz w:val="28"/>
          <w:szCs w:val="28"/>
          <w:lang w:val="ro-MD"/>
        </w:rPr>
        <w:t xml:space="preserve">, </w:t>
      </w:r>
      <w:r w:rsidR="005877E9" w:rsidRPr="002751FC">
        <w:rPr>
          <w:rFonts w:asciiTheme="majorHAnsi" w:hAnsiTheme="majorHAnsi" w:cstheme="majorHAnsi"/>
          <w:sz w:val="28"/>
          <w:szCs w:val="28"/>
          <w:lang w:val="ro-MD"/>
        </w:rPr>
        <w:t>care puteau fi</w:t>
      </w:r>
      <w:r w:rsidRPr="002751FC">
        <w:rPr>
          <w:rFonts w:asciiTheme="majorHAnsi" w:hAnsiTheme="majorHAnsi" w:cstheme="majorHAnsi"/>
          <w:sz w:val="28"/>
          <w:szCs w:val="28"/>
          <w:lang w:val="ro-MD"/>
        </w:rPr>
        <w:t xml:space="preserve"> îndreptate la alte măsuri stringente</w:t>
      </w:r>
      <w:r w:rsidR="005877E9" w:rsidRPr="002751FC">
        <w:rPr>
          <w:rFonts w:asciiTheme="majorHAnsi" w:hAnsiTheme="majorHAnsi" w:cstheme="majorHAnsi"/>
          <w:sz w:val="28"/>
          <w:szCs w:val="28"/>
          <w:lang w:val="ro-MD"/>
        </w:rPr>
        <w:t>.</w:t>
      </w:r>
    </w:p>
    <w:p w:rsidR="00974C87" w:rsidRPr="002751FC" w:rsidRDefault="00974C87" w:rsidP="00974C87">
      <w:pPr>
        <w:spacing w:before="120"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În urma evaluării zonelor problematice și de risc care </w:t>
      </w:r>
      <w:r w:rsidR="003F01FA" w:rsidRPr="002751FC">
        <w:rPr>
          <w:rFonts w:asciiTheme="majorHAnsi" w:hAnsiTheme="majorHAnsi" w:cstheme="majorHAnsi"/>
          <w:sz w:val="28"/>
          <w:szCs w:val="28"/>
          <w:lang w:val="ro-MD"/>
        </w:rPr>
        <w:t xml:space="preserve">au afectat conformitatea </w:t>
      </w:r>
      <w:r w:rsidRPr="002751FC">
        <w:rPr>
          <w:rFonts w:asciiTheme="majorHAnsi" w:hAnsiTheme="majorHAnsi" w:cstheme="majorHAnsi"/>
          <w:sz w:val="28"/>
          <w:szCs w:val="28"/>
          <w:lang w:val="ro-MD"/>
        </w:rPr>
        <w:t>gestionării resurselor FVV, auditul a oferit recomandări care vor contribui la îmbunătățirea și consolidarea sistemului de alocare, monitorizare, evaluare și control, precum și la responsabilizarea actorilor implicați în gestionarea și utilizarea resurselor FVV, în vederea respectării legislației și asigurării consecvenței decizionale.</w:t>
      </w:r>
    </w:p>
    <w:p w:rsidR="00974C87" w:rsidRPr="002751FC" w:rsidRDefault="00974C87" w:rsidP="00974C87">
      <w:pPr>
        <w:spacing w:before="120"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Auditul consideră că rezultatele auditului vor contribui la creșterea calității managementului resurselor financiare ale FVV, a calității procesului decizional, </w:t>
      </w:r>
      <w:r w:rsidR="005A1A3C" w:rsidRPr="002751FC">
        <w:rPr>
          <w:rFonts w:asciiTheme="majorHAnsi" w:hAnsiTheme="majorHAnsi" w:cstheme="majorHAnsi"/>
          <w:sz w:val="28"/>
          <w:szCs w:val="28"/>
          <w:lang w:val="ro-MD"/>
        </w:rPr>
        <w:t xml:space="preserve">a </w:t>
      </w:r>
      <w:r w:rsidRPr="002751FC">
        <w:rPr>
          <w:rFonts w:asciiTheme="majorHAnsi" w:hAnsiTheme="majorHAnsi" w:cstheme="majorHAnsi"/>
          <w:sz w:val="28"/>
          <w:szCs w:val="28"/>
          <w:lang w:val="ro-MD"/>
        </w:rPr>
        <w:t xml:space="preserve">politicilor în domeniul vitivinicol, precum și a managementului financiar-contabil. </w:t>
      </w:r>
    </w:p>
    <w:p w:rsidR="00974C87" w:rsidRPr="002751FC" w:rsidRDefault="00974C87" w:rsidP="00974C87">
      <w:pPr>
        <w:spacing w:before="120"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Rezultatele auditului pot fi relevante pentru:</w:t>
      </w:r>
    </w:p>
    <w:p w:rsidR="00974C87" w:rsidRPr="002751FC" w:rsidRDefault="00974C87" w:rsidP="00974C87">
      <w:pPr>
        <w:spacing w:after="0" w:line="240" w:lineRule="auto"/>
        <w:jc w:val="both"/>
        <w:rPr>
          <w:rFonts w:asciiTheme="majorHAnsi" w:hAnsiTheme="majorHAnsi" w:cstheme="majorHAnsi"/>
          <w:sz w:val="28"/>
          <w:szCs w:val="28"/>
          <w:lang w:val="ro-MD"/>
        </w:rPr>
      </w:pPr>
    </w:p>
    <w:p w:rsidR="00974C87" w:rsidRPr="002751FC" w:rsidRDefault="00974C87" w:rsidP="00974C87">
      <w:pPr>
        <w:spacing w:after="0" w:line="240" w:lineRule="auto"/>
        <w:jc w:val="both"/>
        <w:rPr>
          <w:rFonts w:asciiTheme="majorHAnsi" w:hAnsiTheme="majorHAnsi" w:cstheme="majorHAnsi"/>
          <w:sz w:val="28"/>
          <w:szCs w:val="28"/>
          <w:lang w:val="ro-MD"/>
        </w:rPr>
      </w:pPr>
      <w:r w:rsidRPr="002751FC">
        <w:rPr>
          <w:rFonts w:asciiTheme="majorHAnsi" w:hAnsiTheme="majorHAnsi" w:cstheme="majorHAnsi"/>
          <w:b/>
          <w:sz w:val="28"/>
          <w:szCs w:val="28"/>
          <w:lang w:val="ro-MD"/>
        </w:rPr>
        <w:t xml:space="preserve">Parlament și Guvern </w:t>
      </w:r>
      <w:r w:rsidRPr="002751FC">
        <w:rPr>
          <w:rFonts w:asciiTheme="majorHAnsi" w:hAnsiTheme="majorHAnsi" w:cstheme="majorHAnsi"/>
          <w:sz w:val="28"/>
          <w:szCs w:val="28"/>
          <w:lang w:val="ro-MD"/>
        </w:rPr>
        <w:t>– pentru o posibilă utilizare a informațiilor în luarea deciziilor aferente reformelor și inițiativelor de susținere a politicilor de restructurare a domeniului vizat;</w:t>
      </w:r>
    </w:p>
    <w:p w:rsidR="00974C87" w:rsidRPr="002751FC" w:rsidRDefault="00974C87" w:rsidP="00974C87">
      <w:pPr>
        <w:spacing w:after="0" w:line="240" w:lineRule="auto"/>
        <w:jc w:val="both"/>
        <w:rPr>
          <w:rFonts w:asciiTheme="majorHAnsi" w:hAnsiTheme="majorHAnsi" w:cstheme="majorHAnsi"/>
          <w:sz w:val="28"/>
          <w:szCs w:val="28"/>
          <w:lang w:val="ro-MD"/>
        </w:rPr>
      </w:pPr>
    </w:p>
    <w:p w:rsidR="00974C87" w:rsidRPr="002751FC" w:rsidRDefault="00974C87" w:rsidP="00974C87">
      <w:pPr>
        <w:spacing w:after="0" w:line="240" w:lineRule="auto"/>
        <w:jc w:val="both"/>
        <w:rPr>
          <w:rFonts w:asciiTheme="majorHAnsi" w:hAnsiTheme="majorHAnsi" w:cstheme="majorHAnsi"/>
          <w:sz w:val="28"/>
          <w:szCs w:val="28"/>
          <w:lang w:val="ro-MD"/>
        </w:rPr>
      </w:pPr>
      <w:r w:rsidRPr="002751FC">
        <w:rPr>
          <w:rFonts w:asciiTheme="majorHAnsi" w:hAnsiTheme="majorHAnsi" w:cstheme="majorHAnsi"/>
          <w:b/>
          <w:sz w:val="28"/>
          <w:szCs w:val="28"/>
          <w:lang w:val="ro-MD"/>
        </w:rPr>
        <w:t xml:space="preserve">Ministerul </w:t>
      </w:r>
      <w:r w:rsidRPr="002751FC">
        <w:rPr>
          <w:rFonts w:asciiTheme="majorHAnsi" w:eastAsia="Calibri" w:hAnsiTheme="majorHAnsi" w:cstheme="majorHAnsi"/>
          <w:b/>
          <w:sz w:val="28"/>
          <w:szCs w:val="28"/>
          <w:lang w:val="ro-MD"/>
        </w:rPr>
        <w:t>Agriculturii, Dezvoltării Regionale și Mediului</w:t>
      </w:r>
      <w:r w:rsidRPr="002751FC">
        <w:rPr>
          <w:rFonts w:asciiTheme="majorHAnsi" w:hAnsiTheme="majorHAnsi" w:cstheme="majorHAnsi"/>
          <w:sz w:val="28"/>
          <w:szCs w:val="28"/>
          <w:lang w:val="ro-MD"/>
        </w:rPr>
        <w:t xml:space="preserve"> – pentru revizuirea și ajustarea cadrului legislativ-normativ</w:t>
      </w:r>
      <w:r w:rsidR="00407D29" w:rsidRPr="002751FC">
        <w:rPr>
          <w:rFonts w:asciiTheme="majorHAnsi" w:hAnsiTheme="majorHAnsi" w:cstheme="majorHAnsi"/>
          <w:sz w:val="28"/>
          <w:szCs w:val="28"/>
          <w:lang w:val="ro-MD"/>
        </w:rPr>
        <w:t xml:space="preserve"> în vederea asigurării </w:t>
      </w:r>
      <w:r w:rsidR="005F5A7B" w:rsidRPr="002751FC">
        <w:rPr>
          <w:rFonts w:asciiTheme="majorHAnsi" w:hAnsiTheme="majorHAnsi" w:cstheme="majorHAnsi"/>
          <w:sz w:val="28"/>
          <w:szCs w:val="28"/>
          <w:lang w:val="ro-MD"/>
        </w:rPr>
        <w:t xml:space="preserve">gestionării și </w:t>
      </w:r>
      <w:r w:rsidR="00407D29" w:rsidRPr="002751FC">
        <w:rPr>
          <w:rFonts w:asciiTheme="majorHAnsi" w:hAnsiTheme="majorHAnsi" w:cstheme="majorHAnsi"/>
          <w:sz w:val="28"/>
          <w:szCs w:val="28"/>
          <w:lang w:val="ro-MD"/>
        </w:rPr>
        <w:t>utilizării conforme a</w:t>
      </w:r>
      <w:r w:rsidRPr="002751FC">
        <w:rPr>
          <w:rFonts w:asciiTheme="majorHAnsi" w:hAnsiTheme="majorHAnsi" w:cstheme="majorHAnsi"/>
          <w:sz w:val="28"/>
          <w:szCs w:val="28"/>
          <w:lang w:val="ro-MD"/>
        </w:rPr>
        <w:t xml:space="preserve"> mijloacelor FVV, precum și instituirea noilor proceduri și metode, sisteme și tehnici care vor contribui la sporirea calității controlului intern și administrării resurselor, precum și a responsabilității personalului implicat. </w:t>
      </w:r>
    </w:p>
    <w:p w:rsidR="00A44ED0" w:rsidRPr="002751FC" w:rsidRDefault="00A44ED0" w:rsidP="00974C87">
      <w:pPr>
        <w:spacing w:after="0" w:line="240" w:lineRule="auto"/>
        <w:jc w:val="both"/>
        <w:rPr>
          <w:rFonts w:asciiTheme="majorHAnsi" w:hAnsiTheme="majorHAnsi" w:cstheme="majorHAnsi"/>
          <w:sz w:val="28"/>
          <w:szCs w:val="28"/>
          <w:lang w:val="ro-MD"/>
        </w:rPr>
      </w:pPr>
    </w:p>
    <w:p w:rsidR="00A44ED0" w:rsidRPr="002751FC" w:rsidRDefault="00A44ED0" w:rsidP="00974C87">
      <w:pPr>
        <w:spacing w:after="0" w:line="240" w:lineRule="auto"/>
        <w:jc w:val="both"/>
        <w:rPr>
          <w:rFonts w:asciiTheme="majorHAnsi" w:hAnsiTheme="majorHAnsi" w:cstheme="majorHAnsi"/>
          <w:sz w:val="28"/>
          <w:szCs w:val="28"/>
          <w:lang w:val="ro-MD"/>
        </w:rPr>
      </w:pPr>
    </w:p>
    <w:p w:rsidR="00A44ED0" w:rsidRPr="002751FC" w:rsidRDefault="00A44ED0" w:rsidP="00974C87">
      <w:pPr>
        <w:spacing w:after="0" w:line="240" w:lineRule="auto"/>
        <w:jc w:val="both"/>
        <w:rPr>
          <w:rFonts w:asciiTheme="majorHAnsi" w:hAnsiTheme="majorHAnsi" w:cstheme="majorHAnsi"/>
          <w:sz w:val="28"/>
          <w:szCs w:val="28"/>
          <w:lang w:val="ro-MD"/>
        </w:rPr>
      </w:pPr>
    </w:p>
    <w:p w:rsidR="00A44ED0" w:rsidRPr="002751FC" w:rsidRDefault="00A44ED0" w:rsidP="00974C87">
      <w:pPr>
        <w:spacing w:after="0" w:line="240" w:lineRule="auto"/>
        <w:jc w:val="both"/>
        <w:rPr>
          <w:rFonts w:asciiTheme="majorHAnsi" w:hAnsiTheme="majorHAnsi" w:cstheme="majorHAnsi"/>
          <w:sz w:val="28"/>
          <w:szCs w:val="28"/>
          <w:lang w:val="ro-MD"/>
        </w:rPr>
      </w:pPr>
    </w:p>
    <w:p w:rsidR="00A44ED0" w:rsidRPr="002751FC" w:rsidRDefault="00A44ED0" w:rsidP="00974C87">
      <w:pPr>
        <w:spacing w:after="0" w:line="240" w:lineRule="auto"/>
        <w:jc w:val="both"/>
        <w:rPr>
          <w:rFonts w:asciiTheme="majorHAnsi" w:hAnsiTheme="majorHAnsi" w:cstheme="majorHAnsi"/>
          <w:sz w:val="28"/>
          <w:szCs w:val="28"/>
          <w:lang w:val="ro-MD"/>
        </w:rPr>
      </w:pPr>
    </w:p>
    <w:p w:rsidR="00974C87" w:rsidRPr="002751FC" w:rsidRDefault="00974C87" w:rsidP="00974C87">
      <w:pPr>
        <w:pStyle w:val="1"/>
        <w:rPr>
          <w:rFonts w:cstheme="majorHAnsi"/>
          <w:b/>
          <w:color w:val="auto"/>
          <w:sz w:val="28"/>
          <w:szCs w:val="28"/>
          <w:lang w:val="ro-MD"/>
        </w:rPr>
      </w:pPr>
      <w:bookmarkStart w:id="5" w:name="_Toc492893766"/>
      <w:bookmarkStart w:id="6" w:name="_Toc492899647"/>
      <w:bookmarkStart w:id="7" w:name="_Toc509412841"/>
      <w:bookmarkStart w:id="8" w:name="_Toc510185762"/>
      <w:bookmarkStart w:id="9" w:name="_Toc23259084"/>
      <w:r w:rsidRPr="002751FC">
        <w:rPr>
          <w:rFonts w:eastAsia="Times New Roman" w:cstheme="majorHAnsi"/>
          <w:b/>
          <w:color w:val="auto"/>
          <w:sz w:val="28"/>
          <w:szCs w:val="28"/>
          <w:lang w:val="ro-MD"/>
        </w:rPr>
        <w:lastRenderedPageBreak/>
        <w:t xml:space="preserve">II. </w:t>
      </w:r>
      <w:bookmarkEnd w:id="5"/>
      <w:bookmarkEnd w:id="6"/>
      <w:bookmarkEnd w:id="7"/>
      <w:bookmarkEnd w:id="8"/>
      <w:r w:rsidRPr="002751FC">
        <w:rPr>
          <w:rFonts w:cstheme="majorHAnsi"/>
          <w:b/>
          <w:color w:val="auto"/>
          <w:sz w:val="28"/>
          <w:szCs w:val="28"/>
          <w:lang w:val="ro-MD"/>
        </w:rPr>
        <w:t>PREZENTARE GENERALĂ</w:t>
      </w:r>
      <w:bookmarkEnd w:id="9"/>
    </w:p>
    <w:p w:rsidR="00974C87" w:rsidRPr="002751FC" w:rsidRDefault="00974C87" w:rsidP="00974C87">
      <w:pPr>
        <w:pStyle w:val="1"/>
        <w:rPr>
          <w:rFonts w:cstheme="majorHAnsi"/>
          <w:b/>
          <w:color w:val="auto"/>
          <w:sz w:val="28"/>
          <w:szCs w:val="28"/>
          <w:lang w:val="ro-MD"/>
        </w:rPr>
      </w:pPr>
      <w:bookmarkStart w:id="10" w:name="_Toc23259085"/>
      <w:r w:rsidRPr="002751FC">
        <w:rPr>
          <w:rFonts w:cstheme="majorHAnsi"/>
          <w:b/>
          <w:color w:val="auto"/>
          <w:sz w:val="28"/>
          <w:szCs w:val="28"/>
          <w:lang w:val="ro-MD"/>
        </w:rPr>
        <w:t xml:space="preserve">2.1. Informații generale despre Fondul </w:t>
      </w:r>
      <w:r w:rsidR="002A372D" w:rsidRPr="002751FC">
        <w:rPr>
          <w:rFonts w:cstheme="majorHAnsi"/>
          <w:b/>
          <w:color w:val="auto"/>
          <w:sz w:val="28"/>
          <w:szCs w:val="28"/>
          <w:lang w:val="ro-MD"/>
        </w:rPr>
        <w:t>V</w:t>
      </w:r>
      <w:r w:rsidRPr="002751FC">
        <w:rPr>
          <w:rFonts w:cstheme="majorHAnsi"/>
          <w:b/>
          <w:color w:val="auto"/>
          <w:sz w:val="28"/>
          <w:szCs w:val="28"/>
          <w:lang w:val="ro-MD"/>
        </w:rPr>
        <w:t xml:space="preserve">iei și </w:t>
      </w:r>
      <w:r w:rsidR="002A372D" w:rsidRPr="002751FC">
        <w:rPr>
          <w:rFonts w:cstheme="majorHAnsi"/>
          <w:b/>
          <w:color w:val="auto"/>
          <w:sz w:val="28"/>
          <w:szCs w:val="28"/>
          <w:lang w:val="ro-MD"/>
        </w:rPr>
        <w:t>V</w:t>
      </w:r>
      <w:r w:rsidRPr="002751FC">
        <w:rPr>
          <w:rFonts w:cstheme="majorHAnsi"/>
          <w:b/>
          <w:color w:val="auto"/>
          <w:sz w:val="28"/>
          <w:szCs w:val="28"/>
          <w:lang w:val="ro-MD"/>
        </w:rPr>
        <w:t>inului</w:t>
      </w:r>
      <w:bookmarkEnd w:id="10"/>
    </w:p>
    <w:p w:rsidR="00974C87" w:rsidRPr="002751FC" w:rsidRDefault="00974C87" w:rsidP="00974C87">
      <w:pPr>
        <w:rPr>
          <w:rFonts w:asciiTheme="majorHAnsi" w:hAnsiTheme="majorHAnsi" w:cstheme="majorHAnsi"/>
          <w:lang w:val="ro-MD"/>
        </w:rPr>
      </w:pPr>
    </w:p>
    <w:p w:rsidR="00974C87" w:rsidRPr="002751FC" w:rsidRDefault="00974C87" w:rsidP="00974C87">
      <w:pPr>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Conform cadrului legal</w:t>
      </w:r>
      <w:r w:rsidR="00FB60C0"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FVV este instituit în scopul </w:t>
      </w:r>
      <w:r w:rsidR="00FB60C0" w:rsidRPr="002751FC">
        <w:rPr>
          <w:rFonts w:asciiTheme="majorHAnsi" w:hAnsiTheme="majorHAnsi" w:cstheme="majorHAnsi"/>
          <w:sz w:val="28"/>
          <w:szCs w:val="28"/>
          <w:lang w:val="ro-MD"/>
        </w:rPr>
        <w:t>finanțării</w:t>
      </w:r>
      <w:r w:rsidRPr="002751FC">
        <w:rPr>
          <w:rFonts w:asciiTheme="majorHAnsi" w:hAnsiTheme="majorHAnsi" w:cstheme="majorHAnsi"/>
          <w:sz w:val="28"/>
          <w:szCs w:val="28"/>
          <w:lang w:val="ro-MD"/>
        </w:rPr>
        <w:t xml:space="preserve"> măsurilor de dezvoltare a sectorului vitivinicol în strictă conformitate cu prevederile Regulamentului Fondului </w:t>
      </w:r>
      <w:r w:rsidR="00FB60C0" w:rsidRPr="002751FC">
        <w:rPr>
          <w:rFonts w:asciiTheme="majorHAnsi" w:hAnsiTheme="majorHAnsi" w:cstheme="majorHAnsi"/>
          <w:sz w:val="28"/>
          <w:szCs w:val="28"/>
          <w:lang w:val="ro-MD"/>
        </w:rPr>
        <w:t>V</w:t>
      </w:r>
      <w:r w:rsidRPr="002751FC">
        <w:rPr>
          <w:rFonts w:asciiTheme="majorHAnsi" w:hAnsiTheme="majorHAnsi" w:cstheme="majorHAnsi"/>
          <w:sz w:val="28"/>
          <w:szCs w:val="28"/>
          <w:lang w:val="ro-MD"/>
        </w:rPr>
        <w:t xml:space="preserve">iei și </w:t>
      </w:r>
      <w:r w:rsidR="00FB60C0" w:rsidRPr="002751FC">
        <w:rPr>
          <w:rFonts w:asciiTheme="majorHAnsi" w:hAnsiTheme="majorHAnsi" w:cstheme="majorHAnsi"/>
          <w:sz w:val="28"/>
          <w:szCs w:val="28"/>
          <w:lang w:val="ro-MD"/>
        </w:rPr>
        <w:t>V</w:t>
      </w:r>
      <w:r w:rsidRPr="002751FC">
        <w:rPr>
          <w:rFonts w:asciiTheme="majorHAnsi" w:hAnsiTheme="majorHAnsi" w:cstheme="majorHAnsi"/>
          <w:sz w:val="28"/>
          <w:szCs w:val="28"/>
          <w:lang w:val="ro-MD"/>
        </w:rPr>
        <w:t>inului</w:t>
      </w:r>
      <w:r w:rsidRPr="002751FC">
        <w:rPr>
          <w:rStyle w:val="ab"/>
          <w:rFonts w:asciiTheme="majorHAnsi" w:hAnsiTheme="majorHAnsi" w:cstheme="majorHAnsi"/>
          <w:sz w:val="28"/>
          <w:szCs w:val="28"/>
          <w:lang w:val="ro-MD"/>
        </w:rPr>
        <w:footnoteReference w:id="6"/>
      </w:r>
      <w:r w:rsidRPr="002751FC">
        <w:rPr>
          <w:rFonts w:asciiTheme="majorHAnsi" w:hAnsiTheme="majorHAnsi" w:cstheme="majorHAnsi"/>
          <w:sz w:val="28"/>
          <w:szCs w:val="28"/>
          <w:lang w:val="ro-MD"/>
        </w:rPr>
        <w:t xml:space="preserve"> şi Legii viei şi vinului</w:t>
      </w:r>
      <w:r w:rsidRPr="002751FC">
        <w:rPr>
          <w:rStyle w:val="ab"/>
          <w:rFonts w:asciiTheme="majorHAnsi" w:hAnsiTheme="majorHAnsi" w:cstheme="majorHAnsi"/>
          <w:sz w:val="28"/>
          <w:szCs w:val="28"/>
          <w:lang w:val="ro-MD"/>
        </w:rPr>
        <w:footnoteReference w:id="7"/>
      </w:r>
      <w:r w:rsidRPr="002751FC">
        <w:rPr>
          <w:rFonts w:asciiTheme="majorHAnsi" w:hAnsiTheme="majorHAnsi" w:cstheme="majorHAnsi"/>
          <w:sz w:val="28"/>
          <w:szCs w:val="28"/>
          <w:lang w:val="ro-MD"/>
        </w:rPr>
        <w:t>.</w:t>
      </w:r>
    </w:p>
    <w:p w:rsidR="00974C87" w:rsidRPr="002751FC" w:rsidRDefault="00974C87" w:rsidP="00974C87">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Formarea şi gestionarea Fondului se pune în sarcina ONVV</w:t>
      </w:r>
      <w:r w:rsidR="00D378CC"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în conformitate cu </w:t>
      </w:r>
      <w:r w:rsidR="00D378CC" w:rsidRPr="002751FC">
        <w:rPr>
          <w:rFonts w:asciiTheme="majorHAnsi" w:eastAsia="Times New Roman" w:hAnsiTheme="majorHAnsi" w:cstheme="majorHAnsi"/>
          <w:sz w:val="28"/>
          <w:szCs w:val="28"/>
          <w:lang w:val="ro-MD"/>
        </w:rPr>
        <w:t>R</w:t>
      </w:r>
      <w:r w:rsidRPr="002751FC">
        <w:rPr>
          <w:rFonts w:asciiTheme="majorHAnsi" w:eastAsia="Times New Roman" w:hAnsiTheme="majorHAnsi" w:cstheme="majorHAnsi"/>
          <w:sz w:val="28"/>
          <w:szCs w:val="28"/>
          <w:lang w:val="ro-MD"/>
        </w:rPr>
        <w:t>egulamentul aprobat de Guvern</w:t>
      </w:r>
      <w:r w:rsidRPr="002751FC">
        <w:rPr>
          <w:rStyle w:val="ab"/>
          <w:rFonts w:asciiTheme="majorHAnsi" w:hAnsiTheme="majorHAnsi" w:cstheme="majorHAnsi"/>
          <w:sz w:val="28"/>
          <w:szCs w:val="28"/>
          <w:lang w:val="ro-MD"/>
        </w:rPr>
        <w:footnoteReference w:id="8"/>
      </w:r>
      <w:r w:rsidRPr="002751FC">
        <w:rPr>
          <w:rFonts w:asciiTheme="majorHAnsi" w:eastAsia="Times New Roman" w:hAnsiTheme="majorHAnsi" w:cstheme="majorHAnsi"/>
          <w:sz w:val="28"/>
          <w:szCs w:val="28"/>
          <w:lang w:val="ro-MD"/>
        </w:rPr>
        <w:t>.</w:t>
      </w:r>
    </w:p>
    <w:p w:rsidR="00974C87" w:rsidRPr="002751FC" w:rsidRDefault="00974C87" w:rsidP="00974C87">
      <w:pPr>
        <w:spacing w:after="0"/>
        <w:jc w:val="both"/>
        <w:rPr>
          <w:rFonts w:asciiTheme="majorHAnsi" w:hAnsiTheme="majorHAnsi" w:cstheme="majorHAnsi"/>
          <w:b/>
          <w:i/>
          <w:sz w:val="28"/>
          <w:szCs w:val="28"/>
          <w:lang w:val="ro-MD"/>
        </w:rPr>
      </w:pPr>
    </w:p>
    <w:p w:rsidR="00974C87" w:rsidRPr="002751FC" w:rsidRDefault="00974C87" w:rsidP="00974C87">
      <w:pPr>
        <w:spacing w:after="0"/>
        <w:jc w:val="both"/>
        <w:rPr>
          <w:rFonts w:asciiTheme="majorHAnsi" w:eastAsia="Times New Roman" w:hAnsiTheme="majorHAnsi" w:cstheme="majorHAnsi"/>
          <w:sz w:val="28"/>
          <w:szCs w:val="28"/>
          <w:lang w:val="ro-MD"/>
        </w:rPr>
      </w:pPr>
      <w:r w:rsidRPr="002751FC">
        <w:rPr>
          <w:rFonts w:asciiTheme="majorHAnsi" w:hAnsiTheme="majorHAnsi" w:cstheme="majorHAnsi"/>
          <w:b/>
          <w:i/>
          <w:sz w:val="28"/>
          <w:szCs w:val="28"/>
          <w:lang w:val="ro-MD"/>
        </w:rPr>
        <w:t>S</w:t>
      </w:r>
      <w:r w:rsidRPr="002751FC">
        <w:rPr>
          <w:rFonts w:asciiTheme="majorHAnsi" w:eastAsia="Times New Roman" w:hAnsiTheme="majorHAnsi" w:cstheme="majorHAnsi"/>
          <w:b/>
          <w:i/>
          <w:sz w:val="28"/>
          <w:szCs w:val="28"/>
          <w:lang w:val="ro-MD"/>
        </w:rPr>
        <w:t>urse</w:t>
      </w:r>
      <w:r w:rsidR="00D378CC" w:rsidRPr="002751FC">
        <w:rPr>
          <w:rFonts w:asciiTheme="majorHAnsi" w:eastAsia="Times New Roman" w:hAnsiTheme="majorHAnsi" w:cstheme="majorHAnsi"/>
          <w:b/>
          <w:i/>
          <w:sz w:val="28"/>
          <w:szCs w:val="28"/>
          <w:lang w:val="ro-MD"/>
        </w:rPr>
        <w:t>le</w:t>
      </w:r>
      <w:r w:rsidRPr="002751FC">
        <w:rPr>
          <w:rFonts w:asciiTheme="majorHAnsi" w:eastAsia="Times New Roman" w:hAnsiTheme="majorHAnsi" w:cstheme="majorHAnsi"/>
          <w:b/>
          <w:i/>
          <w:sz w:val="28"/>
          <w:szCs w:val="28"/>
          <w:lang w:val="ro-MD"/>
        </w:rPr>
        <w:t xml:space="preserve"> de formare a Fondului</w:t>
      </w:r>
      <w:r w:rsidRPr="002751FC">
        <w:rPr>
          <w:rFonts w:asciiTheme="majorHAnsi" w:eastAsia="Times New Roman" w:hAnsiTheme="majorHAnsi" w:cstheme="majorHAnsi"/>
          <w:sz w:val="28"/>
          <w:szCs w:val="28"/>
          <w:lang w:val="ro-MD"/>
        </w:rPr>
        <w:t xml:space="preserve"> sunt: </w:t>
      </w:r>
      <w:r w:rsidRPr="002751FC">
        <w:rPr>
          <w:rFonts w:asciiTheme="majorHAnsi" w:eastAsia="Times New Roman" w:hAnsiTheme="majorHAnsi" w:cstheme="majorHAnsi"/>
          <w:b/>
          <w:sz w:val="28"/>
          <w:szCs w:val="28"/>
          <w:lang w:val="ro-MD"/>
        </w:rPr>
        <w:t>(i)</w:t>
      </w:r>
      <w:r w:rsidRPr="002751FC">
        <w:rPr>
          <w:rFonts w:asciiTheme="majorHAnsi" w:eastAsia="Times New Roman" w:hAnsiTheme="majorHAnsi" w:cstheme="majorHAnsi"/>
          <w:sz w:val="28"/>
          <w:szCs w:val="28"/>
          <w:lang w:val="ro-MD"/>
        </w:rPr>
        <w:t xml:space="preserve"> </w:t>
      </w:r>
      <w:r w:rsidR="00FB60C0" w:rsidRPr="002751FC">
        <w:rPr>
          <w:rFonts w:asciiTheme="majorHAnsi" w:eastAsia="Times New Roman" w:hAnsiTheme="majorHAnsi" w:cstheme="majorHAnsi"/>
          <w:sz w:val="28"/>
          <w:szCs w:val="28"/>
          <w:lang w:val="ro-MD"/>
        </w:rPr>
        <w:t>contribuțiile</w:t>
      </w:r>
      <w:r w:rsidRPr="002751FC">
        <w:rPr>
          <w:rFonts w:asciiTheme="majorHAnsi" w:eastAsia="Times New Roman" w:hAnsiTheme="majorHAnsi" w:cstheme="majorHAnsi"/>
          <w:sz w:val="28"/>
          <w:szCs w:val="28"/>
          <w:lang w:val="ro-MD"/>
        </w:rPr>
        <w:t xml:space="preserve"> obligatorii ale producătorilor de produse vitivinicole; </w:t>
      </w:r>
      <w:r w:rsidRPr="002751FC">
        <w:rPr>
          <w:rFonts w:asciiTheme="majorHAnsi" w:eastAsia="Times New Roman" w:hAnsiTheme="majorHAnsi" w:cstheme="majorHAnsi"/>
          <w:b/>
          <w:sz w:val="28"/>
          <w:szCs w:val="28"/>
          <w:lang w:val="ro-MD"/>
        </w:rPr>
        <w:t>(ii)</w:t>
      </w:r>
      <w:r w:rsidR="00FB60C0"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 xml:space="preserve">mijloacele alocate din bugetul de stat, aprobat anual prin legea bugetului de stat, în mărime egală cu suma </w:t>
      </w:r>
      <w:r w:rsidR="00FB60C0"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w:t>
      </w:r>
      <w:r w:rsidR="00FB60C0" w:rsidRPr="002751FC">
        <w:rPr>
          <w:rFonts w:asciiTheme="majorHAnsi" w:eastAsia="Times New Roman" w:hAnsiTheme="majorHAnsi" w:cstheme="majorHAnsi"/>
          <w:sz w:val="28"/>
          <w:szCs w:val="28"/>
          <w:lang w:val="ro-MD"/>
        </w:rPr>
        <w:t>obligatorii ale producătorilor de produse vitivinicole</w:t>
      </w:r>
      <w:r w:rsidR="0005416B" w:rsidRPr="002751FC">
        <w:rPr>
          <w:rFonts w:asciiTheme="majorHAnsi" w:eastAsia="Times New Roman" w:hAnsiTheme="majorHAnsi" w:cstheme="majorHAnsi"/>
          <w:sz w:val="28"/>
          <w:szCs w:val="28"/>
          <w:lang w:val="ro-MD"/>
        </w:rPr>
        <w:t xml:space="preserve"> efectuate</w:t>
      </w:r>
      <w:r w:rsidR="00FB60C0"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 xml:space="preserve">pentru anul precedent, care, însă, nu pot depăşi 5% </w:t>
      </w:r>
      <w:r w:rsidR="00D378CC" w:rsidRPr="002751FC">
        <w:rPr>
          <w:rFonts w:asciiTheme="majorHAnsi" w:eastAsia="Times New Roman" w:hAnsiTheme="majorHAnsi" w:cstheme="majorHAnsi"/>
          <w:sz w:val="28"/>
          <w:szCs w:val="28"/>
          <w:lang w:val="ro-MD"/>
        </w:rPr>
        <w:t>din</w:t>
      </w:r>
      <w:r w:rsidRPr="002751FC">
        <w:rPr>
          <w:rFonts w:asciiTheme="majorHAnsi" w:eastAsia="Times New Roman" w:hAnsiTheme="majorHAnsi" w:cstheme="majorHAnsi"/>
          <w:sz w:val="28"/>
          <w:szCs w:val="28"/>
          <w:lang w:val="ro-MD"/>
        </w:rPr>
        <w:t xml:space="preserve"> fondul de </w:t>
      </w:r>
      <w:r w:rsidR="00FB60C0" w:rsidRPr="002751FC">
        <w:rPr>
          <w:rFonts w:asciiTheme="majorHAnsi" w:eastAsia="Times New Roman" w:hAnsiTheme="majorHAnsi" w:cstheme="majorHAnsi"/>
          <w:sz w:val="28"/>
          <w:szCs w:val="28"/>
          <w:lang w:val="ro-MD"/>
        </w:rPr>
        <w:t>subvenționare</w:t>
      </w:r>
      <w:r w:rsidRPr="002751FC">
        <w:rPr>
          <w:rFonts w:asciiTheme="majorHAnsi" w:eastAsia="Times New Roman" w:hAnsiTheme="majorHAnsi" w:cstheme="majorHAnsi"/>
          <w:sz w:val="28"/>
          <w:szCs w:val="28"/>
          <w:lang w:val="ro-MD"/>
        </w:rPr>
        <w:t xml:space="preserve"> a producătorilor agricoli; </w:t>
      </w:r>
      <w:r w:rsidRPr="002751FC">
        <w:rPr>
          <w:rFonts w:asciiTheme="majorHAnsi" w:eastAsia="Times New Roman" w:hAnsiTheme="majorHAnsi" w:cstheme="majorHAnsi"/>
          <w:b/>
          <w:sz w:val="28"/>
          <w:szCs w:val="28"/>
          <w:lang w:val="ro-MD"/>
        </w:rPr>
        <w:t>(iii)</w:t>
      </w:r>
      <w:r w:rsidRPr="002751FC">
        <w:rPr>
          <w:rFonts w:asciiTheme="majorHAnsi" w:eastAsia="Times New Roman" w:hAnsiTheme="majorHAnsi" w:cstheme="majorHAnsi"/>
          <w:sz w:val="28"/>
          <w:szCs w:val="28"/>
          <w:lang w:val="ro-MD"/>
        </w:rPr>
        <w:t xml:space="preserve"> mijloacele </w:t>
      </w:r>
      <w:r w:rsidR="00D378CC" w:rsidRPr="002751FC">
        <w:rPr>
          <w:rFonts w:asciiTheme="majorHAnsi" w:eastAsia="Times New Roman" w:hAnsiTheme="majorHAnsi" w:cstheme="majorHAnsi"/>
          <w:sz w:val="28"/>
          <w:szCs w:val="28"/>
          <w:lang w:val="ro-MD"/>
        </w:rPr>
        <w:t>obținute din</w:t>
      </w:r>
      <w:r w:rsidRPr="002751FC">
        <w:rPr>
          <w:rFonts w:asciiTheme="majorHAnsi" w:eastAsia="Times New Roman" w:hAnsiTheme="majorHAnsi" w:cstheme="majorHAnsi"/>
          <w:sz w:val="28"/>
          <w:szCs w:val="28"/>
          <w:lang w:val="ro-MD"/>
        </w:rPr>
        <w:t xml:space="preserve"> prestarea de către Oficiu a serviciilor cu caracter voluntar; </w:t>
      </w:r>
      <w:r w:rsidRPr="002751FC">
        <w:rPr>
          <w:rFonts w:asciiTheme="majorHAnsi" w:eastAsia="Times New Roman" w:hAnsiTheme="majorHAnsi" w:cstheme="majorHAnsi"/>
          <w:b/>
          <w:sz w:val="28"/>
          <w:szCs w:val="28"/>
          <w:lang w:val="ro-MD"/>
        </w:rPr>
        <w:t>(iv)</w:t>
      </w:r>
      <w:r w:rsidR="0005416B" w:rsidRPr="002751FC">
        <w:rPr>
          <w:rFonts w:asciiTheme="majorHAnsi" w:eastAsia="Times New Roman" w:hAnsiTheme="majorHAnsi" w:cstheme="majorHAnsi"/>
          <w:sz w:val="28"/>
          <w:szCs w:val="28"/>
          <w:lang w:val="ro-MD"/>
        </w:rPr>
        <w:t xml:space="preserve"> penalitățile</w:t>
      </w:r>
      <w:r w:rsidRPr="002751FC">
        <w:rPr>
          <w:rFonts w:asciiTheme="majorHAnsi" w:eastAsia="Times New Roman" w:hAnsiTheme="majorHAnsi" w:cstheme="majorHAnsi"/>
          <w:sz w:val="28"/>
          <w:szCs w:val="28"/>
          <w:lang w:val="ro-MD"/>
        </w:rPr>
        <w:t xml:space="preserve"> la plata cu </w:t>
      </w:r>
      <w:r w:rsidR="0005416B" w:rsidRPr="002751FC">
        <w:rPr>
          <w:rFonts w:asciiTheme="majorHAnsi" w:eastAsia="Times New Roman" w:hAnsiTheme="majorHAnsi" w:cstheme="majorHAnsi"/>
          <w:sz w:val="28"/>
          <w:szCs w:val="28"/>
          <w:lang w:val="ro-MD"/>
        </w:rPr>
        <w:t>întârziere</w:t>
      </w:r>
      <w:r w:rsidRPr="002751FC">
        <w:rPr>
          <w:rFonts w:asciiTheme="majorHAnsi" w:eastAsia="Times New Roman" w:hAnsiTheme="majorHAnsi" w:cstheme="majorHAnsi"/>
          <w:sz w:val="28"/>
          <w:szCs w:val="28"/>
          <w:lang w:val="ro-MD"/>
        </w:rPr>
        <w:t xml:space="preserve"> a </w:t>
      </w:r>
      <w:r w:rsidR="0005416B"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b/>
          <w:sz w:val="28"/>
          <w:szCs w:val="28"/>
          <w:lang w:val="ro-MD"/>
        </w:rPr>
        <w:t>(v)</w:t>
      </w:r>
      <w:r w:rsidRPr="002751FC">
        <w:rPr>
          <w:rFonts w:asciiTheme="majorHAnsi" w:eastAsia="Times New Roman" w:hAnsiTheme="majorHAnsi" w:cstheme="majorHAnsi"/>
          <w:sz w:val="28"/>
          <w:szCs w:val="28"/>
          <w:lang w:val="ro-MD"/>
        </w:rPr>
        <w:t xml:space="preserve"> resursele financiare oferite de către donatori; </w:t>
      </w:r>
      <w:r w:rsidRPr="002751FC">
        <w:rPr>
          <w:rFonts w:asciiTheme="majorHAnsi" w:eastAsia="Times New Roman" w:hAnsiTheme="majorHAnsi" w:cstheme="majorHAnsi"/>
          <w:b/>
          <w:sz w:val="28"/>
          <w:szCs w:val="28"/>
          <w:lang w:val="ro-MD"/>
        </w:rPr>
        <w:t xml:space="preserve">(vi) </w:t>
      </w:r>
      <w:r w:rsidR="00CE1EE4" w:rsidRPr="002751FC">
        <w:rPr>
          <w:rFonts w:asciiTheme="majorHAnsi" w:eastAsia="Times New Roman" w:hAnsiTheme="majorHAnsi" w:cstheme="majorHAnsi"/>
          <w:sz w:val="28"/>
          <w:szCs w:val="28"/>
          <w:lang w:val="ro-MD"/>
        </w:rPr>
        <w:t>re</w:t>
      </w:r>
      <w:r w:rsidRPr="002751FC">
        <w:rPr>
          <w:rFonts w:asciiTheme="majorHAnsi" w:eastAsia="Times New Roman" w:hAnsiTheme="majorHAnsi" w:cstheme="majorHAnsi"/>
          <w:sz w:val="28"/>
          <w:szCs w:val="28"/>
          <w:lang w:val="ro-MD"/>
        </w:rPr>
        <w:t xml:space="preserve">sursele financiare benevole ale persoanelor fizice şi juridice, inclusiv ale celor străine. </w:t>
      </w:r>
    </w:p>
    <w:p w:rsidR="00974C87" w:rsidRPr="002751FC" w:rsidRDefault="00974C87" w:rsidP="00974C87">
      <w:pPr>
        <w:spacing w:after="0"/>
        <w:jc w:val="both"/>
        <w:rPr>
          <w:rFonts w:asciiTheme="majorHAnsi" w:eastAsia="Times New Roman" w:hAnsiTheme="majorHAnsi" w:cstheme="majorHAnsi"/>
          <w:sz w:val="28"/>
          <w:szCs w:val="28"/>
          <w:lang w:val="ro-MD"/>
        </w:rPr>
      </w:pPr>
    </w:p>
    <w:p w:rsidR="00974C87" w:rsidRPr="002751FC" w:rsidRDefault="00974C87" w:rsidP="00974C87">
      <w:pPr>
        <w:spacing w:after="0" w:line="240" w:lineRule="auto"/>
        <w:jc w:val="both"/>
        <w:rPr>
          <w:rFonts w:asciiTheme="majorHAnsi" w:eastAsia="Times New Roman" w:hAnsiTheme="majorHAnsi" w:cstheme="majorHAnsi"/>
          <w:i/>
          <w:sz w:val="28"/>
          <w:szCs w:val="28"/>
          <w:lang w:val="ro-MD"/>
        </w:rPr>
      </w:pPr>
      <w:r w:rsidRPr="002751FC">
        <w:rPr>
          <w:rFonts w:asciiTheme="majorHAnsi" w:eastAsia="Times New Roman" w:hAnsiTheme="majorHAnsi" w:cstheme="majorHAnsi"/>
          <w:b/>
          <w:i/>
          <w:sz w:val="28"/>
          <w:szCs w:val="28"/>
          <w:lang w:val="ro-MD"/>
        </w:rPr>
        <w:t xml:space="preserve">Contribuabilii </w:t>
      </w:r>
      <w:r w:rsidR="0005416B" w:rsidRPr="002751FC">
        <w:rPr>
          <w:rFonts w:asciiTheme="majorHAnsi" w:eastAsia="Times New Roman" w:hAnsiTheme="majorHAnsi" w:cstheme="majorHAnsi"/>
          <w:b/>
          <w:i/>
          <w:sz w:val="28"/>
          <w:szCs w:val="28"/>
          <w:lang w:val="ro-MD"/>
        </w:rPr>
        <w:t>contribuțiilor</w:t>
      </w:r>
      <w:r w:rsidRPr="002751FC">
        <w:rPr>
          <w:rFonts w:asciiTheme="majorHAnsi" w:eastAsia="Times New Roman" w:hAnsiTheme="majorHAnsi" w:cstheme="majorHAnsi"/>
          <w:b/>
          <w:i/>
          <w:sz w:val="28"/>
          <w:szCs w:val="28"/>
          <w:lang w:val="ro-MD"/>
        </w:rPr>
        <w:t xml:space="preserve"> obligatorii la Fond</w:t>
      </w:r>
      <w:r w:rsidRPr="002751FC">
        <w:rPr>
          <w:rFonts w:asciiTheme="majorHAnsi" w:eastAsia="Times New Roman" w:hAnsiTheme="majorHAnsi" w:cstheme="majorHAnsi"/>
          <w:sz w:val="28"/>
          <w:szCs w:val="28"/>
          <w:lang w:val="ro-MD"/>
        </w:rPr>
        <w:t xml:space="preserve"> sunt: </w:t>
      </w:r>
      <w:r w:rsidRPr="002751FC">
        <w:rPr>
          <w:rFonts w:asciiTheme="majorHAnsi" w:eastAsia="Times New Roman" w:hAnsiTheme="majorHAnsi" w:cstheme="majorHAnsi"/>
          <w:b/>
          <w:sz w:val="28"/>
          <w:szCs w:val="28"/>
          <w:lang w:val="ro-MD"/>
        </w:rPr>
        <w:t>(i)</w:t>
      </w:r>
      <w:r w:rsidRPr="002751FC">
        <w:rPr>
          <w:rFonts w:asciiTheme="majorHAnsi" w:eastAsia="Times New Roman" w:hAnsiTheme="majorHAnsi" w:cstheme="majorHAnsi"/>
          <w:sz w:val="28"/>
          <w:szCs w:val="28"/>
          <w:lang w:val="ro-MD"/>
        </w:rPr>
        <w:t xml:space="preserve"> producătorii de </w:t>
      </w:r>
      <w:r w:rsidR="0005416B" w:rsidRPr="002751FC">
        <w:rPr>
          <w:rFonts w:asciiTheme="majorHAnsi" w:eastAsia="Times New Roman" w:hAnsiTheme="majorHAnsi" w:cstheme="majorHAnsi"/>
          <w:sz w:val="28"/>
          <w:szCs w:val="28"/>
          <w:lang w:val="ro-MD"/>
        </w:rPr>
        <w:t>viță</w:t>
      </w:r>
      <w:r w:rsidRPr="002751FC">
        <w:rPr>
          <w:rFonts w:asciiTheme="majorHAnsi" w:eastAsia="Times New Roman" w:hAnsiTheme="majorHAnsi" w:cstheme="majorHAnsi"/>
          <w:sz w:val="28"/>
          <w:szCs w:val="28"/>
          <w:lang w:val="ro-MD"/>
        </w:rPr>
        <w:t xml:space="preserve"> altoită pentru producerea strugurilor </w:t>
      </w:r>
      <w:r w:rsidR="0005416B" w:rsidRPr="002751FC">
        <w:rPr>
          <w:rFonts w:asciiTheme="majorHAnsi" w:eastAsia="Times New Roman" w:hAnsiTheme="majorHAnsi" w:cstheme="majorHAnsi"/>
          <w:sz w:val="28"/>
          <w:szCs w:val="28"/>
          <w:lang w:val="ro-MD"/>
        </w:rPr>
        <w:t>destinați</w:t>
      </w:r>
      <w:r w:rsidRPr="002751FC">
        <w:rPr>
          <w:rFonts w:asciiTheme="majorHAnsi" w:eastAsia="Times New Roman" w:hAnsiTheme="majorHAnsi" w:cstheme="majorHAnsi"/>
          <w:sz w:val="28"/>
          <w:szCs w:val="28"/>
          <w:lang w:val="ro-MD"/>
        </w:rPr>
        <w:t xml:space="preserve"> fabricării produselor vitivinicole; </w:t>
      </w:r>
      <w:r w:rsidRPr="002751FC">
        <w:rPr>
          <w:rFonts w:asciiTheme="majorHAnsi" w:eastAsia="Times New Roman" w:hAnsiTheme="majorHAnsi" w:cstheme="majorHAnsi"/>
          <w:b/>
          <w:sz w:val="28"/>
          <w:szCs w:val="28"/>
          <w:lang w:val="ro-MD"/>
        </w:rPr>
        <w:t>(ii)</w:t>
      </w:r>
      <w:r w:rsidRPr="002751FC">
        <w:rPr>
          <w:rFonts w:asciiTheme="majorHAnsi" w:eastAsia="Times New Roman" w:hAnsiTheme="majorHAnsi" w:cstheme="majorHAnsi"/>
          <w:sz w:val="28"/>
          <w:szCs w:val="28"/>
          <w:lang w:val="ro-MD"/>
        </w:rPr>
        <w:t xml:space="preserve"> producătorii de vinuri; </w:t>
      </w:r>
      <w:r w:rsidRPr="002751FC">
        <w:rPr>
          <w:rFonts w:asciiTheme="majorHAnsi" w:eastAsia="Times New Roman" w:hAnsiTheme="majorHAnsi" w:cstheme="majorHAnsi"/>
          <w:b/>
          <w:sz w:val="28"/>
          <w:szCs w:val="28"/>
          <w:lang w:val="ro-MD"/>
        </w:rPr>
        <w:t>(iii)</w:t>
      </w:r>
      <w:r w:rsidRPr="002751FC">
        <w:rPr>
          <w:rFonts w:asciiTheme="majorHAnsi" w:eastAsia="Times New Roman" w:hAnsiTheme="majorHAnsi" w:cstheme="majorHAnsi"/>
          <w:sz w:val="28"/>
          <w:szCs w:val="28"/>
          <w:lang w:val="ro-MD"/>
        </w:rPr>
        <w:t xml:space="preserve"> producătorii de băuturi pe bază de vin, de produse obţinute pe bază de vin.</w:t>
      </w:r>
      <w:r w:rsidR="0005416B"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i/>
          <w:sz w:val="28"/>
          <w:szCs w:val="28"/>
          <w:lang w:val="ro-MD"/>
        </w:rPr>
        <w:t xml:space="preserve">Cuantumurile </w:t>
      </w:r>
      <w:r w:rsidR="0005416B" w:rsidRPr="002751FC">
        <w:rPr>
          <w:rFonts w:asciiTheme="majorHAnsi" w:eastAsia="Times New Roman" w:hAnsiTheme="majorHAnsi" w:cstheme="majorHAnsi"/>
          <w:i/>
          <w:sz w:val="28"/>
          <w:szCs w:val="28"/>
          <w:lang w:val="ro-MD"/>
        </w:rPr>
        <w:t>contribuțiilor</w:t>
      </w:r>
      <w:r w:rsidRPr="002751FC">
        <w:rPr>
          <w:rFonts w:asciiTheme="majorHAnsi" w:eastAsia="Times New Roman" w:hAnsiTheme="majorHAnsi" w:cstheme="majorHAnsi"/>
          <w:i/>
          <w:sz w:val="28"/>
          <w:szCs w:val="28"/>
          <w:lang w:val="ro-MD"/>
        </w:rPr>
        <w:t xml:space="preserve"> și modul de declarare și achitare a acestora se prezintă în </w:t>
      </w:r>
      <w:r w:rsidR="00CE1EE4" w:rsidRPr="002751FC">
        <w:rPr>
          <w:rFonts w:asciiTheme="majorHAnsi" w:eastAsia="Times New Roman" w:hAnsiTheme="majorHAnsi" w:cstheme="majorHAnsi"/>
          <w:i/>
          <w:sz w:val="28"/>
          <w:szCs w:val="28"/>
          <w:lang w:val="ro-MD"/>
        </w:rPr>
        <w:t>A</w:t>
      </w:r>
      <w:r w:rsidRPr="002751FC">
        <w:rPr>
          <w:rFonts w:asciiTheme="majorHAnsi" w:eastAsia="Times New Roman" w:hAnsiTheme="majorHAnsi" w:cstheme="majorHAnsi"/>
          <w:i/>
          <w:sz w:val="28"/>
          <w:szCs w:val="28"/>
          <w:lang w:val="ro-MD"/>
        </w:rPr>
        <w:t>nexa nr.2 la prezentul Raport de audit.</w:t>
      </w:r>
    </w:p>
    <w:p w:rsidR="00974C87" w:rsidRPr="002751FC" w:rsidRDefault="00974C87" w:rsidP="00974C87">
      <w:pPr>
        <w:spacing w:after="0" w:line="240" w:lineRule="auto"/>
        <w:jc w:val="both"/>
        <w:rPr>
          <w:rFonts w:asciiTheme="majorHAnsi" w:eastAsia="Times New Roman" w:hAnsiTheme="majorHAnsi" w:cstheme="majorHAnsi"/>
          <w:sz w:val="28"/>
          <w:szCs w:val="28"/>
          <w:lang w:val="ro-MD"/>
        </w:rPr>
      </w:pPr>
    </w:p>
    <w:p w:rsidR="00974C87" w:rsidRPr="002751FC" w:rsidRDefault="0005416B" w:rsidP="00974C87">
      <w:pPr>
        <w:spacing w:after="0"/>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b/>
          <w:i/>
          <w:sz w:val="28"/>
          <w:szCs w:val="28"/>
          <w:lang w:val="ro-MD"/>
        </w:rPr>
        <w:t xml:space="preserve">Gestionar al </w:t>
      </w:r>
      <w:r w:rsidR="00974C87" w:rsidRPr="002751FC">
        <w:rPr>
          <w:rFonts w:asciiTheme="majorHAnsi" w:eastAsia="Times New Roman" w:hAnsiTheme="majorHAnsi" w:cstheme="majorHAnsi"/>
          <w:b/>
          <w:i/>
          <w:sz w:val="28"/>
          <w:szCs w:val="28"/>
          <w:lang w:val="ro-MD"/>
        </w:rPr>
        <w:t xml:space="preserve">mijloacelor FVV </w:t>
      </w:r>
      <w:r w:rsidR="00974C87" w:rsidRPr="002751FC">
        <w:rPr>
          <w:rFonts w:asciiTheme="majorHAnsi" w:eastAsia="Times New Roman" w:hAnsiTheme="majorHAnsi" w:cstheme="majorHAnsi"/>
          <w:sz w:val="28"/>
          <w:szCs w:val="28"/>
          <w:lang w:val="ro-MD"/>
        </w:rPr>
        <w:t>este Oficiul Național al Viei și Vinului, care are misiunea de a implementa politica statului în sectorul vitivinicol şi de a asigura dezvoltarea durabilă a acestuia.</w:t>
      </w:r>
    </w:p>
    <w:p w:rsidR="00974C87" w:rsidRPr="002751FC" w:rsidRDefault="00974C87" w:rsidP="00974C87">
      <w:pPr>
        <w:spacing w:after="0"/>
        <w:jc w:val="both"/>
        <w:rPr>
          <w:rFonts w:asciiTheme="majorHAnsi" w:eastAsia="Times New Roman" w:hAnsiTheme="majorHAnsi" w:cstheme="majorHAnsi"/>
          <w:sz w:val="28"/>
          <w:szCs w:val="28"/>
          <w:lang w:val="ro-MD"/>
        </w:rPr>
      </w:pPr>
    </w:p>
    <w:p w:rsidR="00974C87" w:rsidRPr="002751FC" w:rsidRDefault="00974C87" w:rsidP="00974C87">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b/>
          <w:i/>
          <w:sz w:val="28"/>
          <w:szCs w:val="28"/>
          <w:lang w:val="ro-MD"/>
        </w:rPr>
        <w:t xml:space="preserve">Gestionarea colectării </w:t>
      </w:r>
      <w:r w:rsidR="00D63B68" w:rsidRPr="002751FC">
        <w:rPr>
          <w:rFonts w:asciiTheme="majorHAnsi" w:eastAsia="Times New Roman" w:hAnsiTheme="majorHAnsi" w:cstheme="majorHAnsi"/>
          <w:b/>
          <w:i/>
          <w:sz w:val="28"/>
          <w:szCs w:val="28"/>
          <w:lang w:val="ro-MD"/>
        </w:rPr>
        <w:t>contribuțiilor</w:t>
      </w:r>
      <w:r w:rsidRPr="002751FC">
        <w:rPr>
          <w:rFonts w:asciiTheme="majorHAnsi" w:eastAsia="Times New Roman" w:hAnsiTheme="majorHAnsi" w:cstheme="majorHAnsi"/>
          <w:sz w:val="28"/>
          <w:szCs w:val="28"/>
          <w:lang w:val="ro-MD"/>
        </w:rPr>
        <w:t xml:space="preserve"> de la plătitori, evidenţa </w:t>
      </w:r>
      <w:r w:rsidR="00D63B68"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calculele </w:t>
      </w:r>
      <w:r w:rsidR="00D63B68" w:rsidRPr="002751FC">
        <w:rPr>
          <w:rFonts w:asciiTheme="majorHAnsi" w:eastAsia="Times New Roman" w:hAnsiTheme="majorHAnsi" w:cstheme="majorHAnsi"/>
          <w:sz w:val="28"/>
          <w:szCs w:val="28"/>
          <w:lang w:val="ro-MD"/>
        </w:rPr>
        <w:t>penalităților</w:t>
      </w:r>
      <w:r w:rsidRPr="002751FC">
        <w:rPr>
          <w:rFonts w:asciiTheme="majorHAnsi" w:eastAsia="Times New Roman" w:hAnsiTheme="majorHAnsi" w:cstheme="majorHAnsi"/>
          <w:sz w:val="28"/>
          <w:szCs w:val="28"/>
          <w:lang w:val="ro-MD"/>
        </w:rPr>
        <w:t xml:space="preserve">, precum şi urmărirea datoriilor către Fond se efectuează de către Serviciul Fiscal de Stat similar modului stabilit conform </w:t>
      </w:r>
      <w:r w:rsidR="00D63B68" w:rsidRPr="002751FC">
        <w:rPr>
          <w:rFonts w:asciiTheme="majorHAnsi" w:eastAsia="Times New Roman" w:hAnsiTheme="majorHAnsi" w:cstheme="majorHAnsi"/>
          <w:sz w:val="28"/>
          <w:szCs w:val="28"/>
          <w:lang w:val="ro-MD"/>
        </w:rPr>
        <w:t>legislației</w:t>
      </w:r>
      <w:r w:rsidRPr="002751FC">
        <w:rPr>
          <w:rFonts w:asciiTheme="majorHAnsi" w:eastAsia="Times New Roman" w:hAnsiTheme="majorHAnsi" w:cstheme="majorHAnsi"/>
          <w:sz w:val="28"/>
          <w:szCs w:val="28"/>
          <w:lang w:val="ro-MD"/>
        </w:rPr>
        <w:t xml:space="preserve"> fiscale pentru administrarea </w:t>
      </w:r>
      <w:r w:rsidRPr="002751FC">
        <w:rPr>
          <w:rFonts w:asciiTheme="majorHAnsi" w:eastAsia="Times New Roman" w:hAnsiTheme="majorHAnsi" w:cstheme="majorHAnsi"/>
          <w:sz w:val="28"/>
          <w:szCs w:val="28"/>
          <w:lang w:val="ro-MD"/>
        </w:rPr>
        <w:lastRenderedPageBreak/>
        <w:t>impozitelor şi taxelor. Conform cadrului regulator</w:t>
      </w:r>
      <w:r w:rsidRPr="002751FC">
        <w:rPr>
          <w:rStyle w:val="ab"/>
          <w:rFonts w:asciiTheme="majorHAnsi" w:hAnsiTheme="majorHAnsi" w:cstheme="majorHAnsi"/>
          <w:sz w:val="28"/>
          <w:szCs w:val="28"/>
          <w:lang w:val="ro-MD"/>
        </w:rPr>
        <w:footnoteReference w:id="9"/>
      </w:r>
      <w:r w:rsidRPr="002751FC">
        <w:rPr>
          <w:rFonts w:asciiTheme="majorHAnsi" w:eastAsia="Times New Roman" w:hAnsiTheme="majorHAnsi" w:cstheme="majorHAnsi"/>
          <w:sz w:val="28"/>
          <w:szCs w:val="28"/>
          <w:lang w:val="ro-MD"/>
        </w:rPr>
        <w:t xml:space="preserve">, măsurile de executare silită a datoriilor şi </w:t>
      </w:r>
      <w:r w:rsidR="00D63B68" w:rsidRPr="002751FC">
        <w:rPr>
          <w:rFonts w:asciiTheme="majorHAnsi" w:eastAsia="Times New Roman" w:hAnsiTheme="majorHAnsi" w:cstheme="majorHAnsi"/>
          <w:sz w:val="28"/>
          <w:szCs w:val="28"/>
          <w:lang w:val="ro-MD"/>
        </w:rPr>
        <w:t>penalităților</w:t>
      </w:r>
      <w:r w:rsidRPr="002751FC">
        <w:rPr>
          <w:rFonts w:asciiTheme="majorHAnsi" w:eastAsia="Times New Roman" w:hAnsiTheme="majorHAnsi" w:cstheme="majorHAnsi"/>
          <w:sz w:val="28"/>
          <w:szCs w:val="28"/>
          <w:lang w:val="ro-MD"/>
        </w:rPr>
        <w:t xml:space="preserve"> calculate ale plătitorilor de </w:t>
      </w:r>
      <w:r w:rsidR="00D63B68" w:rsidRPr="002751FC">
        <w:rPr>
          <w:rFonts w:asciiTheme="majorHAnsi" w:eastAsia="Times New Roman" w:hAnsiTheme="majorHAnsi" w:cstheme="majorHAnsi"/>
          <w:sz w:val="28"/>
          <w:szCs w:val="28"/>
          <w:lang w:val="ro-MD"/>
        </w:rPr>
        <w:t>contribuții</w:t>
      </w:r>
      <w:r w:rsidRPr="002751FC">
        <w:rPr>
          <w:rFonts w:asciiTheme="majorHAnsi" w:eastAsia="Times New Roman" w:hAnsiTheme="majorHAnsi" w:cstheme="majorHAnsi"/>
          <w:sz w:val="28"/>
          <w:szCs w:val="28"/>
          <w:lang w:val="ro-MD"/>
        </w:rPr>
        <w:t xml:space="preserve"> obligatorii către Fond se aplică de SFS și sunt similare celor prevăzute în titlul V al Codului fiscal.</w:t>
      </w:r>
    </w:p>
    <w:p w:rsidR="00974C87" w:rsidRPr="002751FC" w:rsidRDefault="00974C87" w:rsidP="00974C87">
      <w:pPr>
        <w:spacing w:after="0" w:line="240" w:lineRule="auto"/>
        <w:jc w:val="both"/>
        <w:rPr>
          <w:rFonts w:asciiTheme="majorHAnsi" w:eastAsia="Times New Roman" w:hAnsiTheme="majorHAnsi" w:cstheme="majorHAnsi"/>
          <w:sz w:val="28"/>
          <w:szCs w:val="28"/>
          <w:lang w:val="ro-MD"/>
        </w:rPr>
      </w:pPr>
    </w:p>
    <w:p w:rsidR="00974C87" w:rsidRPr="002751FC" w:rsidRDefault="00974C87" w:rsidP="00974C87">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Producătorii de produse vitivinicole transferă </w:t>
      </w:r>
      <w:r w:rsidR="00D63B68" w:rsidRPr="002751FC">
        <w:rPr>
          <w:rFonts w:asciiTheme="majorHAnsi" w:eastAsia="Times New Roman" w:hAnsiTheme="majorHAnsi" w:cstheme="majorHAnsi"/>
          <w:sz w:val="28"/>
          <w:szCs w:val="28"/>
          <w:lang w:val="ro-MD"/>
        </w:rPr>
        <w:t>contribuțiile</w:t>
      </w:r>
      <w:r w:rsidRPr="002751FC">
        <w:rPr>
          <w:rFonts w:asciiTheme="majorHAnsi" w:eastAsia="Times New Roman" w:hAnsiTheme="majorHAnsi" w:cstheme="majorHAnsi"/>
          <w:sz w:val="28"/>
          <w:szCs w:val="28"/>
          <w:lang w:val="ro-MD"/>
        </w:rPr>
        <w:t xml:space="preserve"> obligatorii la contul trezorerial al Oficiului Național al Viei și Vinului, apoi acestea, sub formă </w:t>
      </w:r>
      <w:r w:rsidR="00273756" w:rsidRPr="002751FC">
        <w:rPr>
          <w:rFonts w:asciiTheme="majorHAnsi" w:eastAsia="Times New Roman" w:hAnsiTheme="majorHAnsi" w:cstheme="majorHAnsi"/>
          <w:sz w:val="28"/>
          <w:szCs w:val="28"/>
          <w:lang w:val="ro-MD"/>
        </w:rPr>
        <w:t>d</w:t>
      </w:r>
      <w:r w:rsidRPr="002751FC">
        <w:rPr>
          <w:rFonts w:asciiTheme="majorHAnsi" w:eastAsia="Times New Roman" w:hAnsiTheme="majorHAnsi" w:cstheme="majorHAnsi"/>
          <w:sz w:val="28"/>
          <w:szCs w:val="28"/>
          <w:lang w:val="ro-MD"/>
        </w:rPr>
        <w:t>e subsidii</w:t>
      </w:r>
      <w:r w:rsidR="00273756"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sunt transferate la contul bancar al ONVV deschis în CUT pentru </w:t>
      </w:r>
      <w:r w:rsidR="00D63B68" w:rsidRPr="002751FC">
        <w:rPr>
          <w:rFonts w:asciiTheme="majorHAnsi" w:eastAsia="Times New Roman" w:hAnsiTheme="majorHAnsi" w:cstheme="majorHAnsi"/>
          <w:sz w:val="28"/>
          <w:szCs w:val="28"/>
          <w:lang w:val="ro-MD"/>
        </w:rPr>
        <w:t>instituţii</w:t>
      </w:r>
      <w:r w:rsidR="00273756" w:rsidRPr="002751FC">
        <w:rPr>
          <w:rFonts w:asciiTheme="majorHAnsi" w:eastAsia="Times New Roman" w:hAnsiTheme="majorHAnsi" w:cstheme="majorHAnsi"/>
          <w:sz w:val="28"/>
          <w:szCs w:val="28"/>
          <w:lang w:val="ro-MD"/>
        </w:rPr>
        <w:t>le</w:t>
      </w:r>
      <w:r w:rsidR="00D63B68" w:rsidRPr="002751FC">
        <w:rPr>
          <w:rFonts w:asciiTheme="majorHAnsi" w:eastAsia="Times New Roman" w:hAnsiTheme="majorHAnsi" w:cstheme="majorHAnsi"/>
          <w:sz w:val="28"/>
          <w:szCs w:val="28"/>
          <w:lang w:val="ro-MD"/>
        </w:rPr>
        <w:t xml:space="preserve"> publice</w:t>
      </w:r>
      <w:r w:rsidRPr="002751FC">
        <w:rPr>
          <w:rFonts w:asciiTheme="majorHAnsi" w:eastAsia="Times New Roman" w:hAnsiTheme="majorHAnsi" w:cstheme="majorHAnsi"/>
          <w:sz w:val="28"/>
          <w:szCs w:val="28"/>
          <w:lang w:val="ro-MD"/>
        </w:rPr>
        <w:t xml:space="preserve"> la autogestiune.</w:t>
      </w:r>
    </w:p>
    <w:p w:rsidR="00D63B68" w:rsidRPr="002751FC" w:rsidRDefault="00D63B68" w:rsidP="00974C87">
      <w:pPr>
        <w:spacing w:after="0" w:line="240" w:lineRule="auto"/>
        <w:jc w:val="both"/>
        <w:rPr>
          <w:rFonts w:asciiTheme="majorHAnsi" w:eastAsia="Times New Roman" w:hAnsiTheme="majorHAnsi" w:cstheme="majorHAnsi"/>
          <w:sz w:val="28"/>
          <w:szCs w:val="28"/>
          <w:lang w:val="ro-MD"/>
        </w:rPr>
      </w:pPr>
    </w:p>
    <w:p w:rsidR="00974C87" w:rsidRPr="002751FC" w:rsidRDefault="00974C87" w:rsidP="00974C87">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Mijloacele Fondului sunt utilizate în strictă</w:t>
      </w:r>
      <w:r w:rsidR="00F24A72" w:rsidRPr="002751FC">
        <w:rPr>
          <w:rFonts w:asciiTheme="majorHAnsi" w:eastAsia="Times New Roman" w:hAnsiTheme="majorHAnsi" w:cstheme="majorHAnsi"/>
          <w:sz w:val="28"/>
          <w:szCs w:val="28"/>
          <w:lang w:val="ro-MD"/>
        </w:rPr>
        <w:t xml:space="preserve"> corespundere cu bugetul anual </w:t>
      </w:r>
      <w:r w:rsidRPr="002751FC">
        <w:rPr>
          <w:rFonts w:asciiTheme="majorHAnsi" w:eastAsia="Times New Roman" w:hAnsiTheme="majorHAnsi" w:cstheme="majorHAnsi"/>
          <w:sz w:val="28"/>
          <w:szCs w:val="28"/>
          <w:lang w:val="ro-MD"/>
        </w:rPr>
        <w:t xml:space="preserve">şi cu </w:t>
      </w:r>
      <w:r w:rsidR="00273756" w:rsidRPr="002751FC">
        <w:rPr>
          <w:rFonts w:asciiTheme="majorHAnsi" w:eastAsia="Times New Roman" w:hAnsiTheme="majorHAnsi" w:cstheme="majorHAnsi"/>
          <w:sz w:val="28"/>
          <w:szCs w:val="28"/>
          <w:lang w:val="ro-MD"/>
        </w:rPr>
        <w:t>P</w:t>
      </w:r>
      <w:r w:rsidRPr="002751FC">
        <w:rPr>
          <w:rFonts w:asciiTheme="majorHAnsi" w:eastAsia="Times New Roman" w:hAnsiTheme="majorHAnsi" w:cstheme="majorHAnsi"/>
          <w:sz w:val="28"/>
          <w:szCs w:val="28"/>
          <w:lang w:val="ro-MD"/>
        </w:rPr>
        <w:t>lanul de activitate a</w:t>
      </w:r>
      <w:r w:rsidR="00273756" w:rsidRPr="002751FC">
        <w:rPr>
          <w:rFonts w:asciiTheme="majorHAnsi" w:eastAsia="Times New Roman" w:hAnsiTheme="majorHAnsi" w:cstheme="majorHAnsi"/>
          <w:sz w:val="28"/>
          <w:szCs w:val="28"/>
          <w:lang w:val="ro-MD"/>
        </w:rPr>
        <w:t>le</w:t>
      </w:r>
      <w:r w:rsidRPr="002751FC">
        <w:rPr>
          <w:rFonts w:asciiTheme="majorHAnsi" w:eastAsia="Times New Roman" w:hAnsiTheme="majorHAnsi" w:cstheme="majorHAnsi"/>
          <w:sz w:val="28"/>
          <w:szCs w:val="28"/>
          <w:lang w:val="ro-MD"/>
        </w:rPr>
        <w:t xml:space="preserve"> Oficiului, aprobate de </w:t>
      </w:r>
      <w:r w:rsidR="008600D9" w:rsidRPr="002751FC">
        <w:rPr>
          <w:rFonts w:asciiTheme="majorHAnsi" w:eastAsia="Times New Roman" w:hAnsiTheme="majorHAnsi" w:cstheme="majorHAnsi"/>
          <w:sz w:val="28"/>
          <w:szCs w:val="28"/>
          <w:lang w:val="ro-MD"/>
        </w:rPr>
        <w:t>CC</w:t>
      </w:r>
      <w:r w:rsidRPr="002751FC">
        <w:rPr>
          <w:rFonts w:asciiTheme="majorHAnsi" w:eastAsia="Times New Roman" w:hAnsiTheme="majorHAnsi" w:cstheme="majorHAnsi"/>
          <w:sz w:val="28"/>
          <w:szCs w:val="28"/>
          <w:lang w:val="ro-MD"/>
        </w:rPr>
        <w:t xml:space="preserve">. </w:t>
      </w:r>
    </w:p>
    <w:p w:rsidR="00974C87" w:rsidRPr="002751FC" w:rsidRDefault="00974C87" w:rsidP="00974C87">
      <w:pPr>
        <w:spacing w:after="0" w:line="240" w:lineRule="auto"/>
        <w:jc w:val="both"/>
        <w:rPr>
          <w:rFonts w:asciiTheme="majorHAnsi" w:eastAsia="Times New Roman" w:hAnsiTheme="majorHAnsi" w:cstheme="majorHAnsi"/>
          <w:sz w:val="28"/>
          <w:szCs w:val="28"/>
          <w:lang w:val="ro-MD"/>
        </w:rPr>
      </w:pPr>
    </w:p>
    <w:p w:rsidR="00974C87" w:rsidRPr="002751FC" w:rsidRDefault="00974C87" w:rsidP="00974C87">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b/>
          <w:i/>
          <w:sz w:val="28"/>
          <w:szCs w:val="28"/>
          <w:lang w:val="ro-MD"/>
        </w:rPr>
        <w:t>Principalele direcții de utilizare</w:t>
      </w:r>
      <w:r w:rsidRPr="002751FC">
        <w:rPr>
          <w:rFonts w:asciiTheme="majorHAnsi" w:eastAsia="Times New Roman" w:hAnsiTheme="majorHAnsi" w:cstheme="majorHAnsi"/>
          <w:sz w:val="28"/>
          <w:szCs w:val="28"/>
          <w:lang w:val="ro-MD"/>
        </w:rPr>
        <w:t xml:space="preserve"> a mijloacelor </w:t>
      </w:r>
      <w:r w:rsidR="00273756" w:rsidRPr="002751FC">
        <w:rPr>
          <w:rFonts w:asciiTheme="majorHAnsi" w:eastAsia="Times New Roman" w:hAnsiTheme="majorHAnsi" w:cstheme="majorHAnsi"/>
          <w:sz w:val="28"/>
          <w:szCs w:val="28"/>
          <w:lang w:val="ro-MD"/>
        </w:rPr>
        <w:t>F</w:t>
      </w:r>
      <w:r w:rsidRPr="002751FC">
        <w:rPr>
          <w:rFonts w:asciiTheme="majorHAnsi" w:eastAsia="Times New Roman" w:hAnsiTheme="majorHAnsi" w:cstheme="majorHAnsi"/>
          <w:sz w:val="28"/>
          <w:szCs w:val="28"/>
          <w:lang w:val="ro-MD"/>
        </w:rPr>
        <w:t xml:space="preserve">ondului sunt: </w:t>
      </w:r>
      <w:r w:rsidRPr="002751FC">
        <w:rPr>
          <w:rFonts w:asciiTheme="majorHAnsi" w:eastAsia="Times New Roman" w:hAnsiTheme="majorHAnsi" w:cstheme="majorHAnsi"/>
          <w:b/>
          <w:sz w:val="28"/>
          <w:szCs w:val="28"/>
          <w:lang w:val="ro-MD"/>
        </w:rPr>
        <w:t>(i)</w:t>
      </w:r>
      <w:r w:rsidRPr="002751FC">
        <w:rPr>
          <w:rFonts w:asciiTheme="majorHAnsi" w:eastAsia="Times New Roman" w:hAnsiTheme="majorHAnsi" w:cstheme="majorHAnsi"/>
          <w:sz w:val="28"/>
          <w:szCs w:val="28"/>
          <w:lang w:val="ro-MD"/>
        </w:rPr>
        <w:t xml:space="preserve"> promovarea exportului de produse vitivinicole, cercetarea şi analiza </w:t>
      </w:r>
      <w:r w:rsidR="00754C68" w:rsidRPr="002751FC">
        <w:rPr>
          <w:rFonts w:asciiTheme="majorHAnsi" w:eastAsia="Times New Roman" w:hAnsiTheme="majorHAnsi" w:cstheme="majorHAnsi"/>
          <w:sz w:val="28"/>
          <w:szCs w:val="28"/>
          <w:lang w:val="ro-MD"/>
        </w:rPr>
        <w:t>piețelor</w:t>
      </w:r>
      <w:r w:rsidRPr="002751FC">
        <w:rPr>
          <w:rFonts w:asciiTheme="majorHAnsi" w:eastAsia="Times New Roman" w:hAnsiTheme="majorHAnsi" w:cstheme="majorHAnsi"/>
          <w:sz w:val="28"/>
          <w:szCs w:val="28"/>
          <w:lang w:val="ro-MD"/>
        </w:rPr>
        <w:t xml:space="preserve"> de desfacere; </w:t>
      </w:r>
      <w:r w:rsidRPr="002751FC">
        <w:rPr>
          <w:rFonts w:asciiTheme="majorHAnsi" w:eastAsia="Times New Roman" w:hAnsiTheme="majorHAnsi" w:cstheme="majorHAnsi"/>
          <w:b/>
          <w:sz w:val="28"/>
          <w:szCs w:val="28"/>
          <w:lang w:val="ro-MD"/>
        </w:rPr>
        <w:t>(ii)</w:t>
      </w:r>
      <w:r w:rsidRPr="002751FC">
        <w:rPr>
          <w:rFonts w:asciiTheme="majorHAnsi" w:eastAsia="Times New Roman" w:hAnsiTheme="majorHAnsi" w:cstheme="majorHAnsi"/>
          <w:sz w:val="28"/>
          <w:szCs w:val="28"/>
          <w:lang w:val="ro-MD"/>
        </w:rPr>
        <w:t xml:space="preserve"> realizarea programelor de dezvoltare a viticulturii şi </w:t>
      </w:r>
      <w:r w:rsidR="00754C68" w:rsidRPr="002751FC">
        <w:rPr>
          <w:rFonts w:asciiTheme="majorHAnsi" w:eastAsia="Times New Roman" w:hAnsiTheme="majorHAnsi" w:cstheme="majorHAnsi"/>
          <w:sz w:val="28"/>
          <w:szCs w:val="28"/>
          <w:lang w:val="ro-MD"/>
        </w:rPr>
        <w:t>vinificației</w:t>
      </w:r>
      <w:r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b/>
          <w:sz w:val="28"/>
          <w:szCs w:val="28"/>
          <w:lang w:val="ro-MD"/>
        </w:rPr>
        <w:t>(iii)</w:t>
      </w:r>
      <w:r w:rsidRPr="002751FC">
        <w:rPr>
          <w:rFonts w:asciiTheme="majorHAnsi" w:eastAsia="Times New Roman" w:hAnsiTheme="majorHAnsi" w:cstheme="majorHAnsi"/>
          <w:sz w:val="28"/>
          <w:szCs w:val="28"/>
          <w:lang w:val="ro-MD"/>
        </w:rPr>
        <w:t xml:space="preserve"> elaborarea şi implementarea proiectelor, programelor </w:t>
      </w:r>
      <w:r w:rsidR="00754C68" w:rsidRPr="002751FC">
        <w:rPr>
          <w:rFonts w:asciiTheme="majorHAnsi" w:eastAsia="Times New Roman" w:hAnsiTheme="majorHAnsi" w:cstheme="majorHAnsi"/>
          <w:sz w:val="28"/>
          <w:szCs w:val="28"/>
          <w:lang w:val="ro-MD"/>
        </w:rPr>
        <w:t>investiționale</w:t>
      </w:r>
      <w:r w:rsidRPr="002751FC">
        <w:rPr>
          <w:rFonts w:asciiTheme="majorHAnsi" w:eastAsia="Times New Roman" w:hAnsiTheme="majorHAnsi" w:cstheme="majorHAnsi"/>
          <w:sz w:val="28"/>
          <w:szCs w:val="28"/>
          <w:lang w:val="ro-MD"/>
        </w:rPr>
        <w:t xml:space="preserve"> şi de </w:t>
      </w:r>
      <w:r w:rsidR="00754C68" w:rsidRPr="002751FC">
        <w:rPr>
          <w:rFonts w:asciiTheme="majorHAnsi" w:eastAsia="Times New Roman" w:hAnsiTheme="majorHAnsi" w:cstheme="majorHAnsi"/>
          <w:sz w:val="28"/>
          <w:szCs w:val="28"/>
          <w:lang w:val="ro-MD"/>
        </w:rPr>
        <w:t>asistență</w:t>
      </w:r>
      <w:r w:rsidRPr="002751FC">
        <w:rPr>
          <w:rFonts w:asciiTheme="majorHAnsi" w:eastAsia="Times New Roman" w:hAnsiTheme="majorHAnsi" w:cstheme="majorHAnsi"/>
          <w:sz w:val="28"/>
          <w:szCs w:val="28"/>
          <w:lang w:val="ro-MD"/>
        </w:rPr>
        <w:t xml:space="preserve"> tehnică în sectorul vitivinicol; </w:t>
      </w:r>
      <w:r w:rsidRPr="002751FC">
        <w:rPr>
          <w:rFonts w:asciiTheme="majorHAnsi" w:eastAsia="Times New Roman" w:hAnsiTheme="majorHAnsi" w:cstheme="majorHAnsi"/>
          <w:b/>
          <w:sz w:val="28"/>
          <w:szCs w:val="28"/>
          <w:lang w:val="ro-MD"/>
        </w:rPr>
        <w:t>(iv)</w:t>
      </w:r>
      <w:r w:rsidRPr="002751FC">
        <w:rPr>
          <w:rFonts w:asciiTheme="majorHAnsi" w:eastAsia="Times New Roman" w:hAnsiTheme="majorHAnsi" w:cstheme="majorHAnsi"/>
          <w:sz w:val="28"/>
          <w:szCs w:val="28"/>
          <w:lang w:val="ro-MD"/>
        </w:rPr>
        <w:t xml:space="preserve"> transfer</w:t>
      </w:r>
      <w:r w:rsidR="00273756" w:rsidRPr="002751FC">
        <w:rPr>
          <w:rFonts w:asciiTheme="majorHAnsi" w:eastAsia="Times New Roman" w:hAnsiTheme="majorHAnsi" w:cstheme="majorHAnsi"/>
          <w:sz w:val="28"/>
          <w:szCs w:val="28"/>
          <w:lang w:val="ro-MD"/>
        </w:rPr>
        <w:t>ul</w:t>
      </w:r>
      <w:r w:rsidRPr="002751FC">
        <w:rPr>
          <w:rFonts w:asciiTheme="majorHAnsi" w:eastAsia="Times New Roman" w:hAnsiTheme="majorHAnsi" w:cstheme="majorHAnsi"/>
          <w:sz w:val="28"/>
          <w:szCs w:val="28"/>
          <w:lang w:val="ro-MD"/>
        </w:rPr>
        <w:t xml:space="preserve"> de tehnologii şi de know-how; </w:t>
      </w:r>
      <w:r w:rsidRPr="002751FC">
        <w:rPr>
          <w:rFonts w:asciiTheme="majorHAnsi" w:eastAsia="Times New Roman" w:hAnsiTheme="majorHAnsi" w:cstheme="majorHAnsi"/>
          <w:b/>
          <w:sz w:val="28"/>
          <w:szCs w:val="28"/>
          <w:lang w:val="ro-MD"/>
        </w:rPr>
        <w:t>(iv)</w:t>
      </w:r>
      <w:r w:rsidRPr="002751FC">
        <w:rPr>
          <w:rFonts w:asciiTheme="majorHAnsi" w:eastAsia="Times New Roman" w:hAnsiTheme="majorHAnsi" w:cstheme="majorHAnsi"/>
          <w:sz w:val="28"/>
          <w:szCs w:val="28"/>
          <w:lang w:val="ro-MD"/>
        </w:rPr>
        <w:t xml:space="preserve"> efectuarea analizelor sectoriale; </w:t>
      </w:r>
      <w:r w:rsidRPr="002751FC">
        <w:rPr>
          <w:rFonts w:asciiTheme="majorHAnsi" w:eastAsia="Times New Roman" w:hAnsiTheme="majorHAnsi" w:cstheme="majorHAnsi"/>
          <w:b/>
          <w:sz w:val="28"/>
          <w:szCs w:val="28"/>
          <w:lang w:val="ro-MD"/>
        </w:rPr>
        <w:t>(v)</w:t>
      </w:r>
      <w:r w:rsidRPr="002751FC">
        <w:rPr>
          <w:rFonts w:asciiTheme="majorHAnsi" w:eastAsia="Times New Roman" w:hAnsiTheme="majorHAnsi" w:cstheme="majorHAnsi"/>
          <w:sz w:val="28"/>
          <w:szCs w:val="28"/>
          <w:lang w:val="ro-MD"/>
        </w:rPr>
        <w:t xml:space="preserve"> executarea programelor de instruire; </w:t>
      </w:r>
      <w:r w:rsidRPr="002751FC">
        <w:rPr>
          <w:rFonts w:asciiTheme="majorHAnsi" w:eastAsia="Times New Roman" w:hAnsiTheme="majorHAnsi" w:cstheme="majorHAnsi"/>
          <w:b/>
          <w:sz w:val="28"/>
          <w:szCs w:val="28"/>
          <w:lang w:val="ro-MD"/>
        </w:rPr>
        <w:t>(vi)</w:t>
      </w:r>
      <w:r w:rsidRPr="002751FC">
        <w:rPr>
          <w:rFonts w:asciiTheme="majorHAnsi" w:eastAsia="Times New Roman" w:hAnsiTheme="majorHAnsi" w:cstheme="majorHAnsi"/>
          <w:sz w:val="28"/>
          <w:szCs w:val="28"/>
          <w:lang w:val="ro-MD"/>
        </w:rPr>
        <w:t xml:space="preserve"> elaborarea şi implementarea programelor de asigurare a </w:t>
      </w:r>
      <w:r w:rsidR="00523043" w:rsidRPr="002751FC">
        <w:rPr>
          <w:rFonts w:asciiTheme="majorHAnsi" w:eastAsia="Times New Roman" w:hAnsiTheme="majorHAnsi" w:cstheme="majorHAnsi"/>
          <w:sz w:val="28"/>
          <w:szCs w:val="28"/>
          <w:lang w:val="ro-MD"/>
        </w:rPr>
        <w:t>conformității</w:t>
      </w:r>
      <w:r w:rsidRPr="002751FC">
        <w:rPr>
          <w:rFonts w:asciiTheme="majorHAnsi" w:eastAsia="Times New Roman" w:hAnsiTheme="majorHAnsi" w:cstheme="majorHAnsi"/>
          <w:sz w:val="28"/>
          <w:szCs w:val="28"/>
          <w:lang w:val="ro-MD"/>
        </w:rPr>
        <w:t xml:space="preserve"> şi calităţii produselor vitivinicole; </w:t>
      </w:r>
      <w:r w:rsidRPr="002751FC">
        <w:rPr>
          <w:rFonts w:asciiTheme="majorHAnsi" w:eastAsia="Times New Roman" w:hAnsiTheme="majorHAnsi" w:cstheme="majorHAnsi"/>
          <w:b/>
          <w:sz w:val="28"/>
          <w:szCs w:val="28"/>
          <w:lang w:val="ro-MD"/>
        </w:rPr>
        <w:t>(vii)</w:t>
      </w:r>
      <w:r w:rsidRPr="002751FC">
        <w:rPr>
          <w:rFonts w:asciiTheme="majorHAnsi" w:eastAsia="Times New Roman" w:hAnsiTheme="majorHAnsi" w:cstheme="majorHAnsi"/>
          <w:sz w:val="28"/>
          <w:szCs w:val="28"/>
          <w:lang w:val="ro-MD"/>
        </w:rPr>
        <w:t xml:space="preserve"> gestionarea producerii vinurilor cu </w:t>
      </w:r>
      <w:r w:rsidR="00523043" w:rsidRPr="002751FC">
        <w:rPr>
          <w:rFonts w:asciiTheme="majorHAnsi" w:eastAsia="Times New Roman" w:hAnsiTheme="majorHAnsi" w:cstheme="majorHAnsi"/>
          <w:sz w:val="28"/>
          <w:szCs w:val="28"/>
          <w:lang w:val="ro-MD"/>
        </w:rPr>
        <w:t>IGP</w:t>
      </w:r>
      <w:r w:rsidRPr="002751FC">
        <w:rPr>
          <w:rFonts w:asciiTheme="majorHAnsi" w:eastAsia="Times New Roman" w:hAnsiTheme="majorHAnsi" w:cstheme="majorHAnsi"/>
          <w:sz w:val="28"/>
          <w:szCs w:val="28"/>
          <w:lang w:val="ro-MD"/>
        </w:rPr>
        <w:t xml:space="preserve">, cu </w:t>
      </w:r>
      <w:r w:rsidR="00523043" w:rsidRPr="002751FC">
        <w:rPr>
          <w:rFonts w:asciiTheme="majorHAnsi" w:eastAsia="Times New Roman" w:hAnsiTheme="majorHAnsi" w:cstheme="majorHAnsi"/>
          <w:sz w:val="28"/>
          <w:szCs w:val="28"/>
          <w:lang w:val="ro-MD"/>
        </w:rPr>
        <w:t>DOP</w:t>
      </w:r>
      <w:r w:rsidRPr="002751FC">
        <w:rPr>
          <w:rFonts w:asciiTheme="majorHAnsi" w:eastAsia="Times New Roman" w:hAnsiTheme="majorHAnsi" w:cstheme="majorHAnsi"/>
          <w:sz w:val="28"/>
          <w:szCs w:val="28"/>
          <w:lang w:val="ro-MD"/>
        </w:rPr>
        <w:t xml:space="preserve"> şi cu brand de </w:t>
      </w:r>
      <w:proofErr w:type="spellStart"/>
      <w:r w:rsidRPr="002751FC">
        <w:rPr>
          <w:rFonts w:asciiTheme="majorHAnsi" w:eastAsia="Times New Roman" w:hAnsiTheme="majorHAnsi" w:cstheme="majorHAnsi"/>
          <w:sz w:val="28"/>
          <w:szCs w:val="28"/>
          <w:lang w:val="ro-MD"/>
        </w:rPr>
        <w:t>ţară</w:t>
      </w:r>
      <w:proofErr w:type="spellEnd"/>
      <w:r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b/>
          <w:sz w:val="28"/>
          <w:szCs w:val="28"/>
          <w:lang w:val="ro-MD"/>
        </w:rPr>
        <w:t>(viii)</w:t>
      </w:r>
      <w:r w:rsidRPr="002751FC">
        <w:rPr>
          <w:rFonts w:asciiTheme="majorHAnsi" w:eastAsia="Times New Roman" w:hAnsiTheme="majorHAnsi" w:cstheme="majorHAnsi"/>
          <w:sz w:val="28"/>
          <w:szCs w:val="28"/>
          <w:lang w:val="ro-MD"/>
        </w:rPr>
        <w:t xml:space="preserve"> salarizarea personalului şi </w:t>
      </w:r>
      <w:r w:rsidR="00523043" w:rsidRPr="002751FC">
        <w:rPr>
          <w:rFonts w:asciiTheme="majorHAnsi" w:eastAsia="Times New Roman" w:hAnsiTheme="majorHAnsi" w:cstheme="majorHAnsi"/>
          <w:sz w:val="28"/>
          <w:szCs w:val="28"/>
          <w:lang w:val="ro-MD"/>
        </w:rPr>
        <w:t>finanțarea</w:t>
      </w:r>
      <w:r w:rsidRPr="002751FC">
        <w:rPr>
          <w:rFonts w:asciiTheme="majorHAnsi" w:eastAsia="Times New Roman" w:hAnsiTheme="majorHAnsi" w:cstheme="majorHAnsi"/>
          <w:sz w:val="28"/>
          <w:szCs w:val="28"/>
          <w:lang w:val="ro-MD"/>
        </w:rPr>
        <w:t xml:space="preserve"> cheltuielilor curente ce </w:t>
      </w:r>
      <w:r w:rsidR="00523043" w:rsidRPr="002751FC">
        <w:rPr>
          <w:rFonts w:asciiTheme="majorHAnsi" w:eastAsia="Times New Roman" w:hAnsiTheme="majorHAnsi" w:cstheme="majorHAnsi"/>
          <w:sz w:val="28"/>
          <w:szCs w:val="28"/>
          <w:lang w:val="ro-MD"/>
        </w:rPr>
        <w:t>țin</w:t>
      </w:r>
      <w:r w:rsidRPr="002751FC">
        <w:rPr>
          <w:rFonts w:asciiTheme="majorHAnsi" w:eastAsia="Times New Roman" w:hAnsiTheme="majorHAnsi" w:cstheme="majorHAnsi"/>
          <w:sz w:val="28"/>
          <w:szCs w:val="28"/>
          <w:lang w:val="ro-MD"/>
        </w:rPr>
        <w:t xml:space="preserve"> de activitatea statutară a Oficiului; </w:t>
      </w:r>
      <w:r w:rsidRPr="002751FC">
        <w:rPr>
          <w:rFonts w:asciiTheme="majorHAnsi" w:eastAsia="Times New Roman" w:hAnsiTheme="majorHAnsi" w:cstheme="majorHAnsi"/>
          <w:b/>
          <w:sz w:val="28"/>
          <w:szCs w:val="28"/>
          <w:lang w:val="ro-MD"/>
        </w:rPr>
        <w:t>(ix)</w:t>
      </w:r>
      <w:r w:rsidRPr="002751FC">
        <w:rPr>
          <w:rFonts w:asciiTheme="majorHAnsi" w:eastAsia="Times New Roman" w:hAnsiTheme="majorHAnsi" w:cstheme="majorHAnsi"/>
          <w:sz w:val="28"/>
          <w:szCs w:val="28"/>
          <w:lang w:val="ro-MD"/>
        </w:rPr>
        <w:t xml:space="preserve"> acordarea de </w:t>
      </w:r>
      <w:r w:rsidR="00523043" w:rsidRPr="002751FC">
        <w:rPr>
          <w:rFonts w:asciiTheme="majorHAnsi" w:eastAsia="Times New Roman" w:hAnsiTheme="majorHAnsi" w:cstheme="majorHAnsi"/>
          <w:sz w:val="28"/>
          <w:szCs w:val="28"/>
          <w:lang w:val="ro-MD"/>
        </w:rPr>
        <w:t>consultanță</w:t>
      </w:r>
      <w:r w:rsidRPr="002751FC">
        <w:rPr>
          <w:rFonts w:asciiTheme="majorHAnsi" w:eastAsia="Times New Roman" w:hAnsiTheme="majorHAnsi" w:cstheme="majorHAnsi"/>
          <w:sz w:val="28"/>
          <w:szCs w:val="28"/>
          <w:lang w:val="ro-MD"/>
        </w:rPr>
        <w:t xml:space="preserve"> referitor la sectorul vitivinicol.</w:t>
      </w:r>
    </w:p>
    <w:p w:rsidR="00974C87" w:rsidRPr="002751FC" w:rsidRDefault="00974C87" w:rsidP="00974C87">
      <w:pPr>
        <w:spacing w:after="0" w:line="240" w:lineRule="auto"/>
        <w:rPr>
          <w:rFonts w:asciiTheme="majorHAnsi" w:eastAsia="Times New Roman" w:hAnsiTheme="majorHAnsi" w:cstheme="majorHAnsi"/>
          <w:sz w:val="24"/>
          <w:szCs w:val="24"/>
          <w:lang w:val="ro-MD"/>
        </w:rPr>
      </w:pPr>
    </w:p>
    <w:p w:rsidR="00974C87" w:rsidRPr="002751FC" w:rsidRDefault="00974C87" w:rsidP="00974C87">
      <w:pPr>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Excedentele financiare neutilizate de către Oficiu pe parcursul anului nu pot fi supuse prelevării şi se transferă în contul anului următor</w:t>
      </w:r>
      <w:r w:rsidR="00F1247E"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în scop de realizare a sarcinilor </w:t>
      </w:r>
      <w:r w:rsidR="00F1247E" w:rsidRPr="002751FC">
        <w:rPr>
          <w:rFonts w:asciiTheme="majorHAnsi" w:eastAsia="Times New Roman" w:hAnsiTheme="majorHAnsi" w:cstheme="majorHAnsi"/>
          <w:sz w:val="28"/>
          <w:szCs w:val="28"/>
          <w:lang w:val="ro-MD"/>
        </w:rPr>
        <w:t>delegate</w:t>
      </w:r>
      <w:r w:rsidRPr="002751FC">
        <w:rPr>
          <w:rFonts w:asciiTheme="majorHAnsi" w:eastAsia="Times New Roman" w:hAnsiTheme="majorHAnsi" w:cstheme="majorHAnsi"/>
          <w:sz w:val="28"/>
          <w:szCs w:val="28"/>
          <w:lang w:val="ro-MD"/>
        </w:rPr>
        <w:t>.</w:t>
      </w:r>
    </w:p>
    <w:p w:rsidR="00974C87" w:rsidRPr="002751FC" w:rsidRDefault="00974C87" w:rsidP="00974C87">
      <w:pPr>
        <w:spacing w:after="0" w:line="240" w:lineRule="auto"/>
        <w:jc w:val="both"/>
        <w:rPr>
          <w:rFonts w:asciiTheme="majorHAnsi" w:eastAsia="Times New Roman" w:hAnsiTheme="majorHAnsi" w:cstheme="majorHAnsi"/>
          <w:i/>
          <w:sz w:val="28"/>
          <w:szCs w:val="28"/>
          <w:lang w:val="ro-MD"/>
        </w:rPr>
      </w:pPr>
      <w:r w:rsidRPr="002751FC">
        <w:rPr>
          <w:rFonts w:asciiTheme="majorHAnsi" w:eastAsia="Times New Roman" w:hAnsiTheme="majorHAnsi" w:cstheme="majorHAnsi"/>
          <w:sz w:val="18"/>
          <w:szCs w:val="18"/>
          <w:lang w:val="ro-MD"/>
        </w:rPr>
        <w:br/>
      </w:r>
      <w:r w:rsidRPr="002751FC">
        <w:rPr>
          <w:rFonts w:asciiTheme="majorHAnsi" w:eastAsia="Times New Roman" w:hAnsiTheme="majorHAnsi" w:cstheme="majorHAnsi"/>
          <w:b/>
          <w:sz w:val="28"/>
          <w:szCs w:val="28"/>
          <w:lang w:val="ro-MD"/>
        </w:rPr>
        <w:t>Politica de stat în sectorul vitivinicol</w:t>
      </w:r>
      <w:r w:rsidRPr="002751FC">
        <w:rPr>
          <w:rFonts w:asciiTheme="majorHAnsi" w:eastAsia="Times New Roman" w:hAnsiTheme="majorHAnsi" w:cstheme="majorHAnsi"/>
          <w:sz w:val="28"/>
          <w:szCs w:val="28"/>
          <w:lang w:val="ro-MD"/>
        </w:rPr>
        <w:t xml:space="preserve"> este elaborată şi promovată de Ministerul Agriculturii, Dezvoltării Regionale şi Mediului şi este implementată prin intermediul Oficiului Naţional al Viei şi Vinului. </w:t>
      </w:r>
      <w:r w:rsidRPr="002751FC">
        <w:rPr>
          <w:rFonts w:asciiTheme="majorHAnsi" w:eastAsia="Times New Roman" w:hAnsiTheme="majorHAnsi" w:cstheme="majorHAnsi"/>
          <w:i/>
          <w:sz w:val="28"/>
          <w:szCs w:val="28"/>
          <w:lang w:val="ro-MD"/>
        </w:rPr>
        <w:t>Responsabilitățile MADRM și ONVV în acest domeniu sunt prezentate în Anexa nr.3 la prezentul Raport de audit.</w:t>
      </w:r>
    </w:p>
    <w:p w:rsidR="00974C87" w:rsidRPr="002751FC" w:rsidRDefault="00974C87" w:rsidP="00974C87">
      <w:pPr>
        <w:spacing w:after="0" w:line="240" w:lineRule="auto"/>
        <w:jc w:val="both"/>
        <w:rPr>
          <w:rFonts w:asciiTheme="majorHAnsi" w:eastAsia="Times New Roman" w:hAnsiTheme="majorHAnsi" w:cstheme="majorHAnsi"/>
          <w:i/>
          <w:sz w:val="28"/>
          <w:szCs w:val="28"/>
          <w:lang w:val="ro-MD"/>
        </w:rPr>
      </w:pPr>
    </w:p>
    <w:p w:rsidR="00974C87" w:rsidRPr="002751FC" w:rsidRDefault="00974C87" w:rsidP="00974C87">
      <w:pPr>
        <w:pStyle w:val="a3"/>
        <w:outlineLvl w:val="0"/>
        <w:rPr>
          <w:rFonts w:asciiTheme="majorHAnsi" w:hAnsiTheme="majorHAnsi" w:cstheme="majorHAnsi"/>
          <w:b/>
          <w:sz w:val="28"/>
          <w:szCs w:val="28"/>
          <w:lang w:val="ro-MD"/>
        </w:rPr>
      </w:pPr>
      <w:r w:rsidRPr="002751FC">
        <w:rPr>
          <w:rFonts w:asciiTheme="majorHAnsi" w:hAnsiTheme="majorHAnsi" w:cstheme="majorHAnsi"/>
          <w:b/>
          <w:bCs/>
          <w:sz w:val="18"/>
          <w:szCs w:val="18"/>
          <w:lang w:val="ro-MD"/>
        </w:rPr>
        <w:br/>
      </w:r>
      <w:bookmarkStart w:id="11" w:name="_Toc23259086"/>
      <w:r w:rsidRPr="002751FC">
        <w:rPr>
          <w:rFonts w:asciiTheme="majorHAnsi" w:hAnsiTheme="majorHAnsi" w:cstheme="majorHAnsi"/>
          <w:b/>
          <w:sz w:val="28"/>
          <w:szCs w:val="28"/>
          <w:lang w:val="ro-MD"/>
        </w:rPr>
        <w:t>2.2</w:t>
      </w:r>
      <w:r w:rsidR="004F2CC0">
        <w:rPr>
          <w:rFonts w:asciiTheme="majorHAnsi" w:hAnsiTheme="majorHAnsi" w:cstheme="majorHAnsi"/>
          <w:b/>
          <w:sz w:val="28"/>
          <w:szCs w:val="28"/>
          <w:lang w:val="ro-MD"/>
        </w:rPr>
        <w:t>.</w:t>
      </w:r>
      <w:r w:rsidRPr="002751FC">
        <w:rPr>
          <w:rFonts w:asciiTheme="majorHAnsi" w:hAnsiTheme="majorHAnsi" w:cstheme="majorHAnsi"/>
          <w:b/>
          <w:sz w:val="28"/>
          <w:szCs w:val="28"/>
          <w:lang w:val="ro-MD"/>
        </w:rPr>
        <w:t xml:space="preserve"> </w:t>
      </w:r>
      <w:r w:rsidR="00291A45" w:rsidRPr="002751FC">
        <w:rPr>
          <w:rFonts w:asciiTheme="majorHAnsi" w:hAnsiTheme="majorHAnsi" w:cstheme="majorHAnsi"/>
          <w:b/>
          <w:sz w:val="28"/>
          <w:szCs w:val="28"/>
          <w:lang w:val="ro-MD"/>
        </w:rPr>
        <w:t>Informații</w:t>
      </w:r>
      <w:r w:rsidRPr="002751FC">
        <w:rPr>
          <w:rFonts w:asciiTheme="majorHAnsi" w:hAnsiTheme="majorHAnsi" w:cstheme="majorHAnsi"/>
          <w:b/>
          <w:sz w:val="28"/>
          <w:szCs w:val="28"/>
          <w:lang w:val="ro-MD"/>
        </w:rPr>
        <w:t xml:space="preserve"> generale privind Oficiul Naţional al Viei şi Vinului</w:t>
      </w:r>
      <w:bookmarkEnd w:id="11"/>
    </w:p>
    <w:p w:rsidR="00974C87" w:rsidRPr="002751FC" w:rsidRDefault="00974C87" w:rsidP="00974C87">
      <w:pPr>
        <w:spacing w:before="120" w:after="0"/>
        <w:jc w:val="both"/>
        <w:rPr>
          <w:rFonts w:asciiTheme="majorHAnsi" w:hAnsiTheme="majorHAnsi" w:cstheme="majorHAnsi"/>
          <w:sz w:val="28"/>
          <w:szCs w:val="28"/>
          <w:lang w:val="ro-MD"/>
        </w:rPr>
      </w:pPr>
      <w:r w:rsidRPr="002751FC">
        <w:rPr>
          <w:rFonts w:asciiTheme="majorHAnsi" w:eastAsia="Times New Roman" w:hAnsiTheme="majorHAnsi" w:cstheme="majorHAnsi"/>
          <w:sz w:val="28"/>
          <w:szCs w:val="28"/>
          <w:lang w:val="ro-MD"/>
        </w:rPr>
        <w:t xml:space="preserve">Oficiul Naţional al Viei şi Vinului este instituţie publică subordonată Ministerului Agriculturii, Dezvoltării Regionale şi Mediului, cu statut de persoană juridică </w:t>
      </w:r>
      <w:r w:rsidRPr="002751FC">
        <w:rPr>
          <w:rFonts w:asciiTheme="majorHAnsi" w:hAnsiTheme="majorHAnsi" w:cstheme="majorHAnsi"/>
          <w:sz w:val="28"/>
          <w:szCs w:val="28"/>
          <w:lang w:val="ro-MD"/>
        </w:rPr>
        <w:t xml:space="preserve">şi autonomie financiară, care activează în </w:t>
      </w:r>
      <w:r w:rsidR="00F83859" w:rsidRPr="002751FC">
        <w:rPr>
          <w:rFonts w:asciiTheme="majorHAnsi" w:hAnsiTheme="majorHAnsi" w:cstheme="majorHAnsi"/>
          <w:sz w:val="28"/>
          <w:szCs w:val="28"/>
          <w:lang w:val="ro-MD"/>
        </w:rPr>
        <w:t>condiții</w:t>
      </w:r>
      <w:r w:rsidRPr="002751FC">
        <w:rPr>
          <w:rFonts w:asciiTheme="majorHAnsi" w:hAnsiTheme="majorHAnsi" w:cstheme="majorHAnsi"/>
          <w:sz w:val="28"/>
          <w:szCs w:val="28"/>
          <w:lang w:val="ro-MD"/>
        </w:rPr>
        <w:t xml:space="preserve"> de autogestiune</w:t>
      </w:r>
      <w:r w:rsidRPr="002751FC">
        <w:rPr>
          <w:rFonts w:asciiTheme="majorHAnsi" w:eastAsia="Times New Roman" w:hAnsiTheme="majorHAnsi" w:cstheme="majorHAnsi"/>
          <w:sz w:val="28"/>
          <w:szCs w:val="28"/>
          <w:lang w:val="ro-MD"/>
        </w:rPr>
        <w:t>.</w:t>
      </w:r>
      <w:r w:rsidRPr="002751FC">
        <w:rPr>
          <w:rFonts w:asciiTheme="majorHAnsi" w:hAnsiTheme="majorHAnsi" w:cstheme="majorHAnsi"/>
          <w:sz w:val="28"/>
          <w:szCs w:val="28"/>
          <w:lang w:val="ro-MD"/>
        </w:rPr>
        <w:t xml:space="preserve"> Misiunea ONVV </w:t>
      </w:r>
      <w:r w:rsidRPr="002751FC">
        <w:rPr>
          <w:rFonts w:asciiTheme="majorHAnsi" w:hAnsiTheme="majorHAnsi" w:cstheme="majorHAnsi"/>
          <w:sz w:val="28"/>
          <w:szCs w:val="28"/>
          <w:lang w:val="ro-MD"/>
        </w:rPr>
        <w:lastRenderedPageBreak/>
        <w:t>constă în implementarea politicii statului în sectorul pepinieritului viticol, viticulturii şi vinificației, iar finanțarea activităţii acestuia se realizează din Fondul Viei şi Vinului.</w:t>
      </w:r>
    </w:p>
    <w:p w:rsidR="00974C87" w:rsidRPr="002751FC" w:rsidRDefault="00974C87" w:rsidP="00974C87">
      <w:pPr>
        <w:spacing w:before="120"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Organele de conducere ale Oficiului sunt Consiliul de </w:t>
      </w:r>
      <w:r w:rsidR="00F83859" w:rsidRPr="002751FC">
        <w:rPr>
          <w:rFonts w:asciiTheme="majorHAnsi" w:hAnsiTheme="majorHAnsi" w:cstheme="majorHAnsi"/>
          <w:sz w:val="28"/>
          <w:szCs w:val="28"/>
          <w:lang w:val="ro-MD"/>
        </w:rPr>
        <w:t>c</w:t>
      </w:r>
      <w:r w:rsidRPr="002751FC">
        <w:rPr>
          <w:rFonts w:asciiTheme="majorHAnsi" w:hAnsiTheme="majorHAnsi" w:cstheme="majorHAnsi"/>
          <w:sz w:val="28"/>
          <w:szCs w:val="28"/>
          <w:lang w:val="ro-MD"/>
        </w:rPr>
        <w:t>oordonare şi directorul.</w:t>
      </w:r>
    </w:p>
    <w:p w:rsidR="00974C87" w:rsidRPr="002751FC" w:rsidRDefault="00974C87" w:rsidP="00974C87">
      <w:pPr>
        <w:spacing w:before="120"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Consiliul de coordonare este organul colegial superior al Oficiului, care supraveghează </w:t>
      </w:r>
      <w:r w:rsidR="00F83859" w:rsidRPr="002751FC">
        <w:rPr>
          <w:rFonts w:asciiTheme="majorHAnsi" w:hAnsiTheme="majorHAnsi" w:cstheme="majorHAnsi"/>
          <w:sz w:val="28"/>
          <w:szCs w:val="28"/>
          <w:lang w:val="ro-MD"/>
        </w:rPr>
        <w:t>funcționarea</w:t>
      </w:r>
      <w:r w:rsidRPr="002751FC">
        <w:rPr>
          <w:rFonts w:asciiTheme="majorHAnsi" w:hAnsiTheme="majorHAnsi" w:cstheme="majorHAnsi"/>
          <w:sz w:val="28"/>
          <w:szCs w:val="28"/>
          <w:lang w:val="ro-MD"/>
        </w:rPr>
        <w:t xml:space="preserve"> acestuia, aprobă planul de activitate, bugetul şi dările de seamă ale Oficiului. Deciziile Consiliului se adoptă cu majoritatea simplă de voturi ale membrilor </w:t>
      </w:r>
      <w:r w:rsidR="00F83859" w:rsidRPr="002751FC">
        <w:rPr>
          <w:rFonts w:asciiTheme="majorHAnsi" w:hAnsiTheme="majorHAnsi" w:cstheme="majorHAnsi"/>
          <w:sz w:val="28"/>
          <w:szCs w:val="28"/>
          <w:lang w:val="ro-MD"/>
        </w:rPr>
        <w:t>aleși</w:t>
      </w:r>
      <w:r w:rsidRPr="002751FC">
        <w:rPr>
          <w:rFonts w:asciiTheme="majorHAnsi" w:hAnsiTheme="majorHAnsi" w:cstheme="majorHAnsi"/>
          <w:sz w:val="28"/>
          <w:szCs w:val="28"/>
          <w:lang w:val="ro-MD"/>
        </w:rPr>
        <w:t>.</w:t>
      </w:r>
    </w:p>
    <w:p w:rsidR="00974C87" w:rsidRPr="002751FC" w:rsidRDefault="00974C87" w:rsidP="00974C87">
      <w:pPr>
        <w:spacing w:before="120"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C</w:t>
      </w:r>
      <w:r w:rsidR="00F83859" w:rsidRPr="002751FC">
        <w:rPr>
          <w:rFonts w:asciiTheme="majorHAnsi" w:hAnsiTheme="majorHAnsi" w:cstheme="majorHAnsi"/>
          <w:sz w:val="28"/>
          <w:szCs w:val="28"/>
          <w:lang w:val="ro-MD"/>
        </w:rPr>
        <w:t xml:space="preserve">C </w:t>
      </w:r>
      <w:r w:rsidRPr="002751FC">
        <w:rPr>
          <w:rFonts w:asciiTheme="majorHAnsi" w:hAnsiTheme="majorHAnsi" w:cstheme="majorHAnsi"/>
          <w:sz w:val="28"/>
          <w:szCs w:val="28"/>
          <w:lang w:val="ro-MD"/>
        </w:rPr>
        <w:t xml:space="preserve">este compus din 13 membri şi include: 3 </w:t>
      </w:r>
      <w:r w:rsidR="00F83859" w:rsidRPr="002751FC">
        <w:rPr>
          <w:rFonts w:asciiTheme="majorHAnsi" w:hAnsiTheme="majorHAnsi" w:cstheme="majorHAnsi"/>
          <w:sz w:val="28"/>
          <w:szCs w:val="28"/>
          <w:lang w:val="ro-MD"/>
        </w:rPr>
        <w:t>reprezentanți</w:t>
      </w:r>
      <w:r w:rsidRPr="002751FC">
        <w:rPr>
          <w:rFonts w:asciiTheme="majorHAnsi" w:hAnsiTheme="majorHAnsi" w:cstheme="majorHAnsi"/>
          <w:sz w:val="28"/>
          <w:szCs w:val="28"/>
          <w:lang w:val="ro-MD"/>
        </w:rPr>
        <w:t xml:space="preserve"> ai MADRM, din care un reprezentant este angajat al MADRM, </w:t>
      </w:r>
      <w:r w:rsidR="00F83859" w:rsidRPr="002751FC">
        <w:rPr>
          <w:rFonts w:asciiTheme="majorHAnsi" w:hAnsiTheme="majorHAnsi" w:cstheme="majorHAnsi"/>
          <w:sz w:val="28"/>
          <w:szCs w:val="28"/>
          <w:lang w:val="ro-MD"/>
        </w:rPr>
        <w:t>câte</w:t>
      </w:r>
      <w:r w:rsidRPr="002751FC">
        <w:rPr>
          <w:rFonts w:asciiTheme="majorHAnsi" w:hAnsiTheme="majorHAnsi" w:cstheme="majorHAnsi"/>
          <w:sz w:val="28"/>
          <w:szCs w:val="28"/>
          <w:lang w:val="ro-MD"/>
        </w:rPr>
        <w:t xml:space="preserve"> 2 </w:t>
      </w:r>
      <w:r w:rsidR="00F83859" w:rsidRPr="002751FC">
        <w:rPr>
          <w:rFonts w:asciiTheme="majorHAnsi" w:hAnsiTheme="majorHAnsi" w:cstheme="majorHAnsi"/>
          <w:sz w:val="28"/>
          <w:szCs w:val="28"/>
          <w:lang w:val="ro-MD"/>
        </w:rPr>
        <w:t>reprezentanți</w:t>
      </w:r>
      <w:r w:rsidRPr="002751FC">
        <w:rPr>
          <w:rFonts w:asciiTheme="majorHAnsi" w:hAnsiTheme="majorHAnsi" w:cstheme="majorHAnsi"/>
          <w:sz w:val="28"/>
          <w:szCs w:val="28"/>
          <w:lang w:val="ro-MD"/>
        </w:rPr>
        <w:t xml:space="preserve"> de la </w:t>
      </w:r>
      <w:r w:rsidR="00F83859" w:rsidRPr="002751FC">
        <w:rPr>
          <w:rFonts w:asciiTheme="majorHAnsi" w:hAnsiTheme="majorHAnsi" w:cstheme="majorHAnsi"/>
          <w:sz w:val="28"/>
          <w:szCs w:val="28"/>
          <w:lang w:val="ro-MD"/>
        </w:rPr>
        <w:t>Asociația</w:t>
      </w:r>
      <w:r w:rsidRPr="002751FC">
        <w:rPr>
          <w:rFonts w:asciiTheme="majorHAnsi" w:hAnsiTheme="majorHAnsi" w:cstheme="majorHAnsi"/>
          <w:sz w:val="28"/>
          <w:szCs w:val="28"/>
          <w:lang w:val="ro-MD"/>
        </w:rPr>
        <w:t xml:space="preserve"> Vitivinicolă a Regiunii Geografice Delimitate „Codru” şi de la </w:t>
      </w:r>
      <w:r w:rsidR="00F83859" w:rsidRPr="002751FC">
        <w:rPr>
          <w:rFonts w:asciiTheme="majorHAnsi" w:hAnsiTheme="majorHAnsi" w:cstheme="majorHAnsi"/>
          <w:sz w:val="28"/>
          <w:szCs w:val="28"/>
          <w:lang w:val="ro-MD"/>
        </w:rPr>
        <w:t>Asociația</w:t>
      </w:r>
      <w:r w:rsidRPr="002751FC">
        <w:rPr>
          <w:rFonts w:asciiTheme="majorHAnsi" w:hAnsiTheme="majorHAnsi" w:cstheme="majorHAnsi"/>
          <w:sz w:val="28"/>
          <w:szCs w:val="28"/>
          <w:lang w:val="ro-MD"/>
        </w:rPr>
        <w:t xml:space="preserve"> Producătorilor de Vinuri cu </w:t>
      </w:r>
      <w:r w:rsidR="00F83859" w:rsidRPr="002751FC">
        <w:rPr>
          <w:rFonts w:asciiTheme="majorHAnsi" w:hAnsiTheme="majorHAnsi" w:cstheme="majorHAnsi"/>
          <w:sz w:val="28"/>
          <w:szCs w:val="28"/>
          <w:lang w:val="ro-MD"/>
        </w:rPr>
        <w:t>Indicație</w:t>
      </w:r>
      <w:r w:rsidRPr="002751FC">
        <w:rPr>
          <w:rFonts w:asciiTheme="majorHAnsi" w:hAnsiTheme="majorHAnsi" w:cstheme="majorHAnsi"/>
          <w:sz w:val="28"/>
          <w:szCs w:val="28"/>
          <w:lang w:val="ro-MD"/>
        </w:rPr>
        <w:t xml:space="preserve"> Geografică Protejată „</w:t>
      </w:r>
      <w:r w:rsidR="00F83859" w:rsidRPr="002751FC">
        <w:rPr>
          <w:rFonts w:asciiTheme="majorHAnsi" w:hAnsiTheme="majorHAnsi" w:cstheme="majorHAnsi"/>
          <w:sz w:val="28"/>
          <w:szCs w:val="28"/>
          <w:lang w:val="ro-MD"/>
        </w:rPr>
        <w:t>Ștefan</w:t>
      </w:r>
      <w:r w:rsidR="00E033B9">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 xml:space="preserve">Vodă”, 3 </w:t>
      </w:r>
      <w:r w:rsidR="00F83859" w:rsidRPr="002751FC">
        <w:rPr>
          <w:rFonts w:asciiTheme="majorHAnsi" w:hAnsiTheme="majorHAnsi" w:cstheme="majorHAnsi"/>
          <w:sz w:val="28"/>
          <w:szCs w:val="28"/>
          <w:lang w:val="ro-MD"/>
        </w:rPr>
        <w:t>reprezentanți</w:t>
      </w:r>
      <w:r w:rsidRPr="002751FC">
        <w:rPr>
          <w:rFonts w:asciiTheme="majorHAnsi" w:hAnsiTheme="majorHAnsi" w:cstheme="majorHAnsi"/>
          <w:sz w:val="28"/>
          <w:szCs w:val="28"/>
          <w:lang w:val="ro-MD"/>
        </w:rPr>
        <w:t xml:space="preserve"> de la Uniunea Vitivinicolă a Regiunii Geografice Delimitate „Valul lui Traian”, </w:t>
      </w:r>
      <w:r w:rsidR="00F83859" w:rsidRPr="002751FC">
        <w:rPr>
          <w:rFonts w:asciiTheme="majorHAnsi" w:hAnsiTheme="majorHAnsi" w:cstheme="majorHAnsi"/>
          <w:sz w:val="28"/>
          <w:szCs w:val="28"/>
          <w:lang w:val="ro-MD"/>
        </w:rPr>
        <w:t>câte</w:t>
      </w:r>
      <w:r w:rsidRPr="002751FC">
        <w:rPr>
          <w:rFonts w:asciiTheme="majorHAnsi" w:hAnsiTheme="majorHAnsi" w:cstheme="majorHAnsi"/>
          <w:sz w:val="28"/>
          <w:szCs w:val="28"/>
          <w:lang w:val="ro-MD"/>
        </w:rPr>
        <w:t xml:space="preserve"> un reprezentant de la </w:t>
      </w:r>
      <w:r w:rsidR="00F83859" w:rsidRPr="002751FC">
        <w:rPr>
          <w:rFonts w:asciiTheme="majorHAnsi" w:hAnsiTheme="majorHAnsi" w:cstheme="majorHAnsi"/>
          <w:sz w:val="28"/>
          <w:szCs w:val="28"/>
          <w:lang w:val="ro-MD"/>
        </w:rPr>
        <w:t>Asociația</w:t>
      </w:r>
      <w:r w:rsidRPr="002751FC">
        <w:rPr>
          <w:rFonts w:asciiTheme="majorHAnsi" w:hAnsiTheme="majorHAnsi" w:cstheme="majorHAnsi"/>
          <w:sz w:val="28"/>
          <w:szCs w:val="28"/>
          <w:lang w:val="ro-MD"/>
        </w:rPr>
        <w:t xml:space="preserve"> Producătorilor de Vinuri cu </w:t>
      </w:r>
      <w:r w:rsidR="00F83859" w:rsidRPr="002751FC">
        <w:rPr>
          <w:rFonts w:asciiTheme="majorHAnsi" w:hAnsiTheme="majorHAnsi" w:cstheme="majorHAnsi"/>
          <w:sz w:val="28"/>
          <w:szCs w:val="28"/>
          <w:lang w:val="ro-MD"/>
        </w:rPr>
        <w:t>Indicație</w:t>
      </w:r>
      <w:r w:rsidRPr="002751FC">
        <w:rPr>
          <w:rFonts w:asciiTheme="majorHAnsi" w:hAnsiTheme="majorHAnsi" w:cstheme="majorHAnsi"/>
          <w:sz w:val="28"/>
          <w:szCs w:val="28"/>
          <w:lang w:val="ro-MD"/>
        </w:rPr>
        <w:t xml:space="preserve"> Geografică Protejată „</w:t>
      </w:r>
      <w:r w:rsidR="00F83859" w:rsidRPr="002751FC">
        <w:rPr>
          <w:rFonts w:asciiTheme="majorHAnsi" w:hAnsiTheme="majorHAnsi" w:cstheme="majorHAnsi"/>
          <w:sz w:val="28"/>
          <w:szCs w:val="28"/>
          <w:lang w:val="ro-MD"/>
        </w:rPr>
        <w:t>Bălți</w:t>
      </w:r>
      <w:r w:rsidRPr="002751FC">
        <w:rPr>
          <w:rFonts w:asciiTheme="majorHAnsi" w:hAnsiTheme="majorHAnsi" w:cstheme="majorHAnsi"/>
          <w:sz w:val="28"/>
          <w:szCs w:val="28"/>
          <w:lang w:val="ro-MD"/>
        </w:rPr>
        <w:t xml:space="preserve">”, de la </w:t>
      </w:r>
      <w:r w:rsidR="00F83859" w:rsidRPr="002751FC">
        <w:rPr>
          <w:rFonts w:asciiTheme="majorHAnsi" w:hAnsiTheme="majorHAnsi" w:cstheme="majorHAnsi"/>
          <w:sz w:val="28"/>
          <w:szCs w:val="28"/>
          <w:lang w:val="ro-MD"/>
        </w:rPr>
        <w:t>Asociația</w:t>
      </w:r>
      <w:r w:rsidRPr="002751FC">
        <w:rPr>
          <w:rFonts w:asciiTheme="majorHAnsi" w:hAnsiTheme="majorHAnsi" w:cstheme="majorHAnsi"/>
          <w:sz w:val="28"/>
          <w:szCs w:val="28"/>
          <w:lang w:val="ro-MD"/>
        </w:rPr>
        <w:t xml:space="preserve"> Producătorilor de Divin şi Brandy de Moldova şi de la </w:t>
      </w:r>
      <w:r w:rsidR="00F83859" w:rsidRPr="002751FC">
        <w:rPr>
          <w:rFonts w:asciiTheme="majorHAnsi" w:hAnsiTheme="majorHAnsi" w:cstheme="majorHAnsi"/>
          <w:sz w:val="28"/>
          <w:szCs w:val="28"/>
          <w:lang w:val="ro-MD"/>
        </w:rPr>
        <w:t>Asociația</w:t>
      </w:r>
      <w:r w:rsidRPr="002751FC">
        <w:rPr>
          <w:rFonts w:asciiTheme="majorHAnsi" w:hAnsiTheme="majorHAnsi" w:cstheme="majorHAnsi"/>
          <w:sz w:val="28"/>
          <w:szCs w:val="28"/>
          <w:lang w:val="ro-MD"/>
        </w:rPr>
        <w:t xml:space="preserve"> </w:t>
      </w:r>
      <w:r w:rsidR="00F83859" w:rsidRPr="002751FC">
        <w:rPr>
          <w:rFonts w:asciiTheme="majorHAnsi" w:hAnsiTheme="majorHAnsi" w:cstheme="majorHAnsi"/>
          <w:sz w:val="28"/>
          <w:szCs w:val="28"/>
          <w:lang w:val="ro-MD"/>
        </w:rPr>
        <w:t>Pepinieriștilor</w:t>
      </w:r>
      <w:r w:rsidRPr="002751FC">
        <w:rPr>
          <w:rFonts w:asciiTheme="majorHAnsi" w:hAnsiTheme="majorHAnsi" w:cstheme="majorHAnsi"/>
          <w:sz w:val="28"/>
          <w:szCs w:val="28"/>
          <w:lang w:val="ro-MD"/>
        </w:rPr>
        <w:t xml:space="preserve"> Viticoli. </w:t>
      </w:r>
    </w:p>
    <w:p w:rsidR="00974C87" w:rsidRPr="002751FC" w:rsidRDefault="00974C87" w:rsidP="00974C87">
      <w:pPr>
        <w:spacing w:after="0" w:line="240" w:lineRule="auto"/>
        <w:jc w:val="both"/>
        <w:rPr>
          <w:rFonts w:asciiTheme="majorHAnsi" w:eastAsia="Times New Roman" w:hAnsiTheme="majorHAnsi" w:cstheme="majorHAnsi"/>
          <w:sz w:val="28"/>
          <w:szCs w:val="28"/>
          <w:lang w:val="ro-MD"/>
        </w:rPr>
      </w:pPr>
    </w:p>
    <w:p w:rsidR="00974C87" w:rsidRPr="002751FC" w:rsidRDefault="00974C87" w:rsidP="00974C87">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Membrii C</w:t>
      </w:r>
      <w:r w:rsidR="00306053" w:rsidRPr="002751FC">
        <w:rPr>
          <w:rFonts w:asciiTheme="majorHAnsi" w:eastAsia="Times New Roman" w:hAnsiTheme="majorHAnsi" w:cstheme="majorHAnsi"/>
          <w:sz w:val="28"/>
          <w:szCs w:val="28"/>
          <w:lang w:val="ro-MD"/>
        </w:rPr>
        <w:t xml:space="preserve">C </w:t>
      </w:r>
      <w:r w:rsidRPr="002751FC">
        <w:rPr>
          <w:rFonts w:asciiTheme="majorHAnsi" w:eastAsia="Times New Roman" w:hAnsiTheme="majorHAnsi" w:cstheme="majorHAnsi"/>
          <w:sz w:val="28"/>
          <w:szCs w:val="28"/>
          <w:lang w:val="ro-MD"/>
        </w:rPr>
        <w:t>sunt</w:t>
      </w:r>
      <w:r w:rsidR="00306053" w:rsidRPr="002751FC">
        <w:rPr>
          <w:rFonts w:asciiTheme="majorHAnsi" w:eastAsia="Times New Roman" w:hAnsiTheme="majorHAnsi" w:cstheme="majorHAnsi"/>
          <w:sz w:val="28"/>
          <w:szCs w:val="28"/>
          <w:lang w:val="ro-MD"/>
        </w:rPr>
        <w:t xml:space="preserve"> persoane cu funcții</w:t>
      </w:r>
      <w:r w:rsidRPr="002751FC">
        <w:rPr>
          <w:rFonts w:asciiTheme="majorHAnsi" w:eastAsia="Times New Roman" w:hAnsiTheme="majorHAnsi" w:cstheme="majorHAnsi"/>
          <w:sz w:val="28"/>
          <w:szCs w:val="28"/>
          <w:lang w:val="ro-MD"/>
        </w:rPr>
        <w:t xml:space="preserve"> de răspundere ale Oficiului şi poartă răspundere personală şi colegială pentru activitatea </w:t>
      </w:r>
      <w:r w:rsidR="00306053" w:rsidRPr="002751FC">
        <w:rPr>
          <w:rFonts w:asciiTheme="majorHAnsi" w:eastAsia="Times New Roman" w:hAnsiTheme="majorHAnsi" w:cstheme="majorHAnsi"/>
          <w:sz w:val="28"/>
          <w:szCs w:val="28"/>
          <w:lang w:val="ro-MD"/>
        </w:rPr>
        <w:t>desfășurată</w:t>
      </w:r>
      <w:r w:rsidRPr="002751FC">
        <w:rPr>
          <w:rFonts w:asciiTheme="majorHAnsi" w:eastAsia="Times New Roman" w:hAnsiTheme="majorHAnsi" w:cstheme="majorHAnsi"/>
          <w:sz w:val="28"/>
          <w:szCs w:val="28"/>
          <w:lang w:val="ro-MD"/>
        </w:rPr>
        <w:t xml:space="preserve"> în cadrul acestuia.</w:t>
      </w:r>
    </w:p>
    <w:p w:rsidR="00974C87" w:rsidRPr="002751FC" w:rsidRDefault="00974C87" w:rsidP="00974C87">
      <w:pPr>
        <w:spacing w:after="0" w:line="240" w:lineRule="auto"/>
        <w:jc w:val="both"/>
        <w:rPr>
          <w:rFonts w:asciiTheme="majorHAnsi" w:eastAsia="Times New Roman" w:hAnsiTheme="majorHAnsi" w:cstheme="majorHAnsi"/>
          <w:sz w:val="24"/>
          <w:szCs w:val="24"/>
          <w:lang w:val="ro-MD"/>
        </w:rPr>
      </w:pPr>
    </w:p>
    <w:p w:rsidR="00974C87" w:rsidRPr="002751FC" w:rsidRDefault="00974C87" w:rsidP="00974C87">
      <w:pPr>
        <w:spacing w:after="0" w:line="240" w:lineRule="auto"/>
        <w:jc w:val="both"/>
        <w:rPr>
          <w:rFonts w:asciiTheme="majorHAnsi" w:eastAsia="Times New Roman" w:hAnsiTheme="majorHAnsi" w:cstheme="majorHAnsi"/>
          <w:i/>
          <w:sz w:val="28"/>
          <w:szCs w:val="28"/>
          <w:lang w:val="ro-MD"/>
        </w:rPr>
      </w:pPr>
      <w:r w:rsidRPr="002751FC">
        <w:rPr>
          <w:rFonts w:asciiTheme="majorHAnsi" w:eastAsia="Times New Roman" w:hAnsiTheme="majorHAnsi" w:cstheme="majorHAnsi"/>
          <w:i/>
          <w:sz w:val="28"/>
          <w:szCs w:val="28"/>
          <w:lang w:val="ro-MD"/>
        </w:rPr>
        <w:t>Atribuțiile Consiliului sunt prezentate în Anexa nr.4 la prezentul Raport de audit.</w:t>
      </w:r>
    </w:p>
    <w:p w:rsidR="00974C87" w:rsidRPr="002751FC" w:rsidRDefault="00974C87" w:rsidP="00974C87">
      <w:pPr>
        <w:spacing w:before="120"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Directorul Oficiului este selectat în </w:t>
      </w:r>
      <w:r w:rsidR="00670D43" w:rsidRPr="002751FC">
        <w:rPr>
          <w:rFonts w:asciiTheme="majorHAnsi" w:hAnsiTheme="majorHAnsi" w:cstheme="majorHAnsi"/>
          <w:sz w:val="28"/>
          <w:szCs w:val="28"/>
          <w:lang w:val="ro-MD"/>
        </w:rPr>
        <w:t>funcție</w:t>
      </w:r>
      <w:r w:rsidRPr="002751FC">
        <w:rPr>
          <w:rFonts w:asciiTheme="majorHAnsi" w:hAnsiTheme="majorHAnsi" w:cstheme="majorHAnsi"/>
          <w:sz w:val="28"/>
          <w:szCs w:val="28"/>
          <w:lang w:val="ro-MD"/>
        </w:rPr>
        <w:t xml:space="preserve"> pe bază de concurs şi numit în </w:t>
      </w:r>
      <w:r w:rsidR="00670D43" w:rsidRPr="002751FC">
        <w:rPr>
          <w:rFonts w:asciiTheme="majorHAnsi" w:hAnsiTheme="majorHAnsi" w:cstheme="majorHAnsi"/>
          <w:sz w:val="28"/>
          <w:szCs w:val="28"/>
          <w:lang w:val="ro-MD"/>
        </w:rPr>
        <w:t>funcție</w:t>
      </w:r>
      <w:r w:rsidRPr="002751FC">
        <w:rPr>
          <w:rFonts w:asciiTheme="majorHAnsi" w:hAnsiTheme="majorHAnsi" w:cstheme="majorHAnsi"/>
          <w:sz w:val="28"/>
          <w:szCs w:val="28"/>
          <w:lang w:val="ro-MD"/>
        </w:rPr>
        <w:t xml:space="preserve"> prin ordinul ministrului MADRM pe un termen de 4 ani, conduce activitatea Oficiului şi poartă răspundere personală pentru realizarea obiectivelor puse în sarcină, reprezintă Oficiul în plan </w:t>
      </w:r>
      <w:r w:rsidR="00670D43" w:rsidRPr="002751FC">
        <w:rPr>
          <w:rFonts w:asciiTheme="majorHAnsi" w:hAnsiTheme="majorHAnsi" w:cstheme="majorHAnsi"/>
          <w:sz w:val="28"/>
          <w:szCs w:val="28"/>
          <w:lang w:val="ro-MD"/>
        </w:rPr>
        <w:t>național</w:t>
      </w:r>
      <w:r w:rsidRPr="002751FC">
        <w:rPr>
          <w:rFonts w:asciiTheme="majorHAnsi" w:hAnsiTheme="majorHAnsi" w:cstheme="majorHAnsi"/>
          <w:sz w:val="28"/>
          <w:szCs w:val="28"/>
          <w:lang w:val="ro-MD"/>
        </w:rPr>
        <w:t xml:space="preserve"> şi </w:t>
      </w:r>
      <w:r w:rsidR="00670D43" w:rsidRPr="002751FC">
        <w:rPr>
          <w:rFonts w:asciiTheme="majorHAnsi" w:hAnsiTheme="majorHAnsi" w:cstheme="majorHAnsi"/>
          <w:sz w:val="28"/>
          <w:szCs w:val="28"/>
          <w:lang w:val="ro-MD"/>
        </w:rPr>
        <w:t>internațional</w:t>
      </w:r>
      <w:r w:rsidRPr="002751FC">
        <w:rPr>
          <w:rFonts w:asciiTheme="majorHAnsi" w:hAnsiTheme="majorHAnsi" w:cstheme="majorHAnsi"/>
          <w:sz w:val="28"/>
          <w:szCs w:val="28"/>
          <w:lang w:val="ro-MD"/>
        </w:rPr>
        <w:t xml:space="preserve">, asigură executarea </w:t>
      </w:r>
      <w:r w:rsidR="00670D43" w:rsidRPr="002751FC">
        <w:rPr>
          <w:rFonts w:asciiTheme="majorHAnsi" w:hAnsiTheme="majorHAnsi" w:cstheme="majorHAnsi"/>
          <w:sz w:val="28"/>
          <w:szCs w:val="28"/>
          <w:lang w:val="ro-MD"/>
        </w:rPr>
        <w:t>legislației</w:t>
      </w:r>
      <w:r w:rsidRPr="002751FC">
        <w:rPr>
          <w:rFonts w:asciiTheme="majorHAnsi" w:hAnsiTheme="majorHAnsi" w:cstheme="majorHAnsi"/>
          <w:sz w:val="28"/>
          <w:szCs w:val="28"/>
          <w:lang w:val="ro-MD"/>
        </w:rPr>
        <w:t xml:space="preserve"> în vigoare, în limitele competenţelor emite ordine şi decizii şi controlează executarea lor.</w:t>
      </w:r>
    </w:p>
    <w:p w:rsidR="00974C87" w:rsidRPr="002751FC" w:rsidRDefault="00974C87" w:rsidP="00974C87">
      <w:pPr>
        <w:spacing w:after="0" w:line="240" w:lineRule="auto"/>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Oficiul </w:t>
      </w:r>
      <w:proofErr w:type="spellStart"/>
      <w:r w:rsidRPr="002751FC">
        <w:rPr>
          <w:rFonts w:asciiTheme="majorHAnsi" w:eastAsia="Times New Roman" w:hAnsiTheme="majorHAnsi" w:cstheme="majorHAnsi"/>
          <w:sz w:val="28"/>
          <w:szCs w:val="28"/>
          <w:lang w:val="ro-MD"/>
        </w:rPr>
        <w:t>îşi</w:t>
      </w:r>
      <w:proofErr w:type="spellEnd"/>
      <w:r w:rsidRPr="002751FC">
        <w:rPr>
          <w:rFonts w:asciiTheme="majorHAnsi" w:eastAsia="Times New Roman" w:hAnsiTheme="majorHAnsi" w:cstheme="majorHAnsi"/>
          <w:sz w:val="28"/>
          <w:szCs w:val="28"/>
          <w:lang w:val="ro-MD"/>
        </w:rPr>
        <w:t xml:space="preserve"> </w:t>
      </w:r>
      <w:r w:rsidR="00670D43" w:rsidRPr="002751FC">
        <w:rPr>
          <w:rFonts w:asciiTheme="majorHAnsi" w:eastAsia="Times New Roman" w:hAnsiTheme="majorHAnsi" w:cstheme="majorHAnsi"/>
          <w:sz w:val="28"/>
          <w:szCs w:val="28"/>
          <w:lang w:val="ro-MD"/>
        </w:rPr>
        <w:t>desfășoară</w:t>
      </w:r>
      <w:r w:rsidRPr="002751FC">
        <w:rPr>
          <w:rFonts w:asciiTheme="majorHAnsi" w:eastAsia="Times New Roman" w:hAnsiTheme="majorHAnsi" w:cstheme="majorHAnsi"/>
          <w:sz w:val="28"/>
          <w:szCs w:val="28"/>
          <w:lang w:val="ro-MD"/>
        </w:rPr>
        <w:t xml:space="preserve"> activitatea în conformitate cu planul de activitate, aprobat de C</w:t>
      </w:r>
      <w:r w:rsidR="00670D43" w:rsidRPr="002751FC">
        <w:rPr>
          <w:rFonts w:asciiTheme="majorHAnsi" w:eastAsia="Times New Roman" w:hAnsiTheme="majorHAnsi" w:cstheme="majorHAnsi"/>
          <w:sz w:val="28"/>
          <w:szCs w:val="28"/>
          <w:lang w:val="ro-MD"/>
        </w:rPr>
        <w:t>C</w:t>
      </w:r>
      <w:r w:rsidRPr="002751FC">
        <w:rPr>
          <w:rFonts w:asciiTheme="majorHAnsi" w:eastAsia="Times New Roman" w:hAnsiTheme="majorHAnsi" w:cstheme="majorHAnsi"/>
          <w:sz w:val="28"/>
          <w:szCs w:val="28"/>
          <w:lang w:val="ro-MD"/>
        </w:rPr>
        <w:t>.</w:t>
      </w:r>
    </w:p>
    <w:p w:rsidR="00974C87" w:rsidRPr="002751FC" w:rsidRDefault="00974C87" w:rsidP="00974C87">
      <w:pPr>
        <w:spacing w:after="0" w:line="240" w:lineRule="auto"/>
        <w:jc w:val="both"/>
        <w:rPr>
          <w:rFonts w:asciiTheme="majorHAnsi" w:eastAsia="Times New Roman" w:hAnsiTheme="majorHAnsi" w:cstheme="majorHAnsi"/>
          <w:b/>
          <w:bCs/>
          <w:sz w:val="28"/>
          <w:szCs w:val="28"/>
          <w:lang w:val="ro-MD"/>
        </w:rPr>
      </w:pPr>
    </w:p>
    <w:p w:rsidR="00974C87" w:rsidRPr="002751FC" w:rsidRDefault="00670D43" w:rsidP="00974C87">
      <w:pPr>
        <w:spacing w:after="0" w:line="240" w:lineRule="auto"/>
        <w:jc w:val="both"/>
        <w:rPr>
          <w:rFonts w:asciiTheme="majorHAnsi" w:eastAsia="Times New Roman" w:hAnsiTheme="majorHAnsi" w:cstheme="majorHAnsi"/>
          <w:i/>
          <w:sz w:val="28"/>
          <w:szCs w:val="28"/>
          <w:lang w:val="ro-MD"/>
        </w:rPr>
      </w:pPr>
      <w:r w:rsidRPr="002751FC">
        <w:rPr>
          <w:rFonts w:asciiTheme="majorHAnsi" w:eastAsia="Times New Roman" w:hAnsiTheme="majorHAnsi" w:cstheme="majorHAnsi"/>
          <w:sz w:val="28"/>
          <w:szCs w:val="28"/>
          <w:lang w:val="ro-MD"/>
        </w:rPr>
        <w:t>Activitățile</w:t>
      </w:r>
      <w:r w:rsidR="00974C87" w:rsidRPr="002751FC">
        <w:rPr>
          <w:rFonts w:asciiTheme="majorHAnsi" w:eastAsia="Times New Roman" w:hAnsiTheme="majorHAnsi" w:cstheme="majorHAnsi"/>
          <w:sz w:val="28"/>
          <w:szCs w:val="28"/>
          <w:lang w:val="ro-MD"/>
        </w:rPr>
        <w:t xml:space="preserve"> Oficiului sunt </w:t>
      </w:r>
      <w:r w:rsidRPr="002751FC">
        <w:rPr>
          <w:rFonts w:asciiTheme="majorHAnsi" w:eastAsia="Times New Roman" w:hAnsiTheme="majorHAnsi" w:cstheme="majorHAnsi"/>
          <w:sz w:val="28"/>
          <w:szCs w:val="28"/>
          <w:lang w:val="ro-MD"/>
        </w:rPr>
        <w:t>finanțate</w:t>
      </w:r>
      <w:r w:rsidR="00974C87" w:rsidRPr="002751FC">
        <w:rPr>
          <w:rFonts w:asciiTheme="majorHAnsi" w:eastAsia="Times New Roman" w:hAnsiTheme="majorHAnsi" w:cstheme="majorHAnsi"/>
          <w:sz w:val="28"/>
          <w:szCs w:val="28"/>
          <w:lang w:val="ro-MD"/>
        </w:rPr>
        <w:t xml:space="preserve"> din Fondul Viei şi Vinului. </w:t>
      </w:r>
      <w:r w:rsidR="00974C87" w:rsidRPr="002751FC">
        <w:rPr>
          <w:rFonts w:asciiTheme="majorHAnsi" w:eastAsia="Times New Roman" w:hAnsiTheme="majorHAnsi" w:cstheme="majorHAnsi"/>
          <w:i/>
          <w:sz w:val="28"/>
          <w:szCs w:val="28"/>
          <w:lang w:val="ro-MD"/>
        </w:rPr>
        <w:t>Drepturile ONVV sunt prezentate în Anexa nr.5 la prezentul Raport de audit.</w:t>
      </w:r>
    </w:p>
    <w:p w:rsidR="00974C87" w:rsidRPr="002751FC" w:rsidRDefault="00974C87" w:rsidP="00974C87">
      <w:pPr>
        <w:pStyle w:val="1"/>
        <w:rPr>
          <w:rFonts w:eastAsia="Times New Roman" w:cstheme="majorHAnsi"/>
          <w:b/>
          <w:color w:val="auto"/>
          <w:sz w:val="28"/>
          <w:szCs w:val="28"/>
          <w:lang w:val="ro-MD"/>
        </w:rPr>
      </w:pPr>
      <w:bookmarkStart w:id="12" w:name="_Toc23259087"/>
      <w:r w:rsidRPr="002751FC">
        <w:rPr>
          <w:rFonts w:eastAsia="Times New Roman" w:cstheme="majorHAnsi"/>
          <w:b/>
          <w:color w:val="auto"/>
          <w:sz w:val="28"/>
          <w:szCs w:val="28"/>
          <w:lang w:val="ro-MD"/>
        </w:rPr>
        <w:t>2.3</w:t>
      </w:r>
      <w:r w:rsidRPr="002751FC">
        <w:rPr>
          <w:rFonts w:eastAsia="Times New Roman" w:cstheme="majorHAnsi"/>
          <w:color w:val="auto"/>
          <w:sz w:val="28"/>
          <w:szCs w:val="28"/>
          <w:lang w:val="ro-MD"/>
        </w:rPr>
        <w:t>.</w:t>
      </w:r>
      <w:r w:rsidRPr="002751FC">
        <w:rPr>
          <w:rFonts w:eastAsia="Times New Roman" w:cstheme="majorHAnsi"/>
          <w:b/>
          <w:i/>
          <w:color w:val="auto"/>
          <w:sz w:val="28"/>
          <w:szCs w:val="28"/>
          <w:lang w:val="ro-MD"/>
        </w:rPr>
        <w:t xml:space="preserve"> </w:t>
      </w:r>
      <w:r w:rsidRPr="002751FC">
        <w:rPr>
          <w:rFonts w:eastAsia="Times New Roman" w:cstheme="majorHAnsi"/>
          <w:b/>
          <w:color w:val="auto"/>
          <w:sz w:val="28"/>
          <w:szCs w:val="28"/>
          <w:lang w:val="ro-MD"/>
        </w:rPr>
        <w:t>Bugetul F</w:t>
      </w:r>
      <w:r w:rsidR="00F1247E" w:rsidRPr="002751FC">
        <w:rPr>
          <w:rFonts w:eastAsia="Times New Roman" w:cstheme="majorHAnsi"/>
          <w:b/>
          <w:color w:val="auto"/>
          <w:sz w:val="28"/>
          <w:szCs w:val="28"/>
          <w:lang w:val="ro-MD"/>
        </w:rPr>
        <w:t xml:space="preserve">ondului </w:t>
      </w:r>
      <w:r w:rsidRPr="002751FC">
        <w:rPr>
          <w:rFonts w:eastAsia="Times New Roman" w:cstheme="majorHAnsi"/>
          <w:b/>
          <w:color w:val="auto"/>
          <w:sz w:val="28"/>
          <w:szCs w:val="28"/>
          <w:lang w:val="ro-MD"/>
        </w:rPr>
        <w:t>V</w:t>
      </w:r>
      <w:r w:rsidR="00F1247E" w:rsidRPr="002751FC">
        <w:rPr>
          <w:rFonts w:eastAsia="Times New Roman" w:cstheme="majorHAnsi"/>
          <w:b/>
          <w:color w:val="auto"/>
          <w:sz w:val="28"/>
          <w:szCs w:val="28"/>
          <w:lang w:val="ro-MD"/>
        </w:rPr>
        <w:t xml:space="preserve">iei și </w:t>
      </w:r>
      <w:r w:rsidRPr="002751FC">
        <w:rPr>
          <w:rFonts w:eastAsia="Times New Roman" w:cstheme="majorHAnsi"/>
          <w:b/>
          <w:color w:val="auto"/>
          <w:sz w:val="28"/>
          <w:szCs w:val="28"/>
          <w:lang w:val="ro-MD"/>
        </w:rPr>
        <w:t>V</w:t>
      </w:r>
      <w:r w:rsidR="00F1247E" w:rsidRPr="002751FC">
        <w:rPr>
          <w:rFonts w:eastAsia="Times New Roman" w:cstheme="majorHAnsi"/>
          <w:b/>
          <w:color w:val="auto"/>
          <w:sz w:val="28"/>
          <w:szCs w:val="28"/>
          <w:lang w:val="ro-MD"/>
        </w:rPr>
        <w:t>inului</w:t>
      </w:r>
      <w:bookmarkEnd w:id="12"/>
    </w:p>
    <w:p w:rsidR="00974C87" w:rsidRPr="002751FC" w:rsidRDefault="00974C87" w:rsidP="00974C87">
      <w:pPr>
        <w:spacing w:after="0" w:line="240" w:lineRule="auto"/>
        <w:jc w:val="both"/>
        <w:rPr>
          <w:rFonts w:asciiTheme="majorHAnsi" w:hAnsiTheme="majorHAnsi" w:cstheme="majorHAnsi"/>
          <w:lang w:val="ro-MD"/>
        </w:rPr>
      </w:pPr>
    </w:p>
    <w:p w:rsidR="00974C87" w:rsidRPr="002751FC" w:rsidRDefault="00974C87" w:rsidP="00974C87">
      <w:pPr>
        <w:pStyle w:val="a3"/>
        <w:ind w:firstLine="0"/>
        <w:rPr>
          <w:rFonts w:asciiTheme="majorHAnsi" w:hAnsiTheme="majorHAnsi" w:cstheme="majorHAnsi"/>
          <w:color w:val="000000"/>
          <w:sz w:val="28"/>
          <w:szCs w:val="28"/>
          <w:lang w:val="ro-MD"/>
        </w:rPr>
      </w:pPr>
      <w:r w:rsidRPr="002751FC">
        <w:rPr>
          <w:rFonts w:asciiTheme="majorHAnsi" w:hAnsiTheme="majorHAnsi" w:cstheme="majorHAnsi"/>
          <w:color w:val="000000"/>
          <w:sz w:val="28"/>
          <w:szCs w:val="28"/>
          <w:lang w:val="ro-MD"/>
        </w:rPr>
        <w:t>Bugetul FVV este format din contribuțiile în FVV, finanța</w:t>
      </w:r>
      <w:r w:rsidR="009A562D" w:rsidRPr="002751FC">
        <w:rPr>
          <w:rFonts w:asciiTheme="majorHAnsi" w:hAnsiTheme="majorHAnsi" w:cstheme="majorHAnsi"/>
          <w:color w:val="000000"/>
          <w:sz w:val="28"/>
          <w:szCs w:val="28"/>
          <w:lang w:val="ro-MD"/>
        </w:rPr>
        <w:t>r</w:t>
      </w:r>
      <w:r w:rsidRPr="002751FC">
        <w:rPr>
          <w:rFonts w:asciiTheme="majorHAnsi" w:hAnsiTheme="majorHAnsi" w:cstheme="majorHAnsi"/>
          <w:color w:val="000000"/>
          <w:sz w:val="28"/>
          <w:szCs w:val="28"/>
          <w:lang w:val="ro-MD"/>
        </w:rPr>
        <w:t>e</w:t>
      </w:r>
      <w:r w:rsidR="009A562D" w:rsidRPr="002751FC">
        <w:rPr>
          <w:rFonts w:asciiTheme="majorHAnsi" w:hAnsiTheme="majorHAnsi" w:cstheme="majorHAnsi"/>
          <w:color w:val="000000"/>
          <w:sz w:val="28"/>
          <w:szCs w:val="28"/>
          <w:lang w:val="ro-MD"/>
        </w:rPr>
        <w:t>a</w:t>
      </w:r>
      <w:r w:rsidRPr="002751FC">
        <w:rPr>
          <w:rFonts w:asciiTheme="majorHAnsi" w:hAnsiTheme="majorHAnsi" w:cstheme="majorHAnsi"/>
          <w:color w:val="000000"/>
          <w:sz w:val="28"/>
          <w:szCs w:val="28"/>
          <w:lang w:val="ro-MD"/>
        </w:rPr>
        <w:t xml:space="preserve"> de la bugetul de stat ca parte a alocațiilor acordate prin Legea bugetului din Fondul </w:t>
      </w:r>
      <w:r w:rsidR="00B92AB2" w:rsidRPr="002751FC">
        <w:rPr>
          <w:rFonts w:asciiTheme="majorHAnsi" w:hAnsiTheme="majorHAnsi" w:cstheme="majorHAnsi"/>
          <w:color w:val="000000"/>
          <w:sz w:val="28"/>
          <w:szCs w:val="28"/>
          <w:lang w:val="ro-MD"/>
        </w:rPr>
        <w:t>național</w:t>
      </w:r>
      <w:r w:rsidRPr="002751FC">
        <w:rPr>
          <w:rFonts w:asciiTheme="majorHAnsi" w:hAnsiTheme="majorHAnsi" w:cstheme="majorHAnsi"/>
          <w:color w:val="000000"/>
          <w:sz w:val="28"/>
          <w:szCs w:val="28"/>
          <w:lang w:val="ro-MD"/>
        </w:rPr>
        <w:t xml:space="preserve"> de dezvoltare a agriculturii şi mediului rural și din alte venituri, care includ sponsorizări și garanțiile pentru ofertă.</w:t>
      </w:r>
    </w:p>
    <w:p w:rsidR="00974C87" w:rsidRPr="002751FC" w:rsidRDefault="00974C87" w:rsidP="00974C87">
      <w:pPr>
        <w:spacing w:after="0" w:line="240" w:lineRule="auto"/>
        <w:jc w:val="both"/>
        <w:rPr>
          <w:rFonts w:asciiTheme="majorHAnsi" w:hAnsiTheme="majorHAnsi" w:cstheme="majorHAnsi"/>
          <w:color w:val="000000"/>
          <w:sz w:val="28"/>
          <w:szCs w:val="28"/>
          <w:lang w:val="ro-MD"/>
        </w:rPr>
      </w:pPr>
    </w:p>
    <w:p w:rsidR="00974C87" w:rsidRPr="002751FC" w:rsidRDefault="00974C87" w:rsidP="00974C87">
      <w:pPr>
        <w:spacing w:after="0" w:line="240" w:lineRule="auto"/>
        <w:jc w:val="both"/>
        <w:rPr>
          <w:rFonts w:asciiTheme="majorHAnsi" w:hAnsiTheme="majorHAnsi" w:cstheme="majorHAnsi"/>
          <w:i/>
          <w:color w:val="000000"/>
          <w:sz w:val="28"/>
          <w:szCs w:val="28"/>
          <w:lang w:val="ro-MD"/>
        </w:rPr>
      </w:pPr>
      <w:r w:rsidRPr="002751FC">
        <w:rPr>
          <w:rFonts w:asciiTheme="majorHAnsi" w:hAnsiTheme="majorHAnsi" w:cstheme="majorHAnsi"/>
          <w:color w:val="000000"/>
          <w:sz w:val="28"/>
          <w:szCs w:val="28"/>
          <w:lang w:val="ro-MD"/>
        </w:rPr>
        <w:lastRenderedPageBreak/>
        <w:t xml:space="preserve">În anul 2018, bugetul FVV aprobat de CC a constituit 38,7 </w:t>
      </w:r>
      <w:proofErr w:type="spellStart"/>
      <w:r w:rsidRPr="002751FC">
        <w:rPr>
          <w:rFonts w:asciiTheme="majorHAnsi" w:hAnsiTheme="majorHAnsi" w:cstheme="majorHAnsi"/>
          <w:color w:val="000000"/>
          <w:sz w:val="28"/>
          <w:szCs w:val="28"/>
          <w:lang w:val="ro-MD"/>
        </w:rPr>
        <w:t>mil.MDL</w:t>
      </w:r>
      <w:proofErr w:type="spellEnd"/>
      <w:r w:rsidR="00B92AB2" w:rsidRPr="002751FC">
        <w:rPr>
          <w:rFonts w:asciiTheme="majorHAnsi" w:hAnsiTheme="majorHAnsi" w:cstheme="majorHAnsi"/>
          <w:color w:val="000000"/>
          <w:sz w:val="28"/>
          <w:szCs w:val="28"/>
          <w:lang w:val="ro-MD"/>
        </w:rPr>
        <w:t xml:space="preserve"> la venituri și</w:t>
      </w:r>
      <w:r w:rsidRPr="002751FC">
        <w:rPr>
          <w:rFonts w:asciiTheme="majorHAnsi" w:hAnsiTheme="majorHAnsi" w:cstheme="majorHAnsi"/>
          <w:color w:val="000000"/>
          <w:sz w:val="28"/>
          <w:szCs w:val="28"/>
          <w:lang w:val="ro-MD"/>
        </w:rPr>
        <w:t xml:space="preserve"> 64,7 </w:t>
      </w:r>
      <w:proofErr w:type="spellStart"/>
      <w:r w:rsidRPr="002751FC">
        <w:rPr>
          <w:rFonts w:asciiTheme="majorHAnsi" w:hAnsiTheme="majorHAnsi" w:cstheme="majorHAnsi"/>
          <w:color w:val="000000"/>
          <w:sz w:val="28"/>
          <w:szCs w:val="28"/>
          <w:lang w:val="ro-MD"/>
        </w:rPr>
        <w:t>mil.MDL</w:t>
      </w:r>
      <w:proofErr w:type="spellEnd"/>
      <w:r w:rsidRPr="002751FC">
        <w:rPr>
          <w:rFonts w:asciiTheme="majorHAnsi" w:hAnsiTheme="majorHAnsi" w:cstheme="majorHAnsi"/>
          <w:color w:val="000000"/>
          <w:sz w:val="28"/>
          <w:szCs w:val="28"/>
          <w:lang w:val="ro-MD"/>
        </w:rPr>
        <w:t xml:space="preserve"> la cheltuieli, fiind realizat la venituri la nivel de 114,2% și la cheltuieli la nivel de 65,2%. </w:t>
      </w:r>
      <w:r w:rsidRPr="002751FC">
        <w:rPr>
          <w:rFonts w:asciiTheme="majorHAnsi" w:hAnsiTheme="majorHAnsi" w:cstheme="majorHAnsi"/>
          <w:i/>
          <w:color w:val="000000"/>
          <w:sz w:val="28"/>
          <w:szCs w:val="28"/>
          <w:lang w:val="ro-MD"/>
        </w:rPr>
        <w:t>Sinteza resurselor administrate de FVV în anul 2018 se prezintă în Tabelul nr.1.</w:t>
      </w:r>
    </w:p>
    <w:p w:rsidR="00974C87" w:rsidRPr="002751FC" w:rsidRDefault="00974C87" w:rsidP="00715586">
      <w:pPr>
        <w:spacing w:after="0"/>
        <w:jc w:val="right"/>
        <w:rPr>
          <w:rFonts w:asciiTheme="majorHAnsi" w:hAnsiTheme="majorHAnsi" w:cstheme="majorHAnsi"/>
          <w:b/>
          <w:color w:val="000000"/>
          <w:sz w:val="20"/>
          <w:szCs w:val="20"/>
          <w:lang w:val="ro-MD"/>
        </w:rPr>
      </w:pPr>
      <w:r w:rsidRPr="002751FC">
        <w:rPr>
          <w:rFonts w:asciiTheme="majorHAnsi" w:hAnsiTheme="majorHAnsi" w:cstheme="majorHAnsi"/>
          <w:b/>
          <w:color w:val="000000"/>
          <w:sz w:val="20"/>
          <w:szCs w:val="20"/>
          <w:lang w:val="ro-MD"/>
        </w:rPr>
        <w:t xml:space="preserve">Tabelul nr.1 </w:t>
      </w:r>
    </w:p>
    <w:p w:rsidR="00974C87" w:rsidRPr="002751FC" w:rsidRDefault="00974C87" w:rsidP="00715586">
      <w:pPr>
        <w:spacing w:after="0"/>
        <w:jc w:val="center"/>
        <w:rPr>
          <w:rFonts w:asciiTheme="majorHAnsi" w:hAnsiTheme="majorHAnsi" w:cstheme="majorHAnsi"/>
          <w:color w:val="000000"/>
          <w:sz w:val="20"/>
          <w:szCs w:val="20"/>
          <w:lang w:val="ro-MD"/>
        </w:rPr>
      </w:pPr>
      <w:r w:rsidRPr="002751FC">
        <w:rPr>
          <w:rFonts w:asciiTheme="majorHAnsi" w:hAnsiTheme="majorHAnsi" w:cstheme="majorHAnsi"/>
          <w:b/>
          <w:color w:val="000000"/>
          <w:sz w:val="20"/>
          <w:szCs w:val="20"/>
          <w:lang w:val="ro-MD"/>
        </w:rPr>
        <w:t xml:space="preserve">Sinteza resurselor administrate de FVV în anul 2018, </w:t>
      </w:r>
      <w:proofErr w:type="spellStart"/>
      <w:r w:rsidRPr="002751FC">
        <w:rPr>
          <w:rFonts w:asciiTheme="majorHAnsi" w:hAnsiTheme="majorHAnsi" w:cstheme="majorHAnsi"/>
          <w:b/>
          <w:color w:val="000000"/>
          <w:sz w:val="20"/>
          <w:szCs w:val="20"/>
          <w:lang w:val="ro-MD"/>
        </w:rPr>
        <w:t>mil.MDL</w:t>
      </w:r>
      <w:proofErr w:type="spellEnd"/>
    </w:p>
    <w:tbl>
      <w:tblPr>
        <w:tblStyle w:val="ae"/>
        <w:tblW w:w="9721" w:type="dxa"/>
        <w:tblLook w:val="04A0" w:firstRow="1" w:lastRow="0" w:firstColumn="1" w:lastColumn="0" w:noHBand="0" w:noVBand="1"/>
      </w:tblPr>
      <w:tblGrid>
        <w:gridCol w:w="5098"/>
        <w:gridCol w:w="871"/>
        <w:gridCol w:w="984"/>
        <w:gridCol w:w="1020"/>
        <w:gridCol w:w="895"/>
        <w:gridCol w:w="853"/>
      </w:tblGrid>
      <w:tr w:rsidR="00974C87" w:rsidRPr="002751FC" w:rsidTr="00A62E0F">
        <w:trPr>
          <w:trHeight w:val="224"/>
        </w:trPr>
        <w:tc>
          <w:tcPr>
            <w:tcW w:w="5142" w:type="dxa"/>
            <w:vMerge w:val="restart"/>
            <w:shd w:val="clear" w:color="auto" w:fill="DEEAF6" w:themeFill="accent1" w:themeFillTint="33"/>
            <w:vAlign w:val="center"/>
          </w:tcPr>
          <w:p w:rsidR="00974C87" w:rsidRPr="002751FC" w:rsidRDefault="00974C87" w:rsidP="00C545A5">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Indicatorii</w:t>
            </w:r>
          </w:p>
        </w:tc>
        <w:tc>
          <w:tcPr>
            <w:tcW w:w="821" w:type="dxa"/>
            <w:vMerge w:val="restart"/>
            <w:shd w:val="clear" w:color="auto" w:fill="DEEAF6" w:themeFill="accent1" w:themeFillTint="33"/>
            <w:vAlign w:val="center"/>
          </w:tcPr>
          <w:p w:rsidR="00974C87" w:rsidRPr="002751FC" w:rsidRDefault="00974C87" w:rsidP="00C545A5">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Aprobat</w:t>
            </w:r>
          </w:p>
        </w:tc>
        <w:tc>
          <w:tcPr>
            <w:tcW w:w="986" w:type="dxa"/>
            <w:vMerge w:val="restart"/>
            <w:shd w:val="clear" w:color="auto" w:fill="DEEAF6" w:themeFill="accent1" w:themeFillTint="33"/>
            <w:vAlign w:val="center"/>
          </w:tcPr>
          <w:p w:rsidR="00974C87" w:rsidRPr="002751FC" w:rsidRDefault="00974C87" w:rsidP="00C545A5">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Precizat</w:t>
            </w:r>
          </w:p>
        </w:tc>
        <w:tc>
          <w:tcPr>
            <w:tcW w:w="1021" w:type="dxa"/>
            <w:vMerge w:val="restart"/>
            <w:shd w:val="clear" w:color="auto" w:fill="DEEAF6" w:themeFill="accent1" w:themeFillTint="33"/>
            <w:vAlign w:val="center"/>
          </w:tcPr>
          <w:p w:rsidR="00974C87" w:rsidRPr="002751FC" w:rsidRDefault="007B408F" w:rsidP="00C545A5">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E</w:t>
            </w:r>
            <w:r w:rsidR="00974C87" w:rsidRPr="002751FC">
              <w:rPr>
                <w:rFonts w:asciiTheme="majorHAnsi" w:eastAsia="Times New Roman" w:hAnsiTheme="majorHAnsi" w:cstheme="majorHAnsi"/>
                <w:b/>
                <w:sz w:val="20"/>
                <w:szCs w:val="20"/>
                <w:lang w:val="ro-MD"/>
              </w:rPr>
              <w:t>xecutat</w:t>
            </w:r>
          </w:p>
        </w:tc>
        <w:tc>
          <w:tcPr>
            <w:tcW w:w="1751" w:type="dxa"/>
            <w:gridSpan w:val="2"/>
            <w:shd w:val="clear" w:color="auto" w:fill="DEEAF6" w:themeFill="accent1" w:themeFillTint="33"/>
            <w:vAlign w:val="center"/>
          </w:tcPr>
          <w:p w:rsidR="00974C87" w:rsidRPr="002751FC" w:rsidRDefault="007B408F" w:rsidP="00C545A5">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D</w:t>
            </w:r>
            <w:r w:rsidR="00974C87" w:rsidRPr="002751FC">
              <w:rPr>
                <w:rFonts w:asciiTheme="majorHAnsi" w:eastAsia="Times New Roman" w:hAnsiTheme="majorHAnsi" w:cstheme="majorHAnsi"/>
                <w:b/>
                <w:sz w:val="20"/>
                <w:szCs w:val="20"/>
                <w:lang w:val="ro-MD"/>
              </w:rPr>
              <w:t>evieri</w:t>
            </w:r>
          </w:p>
        </w:tc>
      </w:tr>
      <w:tr w:rsidR="00974C87" w:rsidRPr="002751FC" w:rsidTr="00A62E0F">
        <w:trPr>
          <w:trHeight w:val="259"/>
        </w:trPr>
        <w:tc>
          <w:tcPr>
            <w:tcW w:w="5142" w:type="dxa"/>
            <w:vMerge/>
            <w:shd w:val="clear" w:color="auto" w:fill="DEEAF6" w:themeFill="accent1" w:themeFillTint="33"/>
            <w:vAlign w:val="center"/>
          </w:tcPr>
          <w:p w:rsidR="00974C87" w:rsidRPr="002751FC" w:rsidRDefault="00974C87" w:rsidP="00C545A5">
            <w:pPr>
              <w:jc w:val="center"/>
              <w:rPr>
                <w:rFonts w:asciiTheme="majorHAnsi" w:eastAsia="Times New Roman" w:hAnsiTheme="majorHAnsi" w:cstheme="majorHAnsi"/>
                <w:b/>
                <w:sz w:val="20"/>
                <w:szCs w:val="20"/>
                <w:lang w:val="ro-MD"/>
              </w:rPr>
            </w:pPr>
          </w:p>
        </w:tc>
        <w:tc>
          <w:tcPr>
            <w:tcW w:w="821" w:type="dxa"/>
            <w:vMerge/>
            <w:shd w:val="clear" w:color="auto" w:fill="DEEAF6" w:themeFill="accent1" w:themeFillTint="33"/>
            <w:vAlign w:val="center"/>
          </w:tcPr>
          <w:p w:rsidR="00974C87" w:rsidRPr="002751FC" w:rsidRDefault="00974C87" w:rsidP="00C545A5">
            <w:pPr>
              <w:jc w:val="center"/>
              <w:rPr>
                <w:rFonts w:asciiTheme="majorHAnsi" w:eastAsia="Times New Roman" w:hAnsiTheme="majorHAnsi" w:cstheme="majorHAnsi"/>
                <w:b/>
                <w:sz w:val="20"/>
                <w:szCs w:val="20"/>
                <w:lang w:val="ro-MD"/>
              </w:rPr>
            </w:pPr>
          </w:p>
        </w:tc>
        <w:tc>
          <w:tcPr>
            <w:tcW w:w="986" w:type="dxa"/>
            <w:vMerge/>
            <w:shd w:val="clear" w:color="auto" w:fill="DEEAF6" w:themeFill="accent1" w:themeFillTint="33"/>
            <w:vAlign w:val="center"/>
          </w:tcPr>
          <w:p w:rsidR="00974C87" w:rsidRPr="002751FC" w:rsidRDefault="00974C87" w:rsidP="00C545A5">
            <w:pPr>
              <w:jc w:val="center"/>
              <w:rPr>
                <w:rFonts w:asciiTheme="majorHAnsi" w:eastAsia="Times New Roman" w:hAnsiTheme="majorHAnsi" w:cstheme="majorHAnsi"/>
                <w:b/>
                <w:sz w:val="20"/>
                <w:szCs w:val="20"/>
                <w:lang w:val="ro-MD"/>
              </w:rPr>
            </w:pPr>
          </w:p>
        </w:tc>
        <w:tc>
          <w:tcPr>
            <w:tcW w:w="1021" w:type="dxa"/>
            <w:vMerge/>
            <w:shd w:val="clear" w:color="auto" w:fill="DEEAF6" w:themeFill="accent1" w:themeFillTint="33"/>
            <w:vAlign w:val="center"/>
          </w:tcPr>
          <w:p w:rsidR="00974C87" w:rsidRPr="002751FC" w:rsidRDefault="00974C87" w:rsidP="00C545A5">
            <w:pPr>
              <w:jc w:val="center"/>
              <w:rPr>
                <w:rFonts w:asciiTheme="majorHAnsi" w:eastAsia="Times New Roman" w:hAnsiTheme="majorHAnsi" w:cstheme="majorHAnsi"/>
                <w:b/>
                <w:sz w:val="20"/>
                <w:szCs w:val="20"/>
                <w:lang w:val="ro-MD"/>
              </w:rPr>
            </w:pPr>
          </w:p>
        </w:tc>
        <w:tc>
          <w:tcPr>
            <w:tcW w:w="898" w:type="dxa"/>
            <w:shd w:val="clear" w:color="auto" w:fill="DEEAF6" w:themeFill="accent1" w:themeFillTint="33"/>
            <w:vAlign w:val="center"/>
          </w:tcPr>
          <w:p w:rsidR="00974C87" w:rsidRPr="002751FC" w:rsidRDefault="007B408F" w:rsidP="00C545A5">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S</w:t>
            </w:r>
            <w:r w:rsidR="00974C87" w:rsidRPr="002751FC">
              <w:rPr>
                <w:rFonts w:asciiTheme="majorHAnsi" w:eastAsia="Times New Roman" w:hAnsiTheme="majorHAnsi" w:cstheme="majorHAnsi"/>
                <w:b/>
                <w:sz w:val="20"/>
                <w:szCs w:val="20"/>
                <w:lang w:val="ro-MD"/>
              </w:rPr>
              <w:t>uma</w:t>
            </w:r>
          </w:p>
        </w:tc>
        <w:tc>
          <w:tcPr>
            <w:tcW w:w="852" w:type="dxa"/>
            <w:shd w:val="clear" w:color="auto" w:fill="DEEAF6" w:themeFill="accent1" w:themeFillTint="33"/>
            <w:vAlign w:val="center"/>
          </w:tcPr>
          <w:p w:rsidR="00974C87" w:rsidRPr="002751FC" w:rsidRDefault="00974C87" w:rsidP="00C545A5">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w:t>
            </w:r>
          </w:p>
        </w:tc>
      </w:tr>
      <w:tr w:rsidR="00974C87" w:rsidRPr="002751FC" w:rsidTr="00A62E0F">
        <w:trPr>
          <w:trHeight w:val="248"/>
        </w:trPr>
        <w:tc>
          <w:tcPr>
            <w:tcW w:w="5142" w:type="dxa"/>
            <w:shd w:val="clear" w:color="auto" w:fill="auto"/>
          </w:tcPr>
          <w:p w:rsidR="00974C87" w:rsidRPr="002751FC" w:rsidRDefault="00974C87" w:rsidP="00C545A5">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Venituri</w:t>
            </w:r>
          </w:p>
        </w:tc>
        <w:tc>
          <w:tcPr>
            <w:tcW w:w="821"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38,7</w:t>
            </w:r>
          </w:p>
        </w:tc>
        <w:tc>
          <w:tcPr>
            <w:tcW w:w="986"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38,7</w:t>
            </w:r>
          </w:p>
        </w:tc>
        <w:tc>
          <w:tcPr>
            <w:tcW w:w="1021"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44,2</w:t>
            </w:r>
          </w:p>
        </w:tc>
        <w:tc>
          <w:tcPr>
            <w:tcW w:w="898"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+5,5</w:t>
            </w:r>
          </w:p>
        </w:tc>
        <w:tc>
          <w:tcPr>
            <w:tcW w:w="852"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114,2%</w:t>
            </w:r>
          </w:p>
        </w:tc>
      </w:tr>
      <w:tr w:rsidR="00974C87" w:rsidRPr="002751FC" w:rsidTr="00A62E0F">
        <w:trPr>
          <w:trHeight w:val="248"/>
        </w:trPr>
        <w:tc>
          <w:tcPr>
            <w:tcW w:w="5142" w:type="dxa"/>
            <w:shd w:val="clear" w:color="auto" w:fill="auto"/>
          </w:tcPr>
          <w:p w:rsidR="00974C87" w:rsidRPr="002751FC" w:rsidRDefault="00974C87" w:rsidP="00C545A5">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Cheltuieli</w:t>
            </w:r>
          </w:p>
        </w:tc>
        <w:tc>
          <w:tcPr>
            <w:tcW w:w="821"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64,7</w:t>
            </w:r>
          </w:p>
        </w:tc>
        <w:tc>
          <w:tcPr>
            <w:tcW w:w="986"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66,4</w:t>
            </w:r>
          </w:p>
        </w:tc>
        <w:tc>
          <w:tcPr>
            <w:tcW w:w="1021"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43,3</w:t>
            </w:r>
          </w:p>
        </w:tc>
        <w:tc>
          <w:tcPr>
            <w:tcW w:w="898"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-23,1</w:t>
            </w:r>
          </w:p>
        </w:tc>
        <w:tc>
          <w:tcPr>
            <w:tcW w:w="852"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65,2%</w:t>
            </w:r>
          </w:p>
        </w:tc>
      </w:tr>
      <w:tr w:rsidR="00974C87" w:rsidRPr="002751FC" w:rsidTr="00A62E0F">
        <w:trPr>
          <w:trHeight w:val="248"/>
        </w:trPr>
        <w:tc>
          <w:tcPr>
            <w:tcW w:w="5142" w:type="dxa"/>
            <w:shd w:val="clear" w:color="auto" w:fill="auto"/>
          </w:tcPr>
          <w:p w:rsidR="00974C87" w:rsidRPr="002751FC" w:rsidRDefault="00974C87" w:rsidP="00C545A5">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Deficit/excedent</w:t>
            </w:r>
          </w:p>
        </w:tc>
        <w:tc>
          <w:tcPr>
            <w:tcW w:w="821"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26,0</w:t>
            </w:r>
          </w:p>
        </w:tc>
        <w:tc>
          <w:tcPr>
            <w:tcW w:w="986"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-27,7</w:t>
            </w:r>
          </w:p>
        </w:tc>
        <w:tc>
          <w:tcPr>
            <w:tcW w:w="1021"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+0,9</w:t>
            </w:r>
          </w:p>
        </w:tc>
        <w:tc>
          <w:tcPr>
            <w:tcW w:w="898"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+28,6</w:t>
            </w:r>
          </w:p>
        </w:tc>
        <w:tc>
          <w:tcPr>
            <w:tcW w:w="852"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x</w:t>
            </w:r>
          </w:p>
        </w:tc>
      </w:tr>
      <w:tr w:rsidR="00974C87" w:rsidRPr="002751FC" w:rsidTr="00A62E0F">
        <w:trPr>
          <w:trHeight w:val="248"/>
        </w:trPr>
        <w:tc>
          <w:tcPr>
            <w:tcW w:w="5142" w:type="dxa"/>
            <w:shd w:val="clear" w:color="auto" w:fill="auto"/>
          </w:tcPr>
          <w:p w:rsidR="00974C87" w:rsidRPr="002751FC" w:rsidRDefault="00974C87" w:rsidP="00C545A5">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Soldul mijloacelor bănești la începutul anului</w:t>
            </w:r>
          </w:p>
        </w:tc>
        <w:tc>
          <w:tcPr>
            <w:tcW w:w="821"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34,2</w:t>
            </w:r>
          </w:p>
        </w:tc>
        <w:tc>
          <w:tcPr>
            <w:tcW w:w="986"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34,2</w:t>
            </w:r>
          </w:p>
        </w:tc>
        <w:tc>
          <w:tcPr>
            <w:tcW w:w="1021"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34,2</w:t>
            </w:r>
          </w:p>
        </w:tc>
        <w:tc>
          <w:tcPr>
            <w:tcW w:w="898"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w:t>
            </w:r>
          </w:p>
        </w:tc>
        <w:tc>
          <w:tcPr>
            <w:tcW w:w="852"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x</w:t>
            </w:r>
          </w:p>
        </w:tc>
      </w:tr>
      <w:tr w:rsidR="00974C87" w:rsidRPr="002751FC" w:rsidTr="00A62E0F">
        <w:trPr>
          <w:trHeight w:val="248"/>
        </w:trPr>
        <w:tc>
          <w:tcPr>
            <w:tcW w:w="5142" w:type="dxa"/>
            <w:shd w:val="clear" w:color="auto" w:fill="auto"/>
          </w:tcPr>
          <w:p w:rsidR="00974C87" w:rsidRPr="002751FC" w:rsidRDefault="00974C87" w:rsidP="00C545A5">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Soldul mijloacelor bănești la finele anului</w:t>
            </w:r>
          </w:p>
        </w:tc>
        <w:tc>
          <w:tcPr>
            <w:tcW w:w="821"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8,2</w:t>
            </w:r>
          </w:p>
        </w:tc>
        <w:tc>
          <w:tcPr>
            <w:tcW w:w="986"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6,5</w:t>
            </w:r>
          </w:p>
        </w:tc>
        <w:tc>
          <w:tcPr>
            <w:tcW w:w="1021"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35,1</w:t>
            </w:r>
          </w:p>
        </w:tc>
        <w:tc>
          <w:tcPr>
            <w:tcW w:w="898"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+28,6</w:t>
            </w:r>
          </w:p>
        </w:tc>
        <w:tc>
          <w:tcPr>
            <w:tcW w:w="852" w:type="dxa"/>
            <w:shd w:val="clear" w:color="auto" w:fill="auto"/>
          </w:tcPr>
          <w:p w:rsidR="00974C87" w:rsidRPr="002751FC" w:rsidRDefault="00974C87" w:rsidP="00B0572F">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x</w:t>
            </w:r>
          </w:p>
        </w:tc>
      </w:tr>
    </w:tbl>
    <w:p w:rsidR="00974C87" w:rsidRPr="002751FC" w:rsidRDefault="00974C87" w:rsidP="00814F7D">
      <w:pPr>
        <w:spacing w:after="0"/>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b/>
          <w:sz w:val="18"/>
          <w:szCs w:val="18"/>
          <w:lang w:val="ro-MD"/>
        </w:rPr>
        <w:t xml:space="preserve">Sursa: </w:t>
      </w:r>
      <w:r w:rsidRPr="002751FC">
        <w:rPr>
          <w:rFonts w:asciiTheme="majorHAnsi" w:eastAsia="Times New Roman" w:hAnsiTheme="majorHAnsi" w:cstheme="majorHAnsi"/>
          <w:sz w:val="18"/>
          <w:szCs w:val="18"/>
          <w:lang w:val="ro-MD"/>
        </w:rPr>
        <w:t>Datele ONVV.</w:t>
      </w:r>
    </w:p>
    <w:p w:rsidR="00974C87" w:rsidRPr="002751FC" w:rsidRDefault="00974C87" w:rsidP="00974C87">
      <w:pPr>
        <w:spacing w:before="120" w:after="0"/>
        <w:ind w:firstLine="360"/>
        <w:jc w:val="both"/>
        <w:rPr>
          <w:rFonts w:asciiTheme="majorHAnsi" w:eastAsia="Times New Roman" w:hAnsiTheme="majorHAnsi" w:cstheme="majorHAnsi"/>
          <w:sz w:val="18"/>
          <w:szCs w:val="18"/>
          <w:lang w:val="ro-MD"/>
        </w:rPr>
      </w:pPr>
    </w:p>
    <w:p w:rsidR="00974C87" w:rsidRPr="002751FC" w:rsidRDefault="00715586" w:rsidP="00974C87">
      <w:pPr>
        <w:spacing w:after="0" w:line="240" w:lineRule="auto"/>
        <w:jc w:val="both"/>
        <w:rPr>
          <w:rFonts w:asciiTheme="majorHAnsi" w:hAnsiTheme="majorHAnsi" w:cstheme="majorHAnsi"/>
          <w:i/>
          <w:color w:val="000000"/>
          <w:sz w:val="28"/>
          <w:szCs w:val="28"/>
          <w:lang w:val="ro-MD"/>
        </w:rPr>
      </w:pPr>
      <w:r w:rsidRPr="002751FC">
        <w:rPr>
          <w:rFonts w:asciiTheme="majorHAnsi" w:hAnsiTheme="majorHAnsi" w:cstheme="majorHAnsi"/>
          <w:color w:val="000000"/>
          <w:sz w:val="28"/>
          <w:szCs w:val="28"/>
          <w:lang w:val="ro-MD"/>
        </w:rPr>
        <w:t xml:space="preserve">Patrimoniul gestionat de ONVV a constituit </w:t>
      </w:r>
      <w:r w:rsidR="00974C87" w:rsidRPr="002751FC">
        <w:rPr>
          <w:rFonts w:asciiTheme="majorHAnsi" w:hAnsiTheme="majorHAnsi" w:cstheme="majorHAnsi"/>
          <w:color w:val="000000"/>
          <w:sz w:val="28"/>
          <w:szCs w:val="28"/>
          <w:lang w:val="ro-MD"/>
        </w:rPr>
        <w:t xml:space="preserve">40,3 </w:t>
      </w:r>
      <w:proofErr w:type="spellStart"/>
      <w:r w:rsidR="00974C87" w:rsidRPr="002751FC">
        <w:rPr>
          <w:rFonts w:asciiTheme="majorHAnsi" w:hAnsiTheme="majorHAnsi" w:cstheme="majorHAnsi"/>
          <w:color w:val="000000"/>
          <w:sz w:val="28"/>
          <w:szCs w:val="28"/>
          <w:lang w:val="ro-MD"/>
        </w:rPr>
        <w:t>mil.MDL</w:t>
      </w:r>
      <w:proofErr w:type="spellEnd"/>
      <w:r w:rsidR="00974C87" w:rsidRPr="002751FC">
        <w:rPr>
          <w:rFonts w:asciiTheme="majorHAnsi" w:hAnsiTheme="majorHAnsi" w:cstheme="majorHAnsi"/>
          <w:color w:val="000000"/>
          <w:sz w:val="28"/>
          <w:szCs w:val="28"/>
          <w:lang w:val="ro-MD"/>
        </w:rPr>
        <w:t xml:space="preserve">, fiind în creștere față de anul precedent cu 3,0 </w:t>
      </w:r>
      <w:proofErr w:type="spellStart"/>
      <w:r w:rsidR="00974C87" w:rsidRPr="002751FC">
        <w:rPr>
          <w:rFonts w:asciiTheme="majorHAnsi" w:hAnsiTheme="majorHAnsi" w:cstheme="majorHAnsi"/>
          <w:color w:val="000000"/>
          <w:sz w:val="28"/>
          <w:szCs w:val="28"/>
          <w:lang w:val="ro-MD"/>
        </w:rPr>
        <w:t>mil.MDL</w:t>
      </w:r>
      <w:proofErr w:type="spellEnd"/>
      <w:r w:rsidR="00A24423" w:rsidRPr="002751FC">
        <w:rPr>
          <w:rFonts w:asciiTheme="majorHAnsi" w:hAnsiTheme="majorHAnsi" w:cstheme="majorHAnsi"/>
          <w:color w:val="000000"/>
          <w:sz w:val="28"/>
          <w:szCs w:val="28"/>
          <w:lang w:val="ro-MD"/>
        </w:rPr>
        <w:t>,</w:t>
      </w:r>
      <w:r w:rsidR="00974C87" w:rsidRPr="002751FC">
        <w:rPr>
          <w:rFonts w:asciiTheme="majorHAnsi" w:hAnsiTheme="majorHAnsi" w:cstheme="majorHAnsi"/>
          <w:color w:val="000000"/>
          <w:sz w:val="28"/>
          <w:szCs w:val="28"/>
          <w:lang w:val="ro-MD"/>
        </w:rPr>
        <w:t xml:space="preserve"> sau cu 8,0%. </w:t>
      </w:r>
      <w:r w:rsidR="00974C87" w:rsidRPr="002751FC">
        <w:rPr>
          <w:rFonts w:asciiTheme="majorHAnsi" w:hAnsiTheme="majorHAnsi" w:cstheme="majorHAnsi"/>
          <w:i/>
          <w:color w:val="000000"/>
          <w:sz w:val="28"/>
          <w:szCs w:val="28"/>
          <w:lang w:val="ro-MD"/>
        </w:rPr>
        <w:t>Sinteza  patrimoniului gestionat la finele anului 2018 se prezintă în tabelul de mai jos.</w:t>
      </w:r>
    </w:p>
    <w:p w:rsidR="00974C87" w:rsidRPr="002751FC" w:rsidRDefault="00974C87" w:rsidP="00715586">
      <w:pPr>
        <w:spacing w:after="0"/>
        <w:jc w:val="right"/>
        <w:rPr>
          <w:rFonts w:asciiTheme="majorHAnsi" w:hAnsiTheme="majorHAnsi" w:cstheme="majorHAnsi"/>
          <w:b/>
          <w:color w:val="000000"/>
          <w:sz w:val="20"/>
          <w:szCs w:val="20"/>
          <w:lang w:val="ro-MD"/>
        </w:rPr>
      </w:pPr>
      <w:r w:rsidRPr="002751FC">
        <w:rPr>
          <w:rFonts w:asciiTheme="majorHAnsi" w:hAnsiTheme="majorHAnsi" w:cstheme="majorHAnsi"/>
          <w:b/>
          <w:color w:val="000000"/>
          <w:sz w:val="20"/>
          <w:szCs w:val="20"/>
          <w:lang w:val="ro-MD"/>
        </w:rPr>
        <w:t xml:space="preserve">Tabelul nr.2 </w:t>
      </w:r>
    </w:p>
    <w:p w:rsidR="00974C87" w:rsidRPr="002751FC" w:rsidRDefault="00974C87" w:rsidP="00715586">
      <w:pPr>
        <w:spacing w:after="0"/>
        <w:jc w:val="center"/>
        <w:rPr>
          <w:rFonts w:asciiTheme="majorHAnsi" w:hAnsiTheme="majorHAnsi" w:cstheme="majorHAnsi"/>
          <w:b/>
          <w:color w:val="000000"/>
          <w:sz w:val="20"/>
          <w:szCs w:val="20"/>
          <w:lang w:val="ro-MD"/>
        </w:rPr>
      </w:pPr>
      <w:r w:rsidRPr="002751FC">
        <w:rPr>
          <w:rFonts w:asciiTheme="majorHAnsi" w:hAnsiTheme="majorHAnsi" w:cstheme="majorHAnsi"/>
          <w:b/>
          <w:color w:val="000000"/>
          <w:sz w:val="20"/>
          <w:szCs w:val="20"/>
          <w:lang w:val="ro-MD"/>
        </w:rPr>
        <w:t xml:space="preserve">Sinteza patrimoniului administrat de ONVV în anul 2018, </w:t>
      </w:r>
      <w:proofErr w:type="spellStart"/>
      <w:r w:rsidRPr="002751FC">
        <w:rPr>
          <w:rFonts w:asciiTheme="majorHAnsi" w:hAnsiTheme="majorHAnsi" w:cstheme="majorHAnsi"/>
          <w:b/>
          <w:color w:val="000000"/>
          <w:sz w:val="20"/>
          <w:szCs w:val="20"/>
          <w:lang w:val="ro-MD"/>
        </w:rPr>
        <w:t>mil.MDL</w:t>
      </w:r>
      <w:proofErr w:type="spellEnd"/>
    </w:p>
    <w:tbl>
      <w:tblPr>
        <w:tblStyle w:val="TableGrid3"/>
        <w:tblW w:w="9696" w:type="dxa"/>
        <w:tblLook w:val="04A0" w:firstRow="1" w:lastRow="0" w:firstColumn="1" w:lastColumn="0" w:noHBand="0" w:noVBand="1"/>
      </w:tblPr>
      <w:tblGrid>
        <w:gridCol w:w="8217"/>
        <w:gridCol w:w="685"/>
        <w:gridCol w:w="794"/>
      </w:tblGrid>
      <w:tr w:rsidR="00974C87" w:rsidRPr="002751FC" w:rsidTr="00A62E0F">
        <w:trPr>
          <w:trHeight w:val="269"/>
        </w:trPr>
        <w:tc>
          <w:tcPr>
            <w:tcW w:w="8217" w:type="dxa"/>
            <w:shd w:val="clear" w:color="auto" w:fill="E7E6E6" w:themeFill="background2"/>
          </w:tcPr>
          <w:p w:rsidR="00974C87" w:rsidRPr="002751FC" w:rsidRDefault="00974C87" w:rsidP="00C545A5">
            <w:pPr>
              <w:tabs>
                <w:tab w:val="left" w:pos="0"/>
                <w:tab w:val="left" w:pos="9630"/>
              </w:tabs>
              <w:spacing w:before="0"/>
              <w:ind w:right="0" w:firstLine="0"/>
              <w:jc w:val="left"/>
              <w:rPr>
                <w:rFonts w:asciiTheme="majorHAnsi" w:hAnsiTheme="majorHAnsi" w:cstheme="majorHAnsi"/>
                <w:b/>
                <w:sz w:val="20"/>
                <w:szCs w:val="20"/>
                <w:lang w:val="ro-MD"/>
              </w:rPr>
            </w:pPr>
            <w:r w:rsidRPr="002751FC">
              <w:rPr>
                <w:rFonts w:asciiTheme="majorHAnsi" w:hAnsiTheme="majorHAnsi" w:cstheme="majorHAnsi"/>
                <w:b/>
                <w:sz w:val="20"/>
                <w:szCs w:val="20"/>
                <w:lang w:val="ro-MD"/>
              </w:rPr>
              <w:t>Indicatorii</w:t>
            </w:r>
          </w:p>
        </w:tc>
        <w:tc>
          <w:tcPr>
            <w:tcW w:w="685" w:type="dxa"/>
            <w:shd w:val="clear" w:color="auto" w:fill="E7E6E6" w:themeFill="background2"/>
          </w:tcPr>
          <w:p w:rsidR="00974C87" w:rsidRPr="002751FC" w:rsidRDefault="00974C87" w:rsidP="00C545A5">
            <w:pPr>
              <w:tabs>
                <w:tab w:val="left" w:pos="0"/>
                <w:tab w:val="left" w:pos="9630"/>
              </w:tabs>
              <w:spacing w:before="0"/>
              <w:ind w:right="0" w:firstLine="0"/>
              <w:jc w:val="left"/>
              <w:rPr>
                <w:rFonts w:asciiTheme="majorHAnsi" w:hAnsiTheme="majorHAnsi" w:cstheme="majorHAnsi"/>
                <w:b/>
                <w:sz w:val="20"/>
                <w:szCs w:val="20"/>
                <w:lang w:val="ro-MD"/>
              </w:rPr>
            </w:pPr>
            <w:r w:rsidRPr="002751FC">
              <w:rPr>
                <w:rFonts w:asciiTheme="majorHAnsi" w:hAnsiTheme="majorHAnsi" w:cstheme="majorHAnsi"/>
                <w:b/>
                <w:sz w:val="20"/>
                <w:szCs w:val="20"/>
                <w:lang w:val="ro-MD"/>
              </w:rPr>
              <w:t>2017</w:t>
            </w:r>
          </w:p>
        </w:tc>
        <w:tc>
          <w:tcPr>
            <w:tcW w:w="794" w:type="dxa"/>
            <w:shd w:val="clear" w:color="auto" w:fill="E7E6E6" w:themeFill="background2"/>
          </w:tcPr>
          <w:p w:rsidR="00974C87" w:rsidRPr="002751FC" w:rsidRDefault="00974C87" w:rsidP="00C545A5">
            <w:pPr>
              <w:tabs>
                <w:tab w:val="left" w:pos="0"/>
                <w:tab w:val="left" w:pos="9630"/>
              </w:tabs>
              <w:spacing w:before="0"/>
              <w:ind w:right="0" w:firstLine="0"/>
              <w:jc w:val="left"/>
              <w:rPr>
                <w:rFonts w:asciiTheme="majorHAnsi" w:hAnsiTheme="majorHAnsi" w:cstheme="majorHAnsi"/>
                <w:b/>
                <w:sz w:val="20"/>
                <w:szCs w:val="20"/>
                <w:lang w:val="ro-MD"/>
              </w:rPr>
            </w:pPr>
            <w:r w:rsidRPr="002751FC">
              <w:rPr>
                <w:rFonts w:asciiTheme="majorHAnsi" w:hAnsiTheme="majorHAnsi" w:cstheme="majorHAnsi"/>
                <w:b/>
                <w:sz w:val="20"/>
                <w:szCs w:val="20"/>
                <w:lang w:val="ro-MD"/>
              </w:rPr>
              <w:t>2018</w:t>
            </w:r>
          </w:p>
        </w:tc>
      </w:tr>
      <w:tr w:rsidR="00974C87" w:rsidRPr="002751FC" w:rsidTr="00A62E0F">
        <w:trPr>
          <w:trHeight w:val="269"/>
        </w:trPr>
        <w:tc>
          <w:tcPr>
            <w:tcW w:w="8217" w:type="dxa"/>
            <w:shd w:val="clear" w:color="auto" w:fill="FFFFFF" w:themeFill="background1"/>
          </w:tcPr>
          <w:p w:rsidR="00974C87" w:rsidRPr="002751FC" w:rsidRDefault="00974C87" w:rsidP="00C545A5">
            <w:pPr>
              <w:tabs>
                <w:tab w:val="left" w:pos="0"/>
                <w:tab w:val="left" w:pos="9630"/>
              </w:tabs>
              <w:spacing w:before="0"/>
              <w:ind w:right="0" w:firstLine="0"/>
              <w:jc w:val="left"/>
              <w:rPr>
                <w:rFonts w:asciiTheme="majorHAnsi" w:hAnsiTheme="majorHAnsi" w:cstheme="majorHAnsi"/>
                <w:sz w:val="20"/>
                <w:szCs w:val="20"/>
                <w:lang w:val="ro-MD"/>
              </w:rPr>
            </w:pPr>
            <w:r w:rsidRPr="002751FC">
              <w:rPr>
                <w:rFonts w:asciiTheme="majorHAnsi" w:hAnsiTheme="majorHAnsi" w:cstheme="majorHAnsi"/>
                <w:sz w:val="20"/>
                <w:szCs w:val="20"/>
                <w:lang w:val="ro-MD"/>
              </w:rPr>
              <w:t>Mijloace fixe</w:t>
            </w:r>
          </w:p>
        </w:tc>
        <w:tc>
          <w:tcPr>
            <w:tcW w:w="685" w:type="dxa"/>
            <w:shd w:val="clear" w:color="auto" w:fill="FFFFFF" w:themeFill="background1"/>
          </w:tcPr>
          <w:p w:rsidR="00974C87" w:rsidRPr="002751FC" w:rsidRDefault="00974C87" w:rsidP="00C545A5">
            <w:pPr>
              <w:tabs>
                <w:tab w:val="left" w:pos="0"/>
                <w:tab w:val="left" w:pos="9630"/>
              </w:tabs>
              <w:spacing w:before="0"/>
              <w:ind w:right="0" w:firstLine="0"/>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2,2</w:t>
            </w:r>
          </w:p>
        </w:tc>
        <w:tc>
          <w:tcPr>
            <w:tcW w:w="794" w:type="dxa"/>
            <w:shd w:val="clear" w:color="auto" w:fill="FFFFFF" w:themeFill="background1"/>
          </w:tcPr>
          <w:p w:rsidR="00974C87" w:rsidRPr="002751FC" w:rsidRDefault="00974C87" w:rsidP="00C545A5">
            <w:pPr>
              <w:tabs>
                <w:tab w:val="left" w:pos="0"/>
                <w:tab w:val="left" w:pos="9630"/>
              </w:tabs>
              <w:spacing w:before="0"/>
              <w:ind w:right="0" w:firstLine="0"/>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2,2</w:t>
            </w:r>
          </w:p>
        </w:tc>
      </w:tr>
      <w:tr w:rsidR="00974C87" w:rsidRPr="002751FC" w:rsidTr="00A62E0F">
        <w:trPr>
          <w:trHeight w:val="269"/>
        </w:trPr>
        <w:tc>
          <w:tcPr>
            <w:tcW w:w="8217" w:type="dxa"/>
            <w:shd w:val="clear" w:color="auto" w:fill="FFFFFF" w:themeFill="background1"/>
          </w:tcPr>
          <w:p w:rsidR="00974C87" w:rsidRPr="002751FC" w:rsidRDefault="00974C87" w:rsidP="00C545A5">
            <w:pPr>
              <w:tabs>
                <w:tab w:val="left" w:pos="0"/>
                <w:tab w:val="left" w:pos="9630"/>
              </w:tabs>
              <w:spacing w:before="0"/>
              <w:ind w:right="0" w:firstLine="0"/>
              <w:jc w:val="left"/>
              <w:rPr>
                <w:rFonts w:asciiTheme="majorHAnsi" w:hAnsiTheme="majorHAnsi" w:cstheme="majorHAnsi"/>
                <w:sz w:val="20"/>
                <w:szCs w:val="20"/>
                <w:lang w:val="ro-MD"/>
              </w:rPr>
            </w:pPr>
            <w:r w:rsidRPr="002751FC">
              <w:rPr>
                <w:rFonts w:asciiTheme="majorHAnsi" w:hAnsiTheme="majorHAnsi" w:cstheme="majorHAnsi"/>
                <w:sz w:val="20"/>
                <w:szCs w:val="20"/>
                <w:lang w:val="ro-MD"/>
              </w:rPr>
              <w:t>Active necorporale</w:t>
            </w:r>
          </w:p>
        </w:tc>
        <w:tc>
          <w:tcPr>
            <w:tcW w:w="685" w:type="dxa"/>
            <w:shd w:val="clear" w:color="auto" w:fill="FFFFFF" w:themeFill="background1"/>
          </w:tcPr>
          <w:p w:rsidR="00974C87" w:rsidRPr="002751FC" w:rsidRDefault="00974C87" w:rsidP="00C545A5">
            <w:pPr>
              <w:tabs>
                <w:tab w:val="left" w:pos="0"/>
                <w:tab w:val="left" w:pos="9630"/>
              </w:tabs>
              <w:spacing w:before="0"/>
              <w:ind w:right="0" w:firstLine="0"/>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0,2</w:t>
            </w:r>
          </w:p>
        </w:tc>
        <w:tc>
          <w:tcPr>
            <w:tcW w:w="794" w:type="dxa"/>
            <w:shd w:val="clear" w:color="auto" w:fill="FFFFFF" w:themeFill="background1"/>
          </w:tcPr>
          <w:p w:rsidR="00974C87" w:rsidRPr="002751FC" w:rsidRDefault="00974C87" w:rsidP="00C545A5">
            <w:pPr>
              <w:tabs>
                <w:tab w:val="left" w:pos="0"/>
                <w:tab w:val="left" w:pos="9630"/>
              </w:tabs>
              <w:spacing w:before="0"/>
              <w:ind w:right="0" w:firstLine="0"/>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1,8</w:t>
            </w:r>
          </w:p>
        </w:tc>
      </w:tr>
      <w:tr w:rsidR="00974C87" w:rsidRPr="002751FC" w:rsidTr="00A62E0F">
        <w:trPr>
          <w:trHeight w:val="269"/>
        </w:trPr>
        <w:tc>
          <w:tcPr>
            <w:tcW w:w="8217" w:type="dxa"/>
            <w:shd w:val="clear" w:color="auto" w:fill="FFFFFF" w:themeFill="background1"/>
          </w:tcPr>
          <w:p w:rsidR="00974C87" w:rsidRPr="002751FC" w:rsidRDefault="00974C87" w:rsidP="00C545A5">
            <w:pPr>
              <w:tabs>
                <w:tab w:val="left" w:pos="0"/>
                <w:tab w:val="left" w:pos="9630"/>
              </w:tabs>
              <w:spacing w:before="0"/>
              <w:ind w:right="0" w:firstLine="0"/>
              <w:jc w:val="left"/>
              <w:rPr>
                <w:rFonts w:asciiTheme="majorHAnsi" w:hAnsiTheme="majorHAnsi" w:cstheme="majorHAnsi"/>
                <w:sz w:val="20"/>
                <w:szCs w:val="20"/>
                <w:lang w:val="ro-MD"/>
              </w:rPr>
            </w:pPr>
            <w:r w:rsidRPr="002751FC">
              <w:rPr>
                <w:rFonts w:asciiTheme="majorHAnsi" w:hAnsiTheme="majorHAnsi" w:cstheme="majorHAnsi"/>
                <w:sz w:val="20"/>
                <w:szCs w:val="20"/>
                <w:lang w:val="ro-MD"/>
              </w:rPr>
              <w:t>Materiale</w:t>
            </w:r>
          </w:p>
        </w:tc>
        <w:tc>
          <w:tcPr>
            <w:tcW w:w="685" w:type="dxa"/>
            <w:shd w:val="clear" w:color="auto" w:fill="FFFFFF" w:themeFill="background1"/>
          </w:tcPr>
          <w:p w:rsidR="00974C87" w:rsidRPr="002751FC" w:rsidRDefault="00974C87" w:rsidP="00C545A5">
            <w:pPr>
              <w:tabs>
                <w:tab w:val="left" w:pos="0"/>
                <w:tab w:val="left" w:pos="9630"/>
              </w:tabs>
              <w:spacing w:before="0"/>
              <w:ind w:right="0" w:firstLine="0"/>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0,6</w:t>
            </w:r>
          </w:p>
        </w:tc>
        <w:tc>
          <w:tcPr>
            <w:tcW w:w="794" w:type="dxa"/>
            <w:shd w:val="clear" w:color="auto" w:fill="FFFFFF" w:themeFill="background1"/>
          </w:tcPr>
          <w:p w:rsidR="00974C87" w:rsidRPr="002751FC" w:rsidRDefault="00974C87" w:rsidP="00C545A5">
            <w:pPr>
              <w:tabs>
                <w:tab w:val="left" w:pos="0"/>
                <w:tab w:val="left" w:pos="9630"/>
              </w:tabs>
              <w:spacing w:before="0"/>
              <w:ind w:right="0" w:firstLine="0"/>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0,8</w:t>
            </w:r>
          </w:p>
        </w:tc>
      </w:tr>
      <w:tr w:rsidR="00974C87" w:rsidRPr="002751FC" w:rsidTr="00A62E0F">
        <w:trPr>
          <w:trHeight w:val="52"/>
        </w:trPr>
        <w:tc>
          <w:tcPr>
            <w:tcW w:w="8217" w:type="dxa"/>
            <w:shd w:val="clear" w:color="auto" w:fill="FFFFFF" w:themeFill="background1"/>
          </w:tcPr>
          <w:p w:rsidR="00974C87" w:rsidRPr="002751FC" w:rsidRDefault="00974C87" w:rsidP="00C545A5">
            <w:pPr>
              <w:tabs>
                <w:tab w:val="left" w:pos="0"/>
                <w:tab w:val="left" w:pos="9630"/>
              </w:tabs>
              <w:spacing w:before="0"/>
              <w:ind w:right="0" w:firstLine="0"/>
              <w:jc w:val="left"/>
              <w:rPr>
                <w:rFonts w:asciiTheme="majorHAnsi" w:hAnsiTheme="majorHAnsi" w:cstheme="majorHAnsi"/>
                <w:sz w:val="20"/>
                <w:szCs w:val="20"/>
                <w:lang w:val="ro-MD"/>
              </w:rPr>
            </w:pPr>
            <w:r w:rsidRPr="002751FC">
              <w:rPr>
                <w:rFonts w:asciiTheme="majorHAnsi" w:hAnsiTheme="majorHAnsi" w:cstheme="majorHAnsi"/>
                <w:sz w:val="20"/>
                <w:szCs w:val="20"/>
                <w:lang w:val="ro-MD"/>
              </w:rPr>
              <w:t>OMVSD</w:t>
            </w:r>
          </w:p>
        </w:tc>
        <w:tc>
          <w:tcPr>
            <w:tcW w:w="685" w:type="dxa"/>
            <w:shd w:val="clear" w:color="auto" w:fill="FFFFFF" w:themeFill="background1"/>
          </w:tcPr>
          <w:p w:rsidR="00974C87" w:rsidRPr="002751FC" w:rsidRDefault="00974C87" w:rsidP="00C545A5">
            <w:pPr>
              <w:tabs>
                <w:tab w:val="left" w:pos="0"/>
                <w:tab w:val="left" w:pos="9630"/>
              </w:tabs>
              <w:spacing w:before="0"/>
              <w:ind w:right="0" w:firstLine="0"/>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0,1</w:t>
            </w:r>
          </w:p>
        </w:tc>
        <w:tc>
          <w:tcPr>
            <w:tcW w:w="794" w:type="dxa"/>
            <w:shd w:val="clear" w:color="auto" w:fill="FFFFFF" w:themeFill="background1"/>
          </w:tcPr>
          <w:p w:rsidR="00974C87" w:rsidRPr="002751FC" w:rsidRDefault="00974C87" w:rsidP="00C545A5">
            <w:pPr>
              <w:tabs>
                <w:tab w:val="left" w:pos="0"/>
                <w:tab w:val="left" w:pos="9630"/>
              </w:tabs>
              <w:spacing w:before="0"/>
              <w:ind w:right="0" w:firstLine="0"/>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0,4</w:t>
            </w:r>
          </w:p>
        </w:tc>
      </w:tr>
      <w:tr w:rsidR="00974C87" w:rsidRPr="002751FC" w:rsidTr="00A62E0F">
        <w:trPr>
          <w:trHeight w:val="52"/>
        </w:trPr>
        <w:tc>
          <w:tcPr>
            <w:tcW w:w="8217" w:type="dxa"/>
            <w:shd w:val="clear" w:color="auto" w:fill="FFFFFF" w:themeFill="background1"/>
          </w:tcPr>
          <w:p w:rsidR="00974C87" w:rsidRPr="002751FC" w:rsidRDefault="00974C87" w:rsidP="00C545A5">
            <w:pPr>
              <w:tabs>
                <w:tab w:val="left" w:pos="0"/>
                <w:tab w:val="left" w:pos="9630"/>
              </w:tabs>
              <w:spacing w:before="0"/>
              <w:ind w:right="0" w:firstLine="0"/>
              <w:jc w:val="left"/>
              <w:rPr>
                <w:rFonts w:asciiTheme="majorHAnsi" w:hAnsiTheme="majorHAnsi" w:cstheme="majorHAnsi"/>
                <w:sz w:val="20"/>
                <w:szCs w:val="20"/>
                <w:lang w:val="ro-MD"/>
              </w:rPr>
            </w:pPr>
            <w:r w:rsidRPr="002751FC">
              <w:rPr>
                <w:rFonts w:asciiTheme="majorHAnsi" w:hAnsiTheme="majorHAnsi" w:cstheme="majorHAnsi"/>
                <w:sz w:val="20"/>
                <w:szCs w:val="20"/>
                <w:lang w:val="ro-MD"/>
              </w:rPr>
              <w:t>Mijloace bănești</w:t>
            </w:r>
          </w:p>
        </w:tc>
        <w:tc>
          <w:tcPr>
            <w:tcW w:w="685" w:type="dxa"/>
            <w:shd w:val="clear" w:color="auto" w:fill="FFFFFF" w:themeFill="background1"/>
          </w:tcPr>
          <w:p w:rsidR="00974C87" w:rsidRPr="002751FC" w:rsidRDefault="00974C87" w:rsidP="00C545A5">
            <w:pPr>
              <w:tabs>
                <w:tab w:val="left" w:pos="0"/>
                <w:tab w:val="left" w:pos="9630"/>
              </w:tabs>
              <w:spacing w:before="0"/>
              <w:ind w:right="0" w:firstLine="0"/>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34,2</w:t>
            </w:r>
          </w:p>
        </w:tc>
        <w:tc>
          <w:tcPr>
            <w:tcW w:w="794" w:type="dxa"/>
            <w:shd w:val="clear" w:color="auto" w:fill="FFFFFF" w:themeFill="background1"/>
          </w:tcPr>
          <w:p w:rsidR="00974C87" w:rsidRPr="002751FC" w:rsidRDefault="00974C87" w:rsidP="00C545A5">
            <w:pPr>
              <w:tabs>
                <w:tab w:val="left" w:pos="0"/>
                <w:tab w:val="left" w:pos="9630"/>
              </w:tabs>
              <w:spacing w:before="0"/>
              <w:ind w:right="0" w:firstLine="0"/>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35,1</w:t>
            </w:r>
          </w:p>
        </w:tc>
      </w:tr>
      <w:tr w:rsidR="00974C87" w:rsidRPr="002751FC" w:rsidTr="00A62E0F">
        <w:trPr>
          <w:trHeight w:val="269"/>
        </w:trPr>
        <w:tc>
          <w:tcPr>
            <w:tcW w:w="8217" w:type="dxa"/>
            <w:shd w:val="clear" w:color="auto" w:fill="DEEAF6" w:themeFill="accent1" w:themeFillTint="33"/>
          </w:tcPr>
          <w:p w:rsidR="00974C87" w:rsidRPr="002751FC" w:rsidRDefault="00715586" w:rsidP="00C545A5">
            <w:pPr>
              <w:tabs>
                <w:tab w:val="left" w:pos="0"/>
                <w:tab w:val="left" w:pos="9630"/>
              </w:tabs>
              <w:spacing w:before="0"/>
              <w:ind w:right="0" w:firstLine="0"/>
              <w:jc w:val="left"/>
              <w:rPr>
                <w:rFonts w:asciiTheme="majorHAnsi" w:hAnsiTheme="majorHAnsi" w:cstheme="majorHAnsi"/>
                <w:b/>
                <w:sz w:val="20"/>
                <w:szCs w:val="20"/>
                <w:lang w:val="ro-MD"/>
              </w:rPr>
            </w:pPr>
            <w:r w:rsidRPr="002751FC">
              <w:rPr>
                <w:rFonts w:asciiTheme="majorHAnsi" w:hAnsiTheme="majorHAnsi" w:cstheme="majorHAnsi"/>
                <w:b/>
                <w:sz w:val="20"/>
                <w:szCs w:val="20"/>
                <w:lang w:val="ro-MD"/>
              </w:rPr>
              <w:t>T</w:t>
            </w:r>
            <w:r w:rsidR="00974C87" w:rsidRPr="002751FC">
              <w:rPr>
                <w:rFonts w:asciiTheme="majorHAnsi" w:hAnsiTheme="majorHAnsi" w:cstheme="majorHAnsi"/>
                <w:b/>
                <w:sz w:val="20"/>
                <w:szCs w:val="20"/>
                <w:lang w:val="ro-MD"/>
              </w:rPr>
              <w:t>otal</w:t>
            </w:r>
          </w:p>
        </w:tc>
        <w:tc>
          <w:tcPr>
            <w:tcW w:w="685" w:type="dxa"/>
            <w:shd w:val="clear" w:color="auto" w:fill="DEEAF6" w:themeFill="accent1" w:themeFillTint="33"/>
          </w:tcPr>
          <w:p w:rsidR="00974C87" w:rsidRPr="002751FC" w:rsidRDefault="00974C87" w:rsidP="00C545A5">
            <w:pPr>
              <w:tabs>
                <w:tab w:val="left" w:pos="0"/>
                <w:tab w:val="left" w:pos="9630"/>
              </w:tabs>
              <w:spacing w:before="0"/>
              <w:ind w:right="0" w:firstLine="0"/>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37,3</w:t>
            </w:r>
          </w:p>
        </w:tc>
        <w:tc>
          <w:tcPr>
            <w:tcW w:w="794" w:type="dxa"/>
            <w:shd w:val="clear" w:color="auto" w:fill="DEEAF6" w:themeFill="accent1" w:themeFillTint="33"/>
          </w:tcPr>
          <w:p w:rsidR="00974C87" w:rsidRPr="002751FC" w:rsidRDefault="00974C87" w:rsidP="00C545A5">
            <w:pPr>
              <w:tabs>
                <w:tab w:val="left" w:pos="0"/>
                <w:tab w:val="left" w:pos="9630"/>
              </w:tabs>
              <w:spacing w:before="0"/>
              <w:ind w:right="0" w:firstLine="0"/>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40,3</w:t>
            </w:r>
          </w:p>
        </w:tc>
      </w:tr>
    </w:tbl>
    <w:p w:rsidR="00974C87" w:rsidRPr="002751FC" w:rsidRDefault="00974C87" w:rsidP="00814F7D">
      <w:pPr>
        <w:spacing w:after="0"/>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b/>
          <w:sz w:val="18"/>
          <w:szCs w:val="18"/>
          <w:lang w:val="ro-MD"/>
        </w:rPr>
        <w:t xml:space="preserve">Sursa: </w:t>
      </w:r>
      <w:r w:rsidRPr="002751FC">
        <w:rPr>
          <w:rFonts w:asciiTheme="majorHAnsi" w:eastAsia="Times New Roman" w:hAnsiTheme="majorHAnsi" w:cstheme="majorHAnsi"/>
          <w:sz w:val="18"/>
          <w:szCs w:val="18"/>
          <w:lang w:val="ro-MD"/>
        </w:rPr>
        <w:t>Datele ONVV.</w:t>
      </w:r>
    </w:p>
    <w:p w:rsidR="00974C87" w:rsidRPr="002751FC" w:rsidRDefault="00974C87" w:rsidP="00974C87">
      <w:pPr>
        <w:jc w:val="right"/>
        <w:rPr>
          <w:rFonts w:asciiTheme="majorHAnsi" w:hAnsiTheme="majorHAnsi" w:cstheme="majorHAnsi"/>
          <w:b/>
          <w:color w:val="000000"/>
          <w:sz w:val="24"/>
          <w:szCs w:val="24"/>
          <w:lang w:val="ro-MD"/>
        </w:rPr>
      </w:pPr>
    </w:p>
    <w:p w:rsidR="00974C87" w:rsidRPr="002751FC" w:rsidRDefault="00974C87" w:rsidP="00974C87">
      <w:pPr>
        <w:pStyle w:val="1"/>
        <w:spacing w:before="120"/>
        <w:jc w:val="center"/>
        <w:rPr>
          <w:rFonts w:eastAsia="Times New Roman" w:cstheme="majorHAnsi"/>
          <w:b/>
          <w:color w:val="auto"/>
          <w:sz w:val="28"/>
          <w:szCs w:val="28"/>
          <w:lang w:val="ro-MD"/>
        </w:rPr>
      </w:pPr>
      <w:bookmarkStart w:id="13" w:name="_Toc492893767"/>
      <w:bookmarkStart w:id="14" w:name="_Toc492899648"/>
      <w:bookmarkStart w:id="15" w:name="_Toc509412842"/>
      <w:bookmarkStart w:id="16" w:name="_Toc510185763"/>
      <w:bookmarkStart w:id="17" w:name="_Toc23259088"/>
      <w:r w:rsidRPr="002751FC">
        <w:rPr>
          <w:rFonts w:cstheme="majorHAnsi"/>
          <w:b/>
          <w:color w:val="auto"/>
          <w:sz w:val="28"/>
          <w:szCs w:val="28"/>
          <w:lang w:val="ro-MD"/>
        </w:rPr>
        <w:t>III</w:t>
      </w:r>
      <w:r w:rsidRPr="002751FC">
        <w:rPr>
          <w:rFonts w:eastAsia="Times New Roman" w:cstheme="majorHAnsi"/>
          <w:b/>
          <w:color w:val="auto"/>
          <w:sz w:val="28"/>
          <w:szCs w:val="28"/>
          <w:lang w:val="ro-MD"/>
        </w:rPr>
        <w:t xml:space="preserve">. </w:t>
      </w:r>
      <w:bookmarkEnd w:id="13"/>
      <w:bookmarkEnd w:id="14"/>
      <w:bookmarkEnd w:id="15"/>
      <w:bookmarkEnd w:id="16"/>
      <w:r w:rsidRPr="002751FC">
        <w:rPr>
          <w:rFonts w:cstheme="majorHAnsi"/>
          <w:b/>
          <w:color w:val="auto"/>
          <w:sz w:val="28"/>
          <w:szCs w:val="28"/>
          <w:lang w:val="ro-MD"/>
        </w:rPr>
        <w:t>SFERA</w:t>
      </w:r>
      <w:r w:rsidRPr="002751FC">
        <w:rPr>
          <w:rFonts w:eastAsia="Times New Roman" w:cstheme="majorHAnsi"/>
          <w:b/>
          <w:color w:val="auto"/>
          <w:sz w:val="28"/>
          <w:szCs w:val="28"/>
          <w:lang w:val="ro-MD"/>
        </w:rPr>
        <w:t xml:space="preserve"> ȘI ABORDAREA AUDITULUI</w:t>
      </w:r>
      <w:bookmarkStart w:id="18" w:name="_Toc535333798"/>
      <w:bookmarkEnd w:id="17"/>
    </w:p>
    <w:bookmarkEnd w:id="18"/>
    <w:p w:rsidR="00974C87" w:rsidRPr="002751FC" w:rsidRDefault="00974C87" w:rsidP="00974C87">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Prezenta misiune de audit s-a desfășurat în temeiul art.31 şi art.32 din Legea nr.260</w:t>
      </w:r>
      <w:r w:rsidRPr="002751FC">
        <w:rPr>
          <w:rFonts w:asciiTheme="majorHAnsi" w:eastAsia="Calibri" w:hAnsiTheme="majorHAnsi" w:cstheme="majorHAnsi"/>
          <w:sz w:val="28"/>
          <w:szCs w:val="28"/>
          <w:lang w:val="ro-MD"/>
        </w:rPr>
        <w:t xml:space="preserve"> din 07.12.2017</w:t>
      </w:r>
      <w:r w:rsidRPr="002751FC">
        <w:rPr>
          <w:rStyle w:val="ab"/>
          <w:rFonts w:asciiTheme="majorHAnsi" w:eastAsia="Calibri" w:hAnsiTheme="majorHAnsi" w:cstheme="majorHAnsi"/>
          <w:sz w:val="28"/>
          <w:szCs w:val="28"/>
          <w:lang w:val="ro-MD"/>
        </w:rPr>
        <w:footnoteReference w:id="10"/>
      </w:r>
      <w:r w:rsidRPr="002751FC">
        <w:rPr>
          <w:rFonts w:asciiTheme="majorHAnsi" w:eastAsia="Calibri" w:hAnsiTheme="majorHAnsi" w:cstheme="majorHAnsi"/>
          <w:sz w:val="28"/>
          <w:szCs w:val="28"/>
          <w:lang w:val="ro-MD"/>
        </w:rPr>
        <w:t>, precum</w:t>
      </w:r>
      <w:r w:rsidRPr="002751FC">
        <w:rPr>
          <w:rFonts w:asciiTheme="majorHAnsi" w:hAnsiTheme="majorHAnsi" w:cstheme="majorHAnsi"/>
          <w:sz w:val="28"/>
          <w:szCs w:val="28"/>
          <w:lang w:val="ro-MD"/>
        </w:rPr>
        <w:t xml:space="preserve"> și conform Programului activității de audit pe anul 2019</w:t>
      </w:r>
      <w:r w:rsidRPr="002751FC">
        <w:rPr>
          <w:rStyle w:val="ab"/>
          <w:rFonts w:asciiTheme="majorHAnsi" w:hAnsiTheme="majorHAnsi" w:cstheme="majorHAnsi"/>
          <w:sz w:val="28"/>
          <w:szCs w:val="28"/>
          <w:lang w:val="ro-MD"/>
        </w:rPr>
        <w:footnoteReference w:id="11"/>
      </w:r>
      <w:r w:rsidRPr="002751FC">
        <w:rPr>
          <w:rFonts w:asciiTheme="majorHAnsi" w:hAnsiTheme="majorHAnsi" w:cstheme="majorHAnsi"/>
          <w:sz w:val="28"/>
          <w:szCs w:val="28"/>
          <w:lang w:val="ro-MD"/>
        </w:rPr>
        <w:t xml:space="preserve">. </w:t>
      </w:r>
    </w:p>
    <w:p w:rsidR="00974C87" w:rsidRPr="002751FC" w:rsidRDefault="00974C87" w:rsidP="00974C87">
      <w:pPr>
        <w:spacing w:after="0"/>
        <w:jc w:val="both"/>
        <w:rPr>
          <w:rFonts w:asciiTheme="majorHAnsi" w:hAnsiTheme="majorHAnsi" w:cstheme="majorHAnsi"/>
          <w:sz w:val="28"/>
          <w:szCs w:val="28"/>
          <w:lang w:val="ro-MD"/>
        </w:rPr>
      </w:pPr>
    </w:p>
    <w:p w:rsidR="00974C87" w:rsidRPr="002751FC" w:rsidRDefault="00974C87" w:rsidP="00974C87">
      <w:pPr>
        <w:spacing w:after="0" w:line="240" w:lineRule="auto"/>
        <w:jc w:val="both"/>
        <w:rPr>
          <w:rFonts w:asciiTheme="majorHAnsi" w:hAnsiTheme="majorHAnsi" w:cstheme="majorHAnsi"/>
          <w:sz w:val="28"/>
          <w:szCs w:val="28"/>
          <w:lang w:val="ro-MD"/>
        </w:rPr>
      </w:pPr>
      <w:r w:rsidRPr="002751FC">
        <w:rPr>
          <w:rFonts w:asciiTheme="majorHAnsi" w:eastAsia="Calibri" w:hAnsiTheme="majorHAnsi" w:cstheme="majorHAnsi"/>
          <w:sz w:val="28"/>
          <w:szCs w:val="28"/>
          <w:lang w:val="ro-MD"/>
        </w:rPr>
        <w:t xml:space="preserve">Auditul a avut drept scop </w:t>
      </w:r>
      <w:r w:rsidRPr="002751FC">
        <w:rPr>
          <w:rFonts w:asciiTheme="majorHAnsi" w:hAnsiTheme="majorHAnsi" w:cstheme="majorHAnsi"/>
          <w:sz w:val="28"/>
          <w:szCs w:val="28"/>
          <w:lang w:val="ro-MD"/>
        </w:rPr>
        <w:t>identificarea domeniilor sensibile la riscurile aferente managementului și gestionării resurselor FVV, evaluarea metodelor, instrumentelor și mecanismelor existente în gestionarea mijloacelor FVV prin prisma repartizării și utilizării</w:t>
      </w:r>
      <w:r w:rsidR="006172F8" w:rsidRPr="002751FC">
        <w:rPr>
          <w:rFonts w:asciiTheme="majorHAnsi" w:hAnsiTheme="majorHAnsi" w:cstheme="majorHAnsi"/>
          <w:sz w:val="28"/>
          <w:szCs w:val="28"/>
          <w:lang w:val="ro-MD"/>
        </w:rPr>
        <w:t xml:space="preserve"> conforme a</w:t>
      </w:r>
      <w:r w:rsidRPr="002751FC">
        <w:rPr>
          <w:rFonts w:asciiTheme="majorHAnsi" w:hAnsiTheme="majorHAnsi" w:cstheme="majorHAnsi"/>
          <w:sz w:val="28"/>
          <w:szCs w:val="28"/>
          <w:lang w:val="ro-MD"/>
        </w:rPr>
        <w:t xml:space="preserve"> resurselor acestuia, precum și asigurarea că controlul intern organizat de ONVV garantează conformitatea proceselor aferente planificării, executării și raportării fondurilor publice cu cadrul regulator aferent domeniului. </w:t>
      </w:r>
    </w:p>
    <w:p w:rsidR="00974C87" w:rsidRPr="002751FC" w:rsidRDefault="00974C87" w:rsidP="00974C87">
      <w:pPr>
        <w:spacing w:after="0" w:line="240" w:lineRule="auto"/>
        <w:jc w:val="both"/>
        <w:rPr>
          <w:rFonts w:asciiTheme="majorHAnsi" w:hAnsiTheme="majorHAnsi" w:cstheme="majorHAnsi"/>
          <w:sz w:val="28"/>
          <w:szCs w:val="28"/>
          <w:lang w:val="ro-MD"/>
        </w:rPr>
      </w:pPr>
    </w:p>
    <w:p w:rsidR="00974C87" w:rsidRPr="002751FC" w:rsidRDefault="00974C87" w:rsidP="00974C87">
      <w:pPr>
        <w:spacing w:after="0"/>
        <w:jc w:val="both"/>
        <w:rPr>
          <w:rFonts w:asciiTheme="majorHAnsi" w:hAnsiTheme="majorHAnsi" w:cstheme="majorHAnsi"/>
          <w:bCs/>
          <w:iCs/>
          <w:sz w:val="28"/>
          <w:szCs w:val="28"/>
          <w:lang w:val="ro-MD"/>
        </w:rPr>
      </w:pPr>
      <w:r w:rsidRPr="002751FC">
        <w:rPr>
          <w:rFonts w:asciiTheme="majorHAnsi" w:hAnsiTheme="majorHAnsi" w:cstheme="majorHAnsi"/>
          <w:bCs/>
          <w:iCs/>
          <w:sz w:val="28"/>
          <w:szCs w:val="28"/>
          <w:lang w:val="ro-MD"/>
        </w:rPr>
        <w:t>Pentru atingerea scopului propus și reieșind din problemele identificate, au fost determinate următoarele obiective specifice de audit:</w:t>
      </w:r>
    </w:p>
    <w:p w:rsidR="00974C87" w:rsidRPr="002751FC" w:rsidRDefault="00974C87" w:rsidP="007B5DB3">
      <w:pPr>
        <w:pStyle w:val="ac"/>
        <w:numPr>
          <w:ilvl w:val="0"/>
          <w:numId w:val="12"/>
        </w:numPr>
        <w:ind w:left="0" w:firstLine="284"/>
        <w:rPr>
          <w:rFonts w:asciiTheme="majorHAnsi" w:hAnsiTheme="majorHAnsi" w:cstheme="majorHAnsi"/>
          <w:bCs/>
          <w:iCs/>
          <w:szCs w:val="28"/>
          <w:lang w:val="ro-MD"/>
        </w:rPr>
      </w:pPr>
      <w:r w:rsidRPr="002751FC">
        <w:rPr>
          <w:rFonts w:asciiTheme="majorHAnsi" w:hAnsiTheme="majorHAnsi" w:cstheme="majorHAnsi"/>
          <w:bCs/>
          <w:iCs/>
          <w:szCs w:val="28"/>
          <w:lang w:val="ro-MD"/>
        </w:rPr>
        <w:t>Aprobarea, alocarea şi utilizarea mijloacelor din FVV s-a efectuat corespunzător cadrului regulator în vigoare?</w:t>
      </w:r>
    </w:p>
    <w:p w:rsidR="00974C87" w:rsidRPr="002751FC" w:rsidRDefault="00974C87" w:rsidP="007B5DB3">
      <w:pPr>
        <w:pStyle w:val="ac"/>
        <w:numPr>
          <w:ilvl w:val="0"/>
          <w:numId w:val="12"/>
        </w:numPr>
        <w:ind w:left="0" w:firstLine="284"/>
        <w:rPr>
          <w:rFonts w:asciiTheme="majorHAnsi" w:hAnsiTheme="majorHAnsi" w:cstheme="majorHAnsi"/>
          <w:bCs/>
          <w:iCs/>
          <w:szCs w:val="28"/>
          <w:lang w:val="ro-MD"/>
        </w:rPr>
      </w:pPr>
      <w:r w:rsidRPr="002751FC">
        <w:rPr>
          <w:rFonts w:asciiTheme="majorHAnsi" w:hAnsiTheme="majorHAnsi" w:cstheme="majorHAnsi"/>
          <w:bCs/>
          <w:iCs/>
          <w:szCs w:val="28"/>
          <w:lang w:val="ro-MD"/>
        </w:rPr>
        <w:t xml:space="preserve">Registrul </w:t>
      </w:r>
      <w:r w:rsidR="008D484A">
        <w:rPr>
          <w:rFonts w:asciiTheme="majorHAnsi" w:hAnsiTheme="majorHAnsi" w:cstheme="majorHAnsi"/>
          <w:bCs/>
          <w:iCs/>
          <w:szCs w:val="28"/>
          <w:lang w:val="ro-MD"/>
        </w:rPr>
        <w:t>v</w:t>
      </w:r>
      <w:r w:rsidR="007B4130" w:rsidRPr="002751FC">
        <w:rPr>
          <w:rFonts w:asciiTheme="majorHAnsi" w:hAnsiTheme="majorHAnsi" w:cstheme="majorHAnsi"/>
          <w:bCs/>
          <w:iCs/>
          <w:szCs w:val="28"/>
          <w:lang w:val="ro-MD"/>
        </w:rPr>
        <w:t>itivinicol</w:t>
      </w:r>
      <w:r w:rsidRPr="002751FC">
        <w:rPr>
          <w:rFonts w:asciiTheme="majorHAnsi" w:hAnsiTheme="majorHAnsi" w:cstheme="majorHAnsi"/>
          <w:bCs/>
          <w:iCs/>
          <w:szCs w:val="28"/>
          <w:lang w:val="ro-MD"/>
        </w:rPr>
        <w:t xml:space="preserve"> este ținut conform cadrului regulator?</w:t>
      </w:r>
    </w:p>
    <w:p w:rsidR="00974C87" w:rsidRPr="002751FC" w:rsidRDefault="00974C87" w:rsidP="007B5DB3">
      <w:pPr>
        <w:spacing w:after="0"/>
        <w:ind w:firstLine="284"/>
        <w:jc w:val="both"/>
        <w:rPr>
          <w:rFonts w:asciiTheme="majorHAnsi" w:hAnsiTheme="majorHAnsi" w:cstheme="majorHAnsi"/>
          <w:bCs/>
          <w:iCs/>
          <w:sz w:val="28"/>
          <w:szCs w:val="28"/>
          <w:lang w:val="ro-MD"/>
        </w:rPr>
      </w:pPr>
      <w:r w:rsidRPr="002751FC">
        <w:rPr>
          <w:rFonts w:asciiTheme="majorHAnsi" w:hAnsiTheme="majorHAnsi" w:cstheme="majorHAnsi"/>
          <w:bCs/>
          <w:iCs/>
          <w:sz w:val="28"/>
          <w:szCs w:val="28"/>
          <w:lang w:val="ro-MD"/>
        </w:rPr>
        <w:t xml:space="preserve">3. </w:t>
      </w:r>
      <w:r w:rsidR="007B4130" w:rsidRPr="002751FC">
        <w:rPr>
          <w:rFonts w:asciiTheme="majorHAnsi" w:hAnsiTheme="majorHAnsi" w:cstheme="majorHAnsi"/>
          <w:bCs/>
          <w:iCs/>
          <w:sz w:val="28"/>
          <w:szCs w:val="28"/>
          <w:lang w:val="ro-MD"/>
        </w:rPr>
        <w:t>Contribuțiile</w:t>
      </w:r>
      <w:r w:rsidRPr="002751FC">
        <w:rPr>
          <w:rFonts w:asciiTheme="majorHAnsi" w:hAnsiTheme="majorHAnsi" w:cstheme="majorHAnsi"/>
          <w:bCs/>
          <w:iCs/>
          <w:sz w:val="28"/>
          <w:szCs w:val="28"/>
          <w:lang w:val="ro-MD"/>
        </w:rPr>
        <w:t xml:space="preserve"> producătorilor </w:t>
      </w:r>
      <w:r w:rsidR="00C6106A" w:rsidRPr="002751FC">
        <w:rPr>
          <w:rFonts w:asciiTheme="majorHAnsi" w:hAnsiTheme="majorHAnsi" w:cstheme="majorHAnsi"/>
          <w:bCs/>
          <w:iCs/>
          <w:sz w:val="28"/>
          <w:szCs w:val="28"/>
          <w:lang w:val="ro-MD"/>
        </w:rPr>
        <w:t xml:space="preserve">din </w:t>
      </w:r>
      <w:r w:rsidRPr="002751FC">
        <w:rPr>
          <w:rFonts w:asciiTheme="majorHAnsi" w:hAnsiTheme="majorHAnsi" w:cstheme="majorHAnsi"/>
          <w:bCs/>
          <w:iCs/>
          <w:sz w:val="28"/>
          <w:szCs w:val="28"/>
          <w:lang w:val="ro-MD"/>
        </w:rPr>
        <w:t>sectorul vitivinicol au fost administrate de organele abilitate cu respectarea prevederilor cadrului regulator?</w:t>
      </w:r>
    </w:p>
    <w:p w:rsidR="00974C87" w:rsidRPr="002751FC" w:rsidRDefault="00974C87" w:rsidP="007B5DB3">
      <w:pPr>
        <w:spacing w:after="0"/>
        <w:ind w:firstLine="284"/>
        <w:jc w:val="both"/>
        <w:rPr>
          <w:rFonts w:asciiTheme="majorHAnsi" w:hAnsiTheme="majorHAnsi" w:cstheme="majorHAnsi"/>
          <w:bCs/>
          <w:iCs/>
          <w:sz w:val="28"/>
          <w:szCs w:val="28"/>
          <w:lang w:val="ro-MD"/>
        </w:rPr>
      </w:pPr>
      <w:r w:rsidRPr="002751FC">
        <w:rPr>
          <w:rFonts w:asciiTheme="majorHAnsi" w:hAnsiTheme="majorHAnsi" w:cstheme="majorHAnsi"/>
          <w:bCs/>
          <w:iCs/>
          <w:sz w:val="28"/>
          <w:szCs w:val="28"/>
          <w:lang w:val="ro-MD"/>
        </w:rPr>
        <w:t xml:space="preserve">4. Activitățile desfășurate de </w:t>
      </w:r>
      <w:r w:rsidRPr="002751FC">
        <w:rPr>
          <w:rFonts w:asciiTheme="majorHAnsi" w:hAnsiTheme="majorHAnsi" w:cstheme="majorHAnsi"/>
          <w:sz w:val="28"/>
          <w:szCs w:val="28"/>
          <w:lang w:val="ro-MD"/>
        </w:rPr>
        <w:t>ONVV</w:t>
      </w:r>
      <w:r w:rsidRPr="002751FC">
        <w:rPr>
          <w:rFonts w:asciiTheme="majorHAnsi" w:hAnsiTheme="majorHAnsi" w:cstheme="majorHAnsi"/>
          <w:bCs/>
          <w:iCs/>
          <w:sz w:val="28"/>
          <w:szCs w:val="28"/>
          <w:lang w:val="ro-MD"/>
        </w:rPr>
        <w:t xml:space="preserve"> în vederea sporirii promovării imaginii produselor vinicole autohtone şi </w:t>
      </w:r>
      <w:r w:rsidR="00651A23" w:rsidRPr="002751FC">
        <w:rPr>
          <w:rFonts w:asciiTheme="majorHAnsi" w:hAnsiTheme="majorHAnsi" w:cstheme="majorHAnsi"/>
          <w:bCs/>
          <w:iCs/>
          <w:sz w:val="28"/>
          <w:szCs w:val="28"/>
          <w:lang w:val="ro-MD"/>
        </w:rPr>
        <w:t>creșterii</w:t>
      </w:r>
      <w:r w:rsidRPr="002751FC">
        <w:rPr>
          <w:rFonts w:asciiTheme="majorHAnsi" w:hAnsiTheme="majorHAnsi" w:cstheme="majorHAnsi"/>
          <w:bCs/>
          <w:iCs/>
          <w:sz w:val="28"/>
          <w:szCs w:val="28"/>
          <w:lang w:val="ro-MD"/>
        </w:rPr>
        <w:t xml:space="preserve"> </w:t>
      </w:r>
      <w:r w:rsidR="00651A23" w:rsidRPr="002751FC">
        <w:rPr>
          <w:rFonts w:asciiTheme="majorHAnsi" w:hAnsiTheme="majorHAnsi" w:cstheme="majorHAnsi"/>
          <w:bCs/>
          <w:iCs/>
          <w:sz w:val="28"/>
          <w:szCs w:val="28"/>
          <w:lang w:val="ro-MD"/>
        </w:rPr>
        <w:t>competitivității</w:t>
      </w:r>
      <w:r w:rsidRPr="002751FC">
        <w:rPr>
          <w:rFonts w:asciiTheme="majorHAnsi" w:hAnsiTheme="majorHAnsi" w:cstheme="majorHAnsi"/>
          <w:bCs/>
          <w:iCs/>
          <w:sz w:val="28"/>
          <w:szCs w:val="28"/>
          <w:lang w:val="ro-MD"/>
        </w:rPr>
        <w:t xml:space="preserve"> acestora atât pe </w:t>
      </w:r>
      <w:r w:rsidR="00651A23" w:rsidRPr="002751FC">
        <w:rPr>
          <w:rFonts w:asciiTheme="majorHAnsi" w:hAnsiTheme="majorHAnsi" w:cstheme="majorHAnsi"/>
          <w:bCs/>
          <w:iCs/>
          <w:sz w:val="28"/>
          <w:szCs w:val="28"/>
          <w:lang w:val="ro-MD"/>
        </w:rPr>
        <w:t>piața</w:t>
      </w:r>
      <w:r w:rsidRPr="002751FC">
        <w:rPr>
          <w:rFonts w:asciiTheme="majorHAnsi" w:hAnsiTheme="majorHAnsi" w:cstheme="majorHAnsi"/>
          <w:bCs/>
          <w:iCs/>
          <w:sz w:val="28"/>
          <w:szCs w:val="28"/>
          <w:lang w:val="ro-MD"/>
        </w:rPr>
        <w:t xml:space="preserve"> internă</w:t>
      </w:r>
      <w:r w:rsidR="00C6106A" w:rsidRPr="002751FC">
        <w:rPr>
          <w:rFonts w:asciiTheme="majorHAnsi" w:hAnsiTheme="majorHAnsi" w:cstheme="majorHAnsi"/>
          <w:bCs/>
          <w:iCs/>
          <w:sz w:val="28"/>
          <w:szCs w:val="28"/>
          <w:lang w:val="ro-MD"/>
        </w:rPr>
        <w:t>,</w:t>
      </w:r>
      <w:r w:rsidRPr="002751FC">
        <w:rPr>
          <w:rFonts w:asciiTheme="majorHAnsi" w:hAnsiTheme="majorHAnsi" w:cstheme="majorHAnsi"/>
          <w:bCs/>
          <w:iCs/>
          <w:sz w:val="28"/>
          <w:szCs w:val="28"/>
          <w:lang w:val="ro-MD"/>
        </w:rPr>
        <w:t xml:space="preserve"> cât şi </w:t>
      </w:r>
      <w:r w:rsidR="00C6106A" w:rsidRPr="002751FC">
        <w:rPr>
          <w:rFonts w:asciiTheme="majorHAnsi" w:hAnsiTheme="majorHAnsi" w:cstheme="majorHAnsi"/>
          <w:bCs/>
          <w:iCs/>
          <w:sz w:val="28"/>
          <w:szCs w:val="28"/>
          <w:lang w:val="ro-MD"/>
        </w:rPr>
        <w:t xml:space="preserve">pe </w:t>
      </w:r>
      <w:r w:rsidRPr="002751FC">
        <w:rPr>
          <w:rFonts w:asciiTheme="majorHAnsi" w:hAnsiTheme="majorHAnsi" w:cstheme="majorHAnsi"/>
          <w:bCs/>
          <w:iCs/>
          <w:sz w:val="28"/>
          <w:szCs w:val="28"/>
          <w:lang w:val="ro-MD"/>
        </w:rPr>
        <w:t>cea externă au atins rezultatele scontate?</w:t>
      </w:r>
      <w:r w:rsidR="00C6106A" w:rsidRPr="002751FC">
        <w:rPr>
          <w:rFonts w:asciiTheme="majorHAnsi" w:hAnsiTheme="majorHAnsi" w:cstheme="majorHAnsi"/>
          <w:bCs/>
          <w:iCs/>
          <w:sz w:val="28"/>
          <w:szCs w:val="28"/>
          <w:lang w:val="ro-MD"/>
        </w:rPr>
        <w:t xml:space="preserve"> </w:t>
      </w:r>
    </w:p>
    <w:p w:rsidR="00974C87" w:rsidRPr="002751FC" w:rsidRDefault="00974C87" w:rsidP="00974C87">
      <w:pPr>
        <w:spacing w:after="0" w:line="240" w:lineRule="auto"/>
        <w:jc w:val="both"/>
        <w:rPr>
          <w:rFonts w:asciiTheme="majorHAnsi" w:hAnsiTheme="majorHAnsi" w:cstheme="majorHAnsi"/>
          <w:b/>
          <w:sz w:val="28"/>
          <w:szCs w:val="28"/>
          <w:lang w:val="ro-MD"/>
        </w:rPr>
      </w:pPr>
    </w:p>
    <w:p w:rsidR="00974C87" w:rsidRPr="002751FC" w:rsidRDefault="00974C87" w:rsidP="00974C87">
      <w:pPr>
        <w:jc w:val="both"/>
        <w:rPr>
          <w:rFonts w:asciiTheme="majorHAnsi" w:hAnsiTheme="majorHAnsi" w:cstheme="majorHAnsi"/>
          <w:sz w:val="28"/>
          <w:szCs w:val="28"/>
          <w:lang w:val="ro-MD"/>
        </w:rPr>
      </w:pPr>
      <w:r w:rsidRPr="002751FC">
        <w:rPr>
          <w:rFonts w:asciiTheme="majorHAnsi" w:hAnsiTheme="majorHAnsi" w:cstheme="majorHAnsi"/>
          <w:b/>
          <w:sz w:val="28"/>
          <w:szCs w:val="28"/>
          <w:lang w:val="ro-MD"/>
        </w:rPr>
        <w:t xml:space="preserve">Responsabilitatea echipei de audit </w:t>
      </w:r>
      <w:r w:rsidRPr="002751FC">
        <w:rPr>
          <w:rFonts w:asciiTheme="majorHAnsi" w:hAnsiTheme="majorHAnsi" w:cstheme="majorHAnsi"/>
          <w:sz w:val="28"/>
          <w:szCs w:val="28"/>
          <w:lang w:val="ro-MD"/>
        </w:rPr>
        <w:t xml:space="preserve">a constat în obținerea probelor de audit suficiente și adecvate pentru susținerea constatărilor și concluziei generale privind </w:t>
      </w:r>
      <w:r w:rsidR="00A11D22" w:rsidRPr="002751FC">
        <w:rPr>
          <w:rFonts w:asciiTheme="majorHAnsi" w:hAnsiTheme="majorHAnsi" w:cstheme="majorHAnsi"/>
          <w:sz w:val="28"/>
          <w:szCs w:val="28"/>
          <w:lang w:val="ro-MD"/>
        </w:rPr>
        <w:t xml:space="preserve">gestionarea mijloacelor FVV </w:t>
      </w:r>
      <w:r w:rsidRPr="002751FC">
        <w:rPr>
          <w:rFonts w:asciiTheme="majorHAnsi" w:hAnsiTheme="majorHAnsi" w:cstheme="majorHAnsi"/>
          <w:sz w:val="28"/>
          <w:szCs w:val="28"/>
          <w:lang w:val="ro-MD"/>
        </w:rPr>
        <w:t xml:space="preserve">conform </w:t>
      </w:r>
      <w:r w:rsidR="00A11D22" w:rsidRPr="002751FC">
        <w:rPr>
          <w:rFonts w:asciiTheme="majorHAnsi" w:hAnsiTheme="majorHAnsi" w:cstheme="majorHAnsi"/>
          <w:sz w:val="28"/>
          <w:szCs w:val="28"/>
          <w:lang w:val="ro-MD"/>
        </w:rPr>
        <w:t>criteriilor</w:t>
      </w:r>
      <w:r w:rsidR="00883982" w:rsidRPr="002751FC">
        <w:rPr>
          <w:rFonts w:asciiTheme="majorHAnsi" w:hAnsiTheme="majorHAnsi" w:cstheme="majorHAnsi"/>
          <w:sz w:val="28"/>
          <w:szCs w:val="28"/>
          <w:lang w:val="ro-MD"/>
        </w:rPr>
        <w:t xml:space="preserve"> stabilite de cadrul regulator relevant</w:t>
      </w:r>
      <w:r w:rsidRPr="002751FC">
        <w:rPr>
          <w:rFonts w:asciiTheme="majorHAnsi" w:hAnsiTheme="majorHAnsi" w:cstheme="majorHAnsi"/>
          <w:sz w:val="28"/>
          <w:szCs w:val="28"/>
          <w:lang w:val="ro-MD"/>
        </w:rPr>
        <w:t>. Totodată, auditorii nu sunt responsabili de prevenirea faptelor de fraudă și eroare.</w:t>
      </w:r>
    </w:p>
    <w:p w:rsidR="00871D6C" w:rsidRPr="002751FC" w:rsidRDefault="00974C87" w:rsidP="002B0C1F">
      <w:pPr>
        <w:spacing w:after="0" w:line="240" w:lineRule="auto"/>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Misiunea de audit a fost realizată în conformitate cu Standardele Internaționale de Audit relevante, puse în aplicare de Curtea de Conturi</w:t>
      </w:r>
      <w:r w:rsidRPr="002751FC">
        <w:rPr>
          <w:rFonts w:asciiTheme="majorHAnsi" w:hAnsiTheme="majorHAnsi" w:cstheme="majorHAnsi"/>
          <w:sz w:val="28"/>
          <w:szCs w:val="28"/>
          <w:vertAlign w:val="superscript"/>
          <w:lang w:val="ro-MD"/>
        </w:rPr>
        <w:footnoteReference w:id="12"/>
      </w:r>
      <w:r w:rsidRPr="002751FC">
        <w:rPr>
          <w:rFonts w:asciiTheme="majorHAnsi" w:hAnsiTheme="majorHAnsi" w:cstheme="majorHAnsi"/>
          <w:sz w:val="28"/>
          <w:szCs w:val="28"/>
          <w:lang w:val="ro-MD"/>
        </w:rPr>
        <w:t xml:space="preserve"> (în special, ISSAI 100 și ISSAI 400).</w:t>
      </w:r>
    </w:p>
    <w:p w:rsidR="00871D6C" w:rsidRPr="002751FC" w:rsidRDefault="00871D6C" w:rsidP="002B0C1F">
      <w:pPr>
        <w:spacing w:after="0" w:line="240" w:lineRule="auto"/>
        <w:jc w:val="both"/>
        <w:rPr>
          <w:rFonts w:asciiTheme="majorHAnsi" w:hAnsiTheme="majorHAnsi" w:cstheme="majorHAnsi"/>
          <w:noProof/>
          <w:sz w:val="20"/>
          <w:szCs w:val="20"/>
          <w:lang w:val="ro-MD"/>
        </w:rPr>
      </w:pPr>
    </w:p>
    <w:p w:rsidR="002B0C1F" w:rsidRPr="002751FC" w:rsidRDefault="002B0C1F" w:rsidP="002B0C1F">
      <w:pPr>
        <w:spacing w:after="0" w:line="240" w:lineRule="auto"/>
        <w:jc w:val="both"/>
        <w:rPr>
          <w:rFonts w:asciiTheme="majorHAnsi" w:hAnsiTheme="majorHAnsi" w:cstheme="majorHAnsi"/>
          <w:sz w:val="28"/>
          <w:szCs w:val="28"/>
          <w:lang w:val="ro-MD"/>
        </w:rPr>
      </w:pPr>
      <w:r w:rsidRPr="002751FC">
        <w:rPr>
          <w:rFonts w:asciiTheme="majorHAnsi" w:hAnsiTheme="majorHAnsi" w:cstheme="majorHAnsi"/>
          <w:noProof/>
          <w:sz w:val="28"/>
          <w:szCs w:val="28"/>
          <w:lang w:val="ro-MD"/>
        </w:rPr>
        <w:t>Drept s</w:t>
      </w:r>
      <w:r w:rsidRPr="002751FC">
        <w:rPr>
          <w:rFonts w:asciiTheme="majorHAnsi" w:hAnsiTheme="majorHAnsi" w:cstheme="majorHAnsi"/>
          <w:noProof/>
          <w:sz w:val="28"/>
          <w:szCs w:val="28"/>
          <w:shd w:val="clear" w:color="auto" w:fill="FFFFFF"/>
          <w:lang w:val="ro-MD"/>
        </w:rPr>
        <w:t>urse ale criteriilor de audit care au stat la baza constatărilor au servit actele legislative și normative în vigoare aferente domeniului auditat.</w:t>
      </w:r>
    </w:p>
    <w:p w:rsidR="002B0C1F" w:rsidRPr="002751FC" w:rsidRDefault="002B0C1F" w:rsidP="002B0C1F">
      <w:pPr>
        <w:spacing w:after="0" w:line="240" w:lineRule="auto"/>
        <w:jc w:val="both"/>
        <w:rPr>
          <w:rFonts w:asciiTheme="majorHAnsi" w:eastAsia="Times New Roman" w:hAnsiTheme="majorHAnsi" w:cstheme="majorHAnsi"/>
          <w:noProof/>
          <w:sz w:val="20"/>
          <w:szCs w:val="20"/>
          <w:lang w:val="ro-MD"/>
        </w:rPr>
      </w:pPr>
    </w:p>
    <w:p w:rsidR="002B0C1F" w:rsidRPr="002751FC" w:rsidRDefault="002B0C1F" w:rsidP="002B0C1F">
      <w:pPr>
        <w:spacing w:after="0" w:line="240" w:lineRule="auto"/>
        <w:jc w:val="both"/>
        <w:rPr>
          <w:rFonts w:asciiTheme="majorHAnsi" w:eastAsia="Times New Roman" w:hAnsiTheme="majorHAnsi" w:cstheme="majorHAnsi"/>
          <w:noProof/>
          <w:sz w:val="28"/>
          <w:szCs w:val="28"/>
          <w:lang w:val="ro-MD"/>
        </w:rPr>
      </w:pPr>
      <w:r w:rsidRPr="002751FC">
        <w:rPr>
          <w:rFonts w:asciiTheme="majorHAnsi" w:eastAsia="Times New Roman" w:hAnsiTheme="majorHAnsi" w:cstheme="majorHAnsi"/>
          <w:noProof/>
          <w:sz w:val="28"/>
          <w:szCs w:val="28"/>
          <w:lang w:val="ro-MD"/>
        </w:rPr>
        <w:t>Constatările şi concluziile asupra aspectelor auditate în cadrul auditului sunt redate în compartimentele respective ale prezentului Raport de audit.</w:t>
      </w:r>
    </w:p>
    <w:p w:rsidR="002B0C1F" w:rsidRPr="002751FC" w:rsidRDefault="002B0C1F" w:rsidP="002B0C1F">
      <w:pPr>
        <w:spacing w:after="0"/>
        <w:jc w:val="both"/>
        <w:rPr>
          <w:rFonts w:asciiTheme="majorHAnsi" w:eastAsia="Times New Roman" w:hAnsiTheme="majorHAnsi" w:cstheme="majorHAnsi"/>
          <w:bCs/>
          <w:iCs/>
          <w:sz w:val="28"/>
          <w:szCs w:val="28"/>
          <w:lang w:val="ro-MD" w:eastAsia="ru-RU"/>
        </w:rPr>
      </w:pPr>
    </w:p>
    <w:p w:rsidR="002B0C1F" w:rsidRPr="002751FC" w:rsidRDefault="002B0C1F" w:rsidP="002B0C1F">
      <w:pPr>
        <w:pStyle w:val="1"/>
        <w:spacing w:before="120"/>
        <w:jc w:val="center"/>
        <w:rPr>
          <w:rFonts w:cstheme="majorHAnsi"/>
          <w:b/>
          <w:color w:val="auto"/>
          <w:sz w:val="28"/>
          <w:szCs w:val="28"/>
          <w:lang w:val="ro-MD"/>
        </w:rPr>
      </w:pPr>
      <w:bookmarkStart w:id="19" w:name="_Toc492893768"/>
      <w:bookmarkStart w:id="20" w:name="_Toc492899649"/>
      <w:bookmarkStart w:id="21" w:name="_Toc509412843"/>
      <w:bookmarkStart w:id="22" w:name="_Toc510185764"/>
      <w:bookmarkStart w:id="23" w:name="_Toc23259089"/>
      <w:r w:rsidRPr="002751FC">
        <w:rPr>
          <w:rFonts w:eastAsia="Times New Roman" w:cstheme="majorHAnsi"/>
          <w:b/>
          <w:bCs/>
          <w:iCs/>
          <w:color w:val="auto"/>
          <w:sz w:val="28"/>
          <w:szCs w:val="28"/>
          <w:lang w:val="ro-MD"/>
        </w:rPr>
        <w:t xml:space="preserve">IV. </w:t>
      </w:r>
      <w:bookmarkEnd w:id="19"/>
      <w:bookmarkEnd w:id="20"/>
      <w:bookmarkEnd w:id="21"/>
      <w:bookmarkEnd w:id="22"/>
      <w:r w:rsidRPr="002751FC">
        <w:rPr>
          <w:rFonts w:cstheme="majorHAnsi"/>
          <w:b/>
          <w:color w:val="auto"/>
          <w:sz w:val="28"/>
          <w:szCs w:val="28"/>
          <w:lang w:val="ro-MD"/>
        </w:rPr>
        <w:t>CONSTATĂRI</w:t>
      </w:r>
      <w:bookmarkEnd w:id="23"/>
    </w:p>
    <w:p w:rsidR="002B0C1F" w:rsidRPr="002751FC" w:rsidRDefault="002B0C1F" w:rsidP="00243401">
      <w:pPr>
        <w:pStyle w:val="1"/>
        <w:spacing w:before="0"/>
        <w:jc w:val="both"/>
        <w:rPr>
          <w:rFonts w:cstheme="majorHAnsi"/>
          <w:b/>
          <w:bCs/>
          <w:iCs/>
          <w:color w:val="auto"/>
          <w:sz w:val="28"/>
          <w:szCs w:val="28"/>
          <w:lang w:val="ro-MD"/>
        </w:rPr>
      </w:pPr>
      <w:bookmarkStart w:id="24" w:name="_Toc509412844"/>
      <w:bookmarkStart w:id="25" w:name="_Toc510185765"/>
      <w:bookmarkStart w:id="26" w:name="_Toc23259090"/>
      <w:r w:rsidRPr="002751FC">
        <w:rPr>
          <w:rFonts w:cstheme="majorHAnsi"/>
          <w:b/>
          <w:color w:val="auto"/>
          <w:sz w:val="28"/>
          <w:szCs w:val="28"/>
          <w:lang w:val="ro-MD"/>
        </w:rPr>
        <w:t>4.1.</w:t>
      </w:r>
      <w:bookmarkEnd w:id="24"/>
      <w:bookmarkEnd w:id="25"/>
      <w:r w:rsidRPr="002751FC">
        <w:rPr>
          <w:rFonts w:cstheme="majorHAnsi"/>
          <w:color w:val="auto"/>
          <w:lang w:val="ro-MD"/>
        </w:rPr>
        <w:t xml:space="preserve"> </w:t>
      </w:r>
      <w:r w:rsidRPr="002751FC">
        <w:rPr>
          <w:rFonts w:cstheme="majorHAnsi"/>
          <w:b/>
          <w:bCs/>
          <w:iCs/>
          <w:color w:val="auto"/>
          <w:sz w:val="28"/>
          <w:szCs w:val="28"/>
          <w:lang w:val="ro-MD"/>
        </w:rPr>
        <w:t>Aprobarea, alocarea şi utilizarea mijloacelor din FVV s-a efectuat cu nerespectarea cadrului regulator în vigoare</w:t>
      </w:r>
      <w:bookmarkEnd w:id="26"/>
    </w:p>
    <w:p w:rsidR="002B0C1F" w:rsidRPr="002751FC" w:rsidRDefault="002B0C1F" w:rsidP="00243401">
      <w:pPr>
        <w:spacing w:after="0"/>
        <w:rPr>
          <w:rFonts w:asciiTheme="majorHAnsi" w:hAnsiTheme="majorHAnsi" w:cstheme="majorHAnsi"/>
          <w:lang w:val="ro-MD"/>
        </w:rPr>
      </w:pPr>
    </w:p>
    <w:p w:rsidR="002B0C1F" w:rsidRPr="002751FC" w:rsidRDefault="002B0C1F" w:rsidP="00243401">
      <w:pPr>
        <w:pStyle w:val="1"/>
        <w:spacing w:before="0"/>
        <w:jc w:val="both"/>
        <w:rPr>
          <w:rFonts w:cstheme="majorHAnsi"/>
          <w:b/>
          <w:bCs/>
          <w:iCs/>
          <w:color w:val="auto"/>
          <w:sz w:val="28"/>
          <w:szCs w:val="28"/>
          <w:lang w:val="ro-MD"/>
        </w:rPr>
      </w:pPr>
      <w:bookmarkStart w:id="27" w:name="_Toc23259091"/>
      <w:r w:rsidRPr="002751FC">
        <w:rPr>
          <w:rFonts w:cstheme="majorHAnsi"/>
          <w:b/>
          <w:bCs/>
          <w:iCs/>
          <w:color w:val="auto"/>
          <w:sz w:val="28"/>
          <w:szCs w:val="28"/>
          <w:lang w:val="ro-MD"/>
        </w:rPr>
        <w:t>4.1.1.</w:t>
      </w:r>
      <w:r w:rsidRPr="002751FC">
        <w:rPr>
          <w:rFonts w:cstheme="majorHAnsi"/>
          <w:bCs/>
          <w:iCs/>
          <w:color w:val="auto"/>
          <w:sz w:val="28"/>
          <w:szCs w:val="28"/>
          <w:lang w:val="ro-MD"/>
        </w:rPr>
        <w:t xml:space="preserve"> </w:t>
      </w:r>
      <w:r w:rsidRPr="002751FC">
        <w:rPr>
          <w:rFonts w:cstheme="majorHAnsi"/>
          <w:b/>
          <w:bCs/>
          <w:iCs/>
          <w:color w:val="auto"/>
          <w:sz w:val="28"/>
          <w:szCs w:val="28"/>
          <w:lang w:val="ro-MD"/>
        </w:rPr>
        <w:t>Aprobarea volumului de alocații de la bugetul de stat destinate FVV s-a realizat cu devieri de la cadrul normativ</w:t>
      </w:r>
      <w:bookmarkEnd w:id="27"/>
    </w:p>
    <w:p w:rsidR="002B0C1F" w:rsidRPr="002751FC" w:rsidRDefault="002B0C1F" w:rsidP="00243401">
      <w:pPr>
        <w:pStyle w:val="a3"/>
        <w:ind w:firstLine="0"/>
        <w:rPr>
          <w:rFonts w:asciiTheme="majorHAnsi" w:hAnsiTheme="majorHAnsi" w:cstheme="majorHAnsi"/>
          <w:bCs/>
          <w:iCs/>
          <w:sz w:val="28"/>
          <w:szCs w:val="28"/>
          <w:lang w:val="ro-MD"/>
        </w:rPr>
      </w:pPr>
    </w:p>
    <w:p w:rsidR="002B0C1F" w:rsidRPr="002751FC" w:rsidRDefault="002B0C1F" w:rsidP="00243401">
      <w:pPr>
        <w:pStyle w:val="a3"/>
        <w:ind w:firstLine="0"/>
        <w:rPr>
          <w:rFonts w:asciiTheme="majorHAnsi" w:eastAsia="Times New Roman" w:hAnsiTheme="majorHAnsi" w:cstheme="majorHAnsi"/>
          <w:sz w:val="28"/>
          <w:szCs w:val="28"/>
          <w:lang w:val="ro-MD"/>
        </w:rPr>
      </w:pPr>
      <w:r w:rsidRPr="002751FC">
        <w:rPr>
          <w:rFonts w:asciiTheme="majorHAnsi" w:hAnsiTheme="majorHAnsi" w:cstheme="majorHAnsi"/>
          <w:bCs/>
          <w:iCs/>
          <w:sz w:val="28"/>
          <w:szCs w:val="28"/>
          <w:lang w:val="ro-MD"/>
        </w:rPr>
        <w:lastRenderedPageBreak/>
        <w:t>Conform prevederilor art.32</w:t>
      </w:r>
      <w:r w:rsidRPr="002751FC">
        <w:rPr>
          <w:rFonts w:asciiTheme="majorHAnsi" w:hAnsiTheme="majorHAnsi" w:cstheme="majorHAnsi"/>
          <w:bCs/>
          <w:iCs/>
          <w:sz w:val="28"/>
          <w:szCs w:val="28"/>
          <w:vertAlign w:val="superscript"/>
          <w:lang w:val="ro-MD"/>
        </w:rPr>
        <w:t>3</w:t>
      </w:r>
      <w:r w:rsidRPr="002751FC">
        <w:rPr>
          <w:rFonts w:asciiTheme="majorHAnsi" w:hAnsiTheme="majorHAnsi" w:cstheme="majorHAnsi"/>
          <w:bCs/>
          <w:iCs/>
          <w:sz w:val="28"/>
          <w:szCs w:val="28"/>
          <w:lang w:val="ro-MD"/>
        </w:rPr>
        <w:t xml:space="preserve"> alin.</w:t>
      </w:r>
      <w:r w:rsidR="005D118F" w:rsidRPr="002751FC">
        <w:rPr>
          <w:rFonts w:asciiTheme="majorHAnsi" w:hAnsiTheme="majorHAnsi" w:cstheme="majorHAnsi"/>
          <w:bCs/>
          <w:iCs/>
          <w:sz w:val="28"/>
          <w:szCs w:val="28"/>
          <w:lang w:val="ro-MD"/>
        </w:rPr>
        <w:t>(</w:t>
      </w:r>
      <w:r w:rsidRPr="002751FC">
        <w:rPr>
          <w:rFonts w:asciiTheme="majorHAnsi" w:hAnsiTheme="majorHAnsi" w:cstheme="majorHAnsi"/>
          <w:bCs/>
          <w:iCs/>
          <w:sz w:val="28"/>
          <w:szCs w:val="28"/>
          <w:lang w:val="ro-MD"/>
        </w:rPr>
        <w:t>3</w:t>
      </w:r>
      <w:r w:rsidR="005D118F" w:rsidRPr="002751FC">
        <w:rPr>
          <w:rFonts w:asciiTheme="majorHAnsi" w:hAnsiTheme="majorHAnsi" w:cstheme="majorHAnsi"/>
          <w:bCs/>
          <w:iCs/>
          <w:sz w:val="28"/>
          <w:szCs w:val="28"/>
          <w:lang w:val="ro-MD"/>
        </w:rPr>
        <w:t>)</w:t>
      </w:r>
      <w:r w:rsidRPr="002751FC">
        <w:rPr>
          <w:rFonts w:asciiTheme="majorHAnsi" w:hAnsiTheme="majorHAnsi" w:cstheme="majorHAnsi"/>
          <w:bCs/>
          <w:iCs/>
          <w:sz w:val="28"/>
          <w:szCs w:val="28"/>
          <w:lang w:val="ro-MD"/>
        </w:rPr>
        <w:t xml:space="preserve"> </w:t>
      </w:r>
      <w:proofErr w:type="spellStart"/>
      <w:r w:rsidRPr="002751FC">
        <w:rPr>
          <w:rFonts w:asciiTheme="majorHAnsi" w:hAnsiTheme="majorHAnsi" w:cstheme="majorHAnsi"/>
          <w:bCs/>
          <w:iCs/>
          <w:sz w:val="28"/>
          <w:szCs w:val="28"/>
          <w:lang w:val="ro-MD"/>
        </w:rPr>
        <w:t>lit.b</w:t>
      </w:r>
      <w:proofErr w:type="spellEnd"/>
      <w:r w:rsidRPr="002751FC">
        <w:rPr>
          <w:rFonts w:asciiTheme="majorHAnsi" w:hAnsiTheme="majorHAnsi" w:cstheme="majorHAnsi"/>
          <w:bCs/>
          <w:iCs/>
          <w:sz w:val="28"/>
          <w:szCs w:val="28"/>
          <w:lang w:val="ro-MD"/>
        </w:rPr>
        <w:t>) din L</w:t>
      </w:r>
      <w:r w:rsidR="005D118F" w:rsidRPr="002751FC">
        <w:rPr>
          <w:rFonts w:asciiTheme="majorHAnsi" w:hAnsiTheme="majorHAnsi" w:cstheme="majorHAnsi"/>
          <w:bCs/>
          <w:iCs/>
          <w:sz w:val="28"/>
          <w:szCs w:val="28"/>
          <w:lang w:val="ro-MD"/>
        </w:rPr>
        <w:t xml:space="preserve">egea viei şi vinului, </w:t>
      </w:r>
      <w:r w:rsidRPr="002751FC">
        <w:rPr>
          <w:rFonts w:asciiTheme="majorHAnsi" w:hAnsiTheme="majorHAnsi" w:cstheme="majorHAnsi"/>
          <w:bCs/>
          <w:iCs/>
          <w:sz w:val="28"/>
          <w:szCs w:val="28"/>
          <w:lang w:val="ro-MD"/>
        </w:rPr>
        <w:t>una din sursele de formare a bugetului FVV sunt m</w:t>
      </w:r>
      <w:r w:rsidRPr="002751FC">
        <w:rPr>
          <w:rFonts w:asciiTheme="majorHAnsi" w:eastAsia="Times New Roman" w:hAnsiTheme="majorHAnsi" w:cstheme="majorHAnsi"/>
          <w:sz w:val="28"/>
          <w:szCs w:val="28"/>
          <w:lang w:val="ro-MD"/>
        </w:rPr>
        <w:t>ijloacele alocat</w:t>
      </w:r>
      <w:r w:rsidR="005D118F" w:rsidRPr="002751FC">
        <w:rPr>
          <w:rFonts w:asciiTheme="majorHAnsi" w:eastAsia="Times New Roman" w:hAnsiTheme="majorHAnsi" w:cstheme="majorHAnsi"/>
          <w:sz w:val="28"/>
          <w:szCs w:val="28"/>
          <w:lang w:val="ro-MD"/>
        </w:rPr>
        <w:t xml:space="preserve">e din bugetul de stat, care se </w:t>
      </w:r>
      <w:r w:rsidRPr="002751FC">
        <w:rPr>
          <w:rFonts w:asciiTheme="majorHAnsi" w:eastAsia="Times New Roman" w:hAnsiTheme="majorHAnsi" w:cstheme="majorHAnsi"/>
          <w:sz w:val="28"/>
          <w:szCs w:val="28"/>
          <w:lang w:val="ro-MD"/>
        </w:rPr>
        <w:t>aprob</w:t>
      </w:r>
      <w:r w:rsidR="005D118F" w:rsidRPr="002751FC">
        <w:rPr>
          <w:rFonts w:asciiTheme="majorHAnsi" w:eastAsia="Times New Roman" w:hAnsiTheme="majorHAnsi" w:cstheme="majorHAnsi"/>
          <w:sz w:val="28"/>
          <w:szCs w:val="28"/>
          <w:lang w:val="ro-MD"/>
        </w:rPr>
        <w:t>ă</w:t>
      </w:r>
      <w:r w:rsidRPr="002751FC">
        <w:rPr>
          <w:rFonts w:asciiTheme="majorHAnsi" w:eastAsia="Times New Roman" w:hAnsiTheme="majorHAnsi" w:cstheme="majorHAnsi"/>
          <w:sz w:val="28"/>
          <w:szCs w:val="28"/>
          <w:lang w:val="ro-MD"/>
        </w:rPr>
        <w:t xml:space="preserve"> anual prin </w:t>
      </w:r>
      <w:r w:rsidR="00D45806" w:rsidRPr="002751FC">
        <w:rPr>
          <w:rFonts w:asciiTheme="majorHAnsi" w:eastAsia="Times New Roman" w:hAnsiTheme="majorHAnsi" w:cstheme="majorHAnsi"/>
          <w:sz w:val="28"/>
          <w:szCs w:val="28"/>
          <w:lang w:val="ro-MD"/>
        </w:rPr>
        <w:t>L</w:t>
      </w:r>
      <w:r w:rsidRPr="002751FC">
        <w:rPr>
          <w:rFonts w:asciiTheme="majorHAnsi" w:eastAsia="Times New Roman" w:hAnsiTheme="majorHAnsi" w:cstheme="majorHAnsi"/>
          <w:sz w:val="28"/>
          <w:szCs w:val="28"/>
          <w:lang w:val="ro-MD"/>
        </w:rPr>
        <w:t xml:space="preserve">egea bugetului de stat. </w:t>
      </w:r>
      <w:r w:rsidR="005D118F" w:rsidRPr="002751FC">
        <w:rPr>
          <w:rFonts w:asciiTheme="majorHAnsi" w:eastAsia="Times New Roman" w:hAnsiTheme="majorHAnsi" w:cstheme="majorHAnsi"/>
          <w:sz w:val="28"/>
          <w:szCs w:val="28"/>
          <w:lang w:val="ro-MD"/>
        </w:rPr>
        <w:t>Mărimea</w:t>
      </w:r>
      <w:r w:rsidRPr="002751FC">
        <w:rPr>
          <w:rFonts w:asciiTheme="majorHAnsi" w:eastAsia="Times New Roman" w:hAnsiTheme="majorHAnsi" w:cstheme="majorHAnsi"/>
          <w:sz w:val="28"/>
          <w:szCs w:val="28"/>
          <w:lang w:val="ro-MD"/>
        </w:rPr>
        <w:t xml:space="preserve"> acestora este egală cu suma </w:t>
      </w:r>
      <w:r w:rsidR="005D118F"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încasate în anul precedent, care, însă, nu pot depăşi 5% </w:t>
      </w:r>
      <w:r w:rsidR="00D45806" w:rsidRPr="002751FC">
        <w:rPr>
          <w:rFonts w:asciiTheme="majorHAnsi" w:eastAsia="Times New Roman" w:hAnsiTheme="majorHAnsi" w:cstheme="majorHAnsi"/>
          <w:sz w:val="28"/>
          <w:szCs w:val="28"/>
          <w:lang w:val="ro-MD"/>
        </w:rPr>
        <w:t>din</w:t>
      </w:r>
      <w:r w:rsidRPr="002751FC">
        <w:rPr>
          <w:rFonts w:asciiTheme="majorHAnsi" w:eastAsia="Times New Roman" w:hAnsiTheme="majorHAnsi" w:cstheme="majorHAnsi"/>
          <w:sz w:val="28"/>
          <w:szCs w:val="28"/>
          <w:lang w:val="ro-MD"/>
        </w:rPr>
        <w:t xml:space="preserve"> fondul de </w:t>
      </w:r>
      <w:r w:rsidR="005D118F" w:rsidRPr="002751FC">
        <w:rPr>
          <w:rFonts w:asciiTheme="majorHAnsi" w:eastAsia="Times New Roman" w:hAnsiTheme="majorHAnsi" w:cstheme="majorHAnsi"/>
          <w:sz w:val="28"/>
          <w:szCs w:val="28"/>
          <w:lang w:val="ro-MD"/>
        </w:rPr>
        <w:t>subvenționare</w:t>
      </w:r>
      <w:r w:rsidRPr="002751FC">
        <w:rPr>
          <w:rFonts w:asciiTheme="majorHAnsi" w:eastAsia="Times New Roman" w:hAnsiTheme="majorHAnsi" w:cstheme="majorHAnsi"/>
          <w:sz w:val="28"/>
          <w:szCs w:val="28"/>
          <w:lang w:val="ro-MD"/>
        </w:rPr>
        <w:t xml:space="preserve"> a producătorilor agricoli. </w:t>
      </w:r>
    </w:p>
    <w:p w:rsidR="002B0C1F" w:rsidRPr="002751FC" w:rsidRDefault="002B0C1F" w:rsidP="00243401">
      <w:pPr>
        <w:pStyle w:val="a3"/>
        <w:ind w:firstLine="0"/>
        <w:rPr>
          <w:rFonts w:asciiTheme="majorHAnsi" w:eastAsia="Times New Roman" w:hAnsiTheme="majorHAnsi" w:cstheme="majorHAnsi"/>
          <w:sz w:val="28"/>
          <w:szCs w:val="28"/>
          <w:lang w:val="ro-MD"/>
        </w:rPr>
      </w:pPr>
    </w:p>
    <w:p w:rsidR="002B0C1F" w:rsidRPr="002751FC" w:rsidRDefault="002B0C1F" w:rsidP="00243401">
      <w:pPr>
        <w:pStyle w:val="a3"/>
        <w:ind w:firstLine="0"/>
        <w:rPr>
          <w:rFonts w:asciiTheme="majorHAnsi" w:eastAsia="Times New Roman" w:hAnsiTheme="majorHAnsi" w:cstheme="majorHAnsi"/>
          <w:i/>
          <w:sz w:val="28"/>
          <w:szCs w:val="28"/>
          <w:lang w:val="ro-MD"/>
        </w:rPr>
      </w:pPr>
      <w:r w:rsidRPr="002751FC">
        <w:rPr>
          <w:rFonts w:asciiTheme="majorHAnsi" w:eastAsia="Times New Roman" w:hAnsiTheme="majorHAnsi" w:cstheme="majorHAnsi"/>
          <w:sz w:val="28"/>
          <w:szCs w:val="28"/>
          <w:lang w:val="ro-MD"/>
        </w:rPr>
        <w:t xml:space="preserve">Probele acumulate denotă ca acest </w:t>
      </w:r>
      <w:r w:rsidR="005D118F" w:rsidRPr="002751FC">
        <w:rPr>
          <w:rFonts w:asciiTheme="majorHAnsi" w:eastAsia="Times New Roman" w:hAnsiTheme="majorHAnsi" w:cstheme="majorHAnsi"/>
          <w:sz w:val="28"/>
          <w:szCs w:val="28"/>
          <w:lang w:val="ro-MD"/>
        </w:rPr>
        <w:t>principiu</w:t>
      </w:r>
      <w:r w:rsidRPr="002751FC">
        <w:rPr>
          <w:rFonts w:asciiTheme="majorHAnsi" w:eastAsia="Times New Roman" w:hAnsiTheme="majorHAnsi" w:cstheme="majorHAnsi"/>
          <w:sz w:val="28"/>
          <w:szCs w:val="28"/>
          <w:lang w:val="ro-MD"/>
        </w:rPr>
        <w:t xml:space="preserve"> nu poate fi realizat deoarece la prezentarea propunerilor de buget pentru anul următor încasările anului precedent nu sunt cun</w:t>
      </w:r>
      <w:r w:rsidR="005D118F" w:rsidRPr="002751FC">
        <w:rPr>
          <w:rFonts w:asciiTheme="majorHAnsi" w:eastAsia="Times New Roman" w:hAnsiTheme="majorHAnsi" w:cstheme="majorHAnsi"/>
          <w:sz w:val="28"/>
          <w:szCs w:val="28"/>
          <w:lang w:val="ro-MD"/>
        </w:rPr>
        <w:t>oscute și pot fi doar estimate.</w:t>
      </w:r>
      <w:r w:rsidRPr="002751FC">
        <w:rPr>
          <w:rFonts w:asciiTheme="majorHAnsi" w:eastAsia="Times New Roman" w:hAnsiTheme="majorHAnsi" w:cstheme="majorHAnsi"/>
          <w:sz w:val="28"/>
          <w:szCs w:val="28"/>
          <w:lang w:val="ro-MD"/>
        </w:rPr>
        <w:t xml:space="preserve"> În aceste condiții, la prezentarea propunerilor de buget privind volumul contribuțiilor care urmează a fi încasate în anul următor apar </w:t>
      </w:r>
      <w:r w:rsidR="005D118F" w:rsidRPr="002751FC">
        <w:rPr>
          <w:rFonts w:asciiTheme="majorHAnsi" w:eastAsia="Times New Roman" w:hAnsiTheme="majorHAnsi" w:cstheme="majorHAnsi"/>
          <w:sz w:val="28"/>
          <w:szCs w:val="28"/>
          <w:lang w:val="ro-MD"/>
        </w:rPr>
        <w:t>divergenţe</w:t>
      </w:r>
      <w:r w:rsidRPr="002751FC">
        <w:rPr>
          <w:rFonts w:asciiTheme="majorHAnsi" w:eastAsia="Times New Roman" w:hAnsiTheme="majorHAnsi" w:cstheme="majorHAnsi"/>
          <w:sz w:val="28"/>
          <w:szCs w:val="28"/>
          <w:lang w:val="ro-MD"/>
        </w:rPr>
        <w:t>, care constituie sau subevaluarea</w:t>
      </w:r>
      <w:r w:rsidR="00D45806"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sau supraevaluarea acestora. Astfel, la aprobarea volumului de con</w:t>
      </w:r>
      <w:r w:rsidR="005D118F" w:rsidRPr="002751FC">
        <w:rPr>
          <w:rFonts w:asciiTheme="majorHAnsi" w:eastAsia="Times New Roman" w:hAnsiTheme="majorHAnsi" w:cstheme="majorHAnsi"/>
          <w:sz w:val="28"/>
          <w:szCs w:val="28"/>
          <w:lang w:val="ro-MD"/>
        </w:rPr>
        <w:t>tribuții în FVV s-a constatat o</w:t>
      </w:r>
      <w:r w:rsidRPr="002751FC">
        <w:rPr>
          <w:rFonts w:asciiTheme="majorHAnsi" w:eastAsia="Times New Roman" w:hAnsiTheme="majorHAnsi" w:cstheme="majorHAnsi"/>
          <w:sz w:val="28"/>
          <w:szCs w:val="28"/>
          <w:lang w:val="ro-MD"/>
        </w:rPr>
        <w:t xml:space="preserve"> subestimare, volumul aprobat pentru anul 2018 constituind 17,0 </w:t>
      </w:r>
      <w:proofErr w:type="spellStart"/>
      <w:r w:rsidRPr="002751FC">
        <w:rPr>
          <w:rFonts w:asciiTheme="majorHAnsi" w:eastAsia="Times New Roman" w:hAnsiTheme="majorHAnsi" w:cstheme="majorHAnsi"/>
          <w:sz w:val="28"/>
          <w:szCs w:val="28"/>
          <w:lang w:val="ro-MD"/>
        </w:rPr>
        <w:t>mil.MDL</w:t>
      </w:r>
      <w:proofErr w:type="spellEnd"/>
      <w:r w:rsidRPr="002751FC">
        <w:rPr>
          <w:rFonts w:asciiTheme="majorHAnsi" w:eastAsia="Times New Roman" w:hAnsiTheme="majorHAnsi" w:cstheme="majorHAnsi"/>
          <w:sz w:val="28"/>
          <w:szCs w:val="28"/>
          <w:lang w:val="ro-MD"/>
        </w:rPr>
        <w:t xml:space="preserve">, </w:t>
      </w:r>
      <w:proofErr w:type="spellStart"/>
      <w:r w:rsidRPr="002751FC">
        <w:rPr>
          <w:rFonts w:asciiTheme="majorHAnsi" w:eastAsia="Times New Roman" w:hAnsiTheme="majorHAnsi" w:cstheme="majorHAnsi"/>
          <w:sz w:val="28"/>
          <w:szCs w:val="28"/>
          <w:lang w:val="ro-MD"/>
        </w:rPr>
        <w:t>de</w:t>
      </w:r>
      <w:r w:rsidR="005D118F" w:rsidRPr="002751FC">
        <w:rPr>
          <w:rFonts w:asciiTheme="majorHAnsi" w:eastAsia="Times New Roman" w:hAnsiTheme="majorHAnsi" w:cstheme="majorHAnsi"/>
          <w:sz w:val="28"/>
          <w:szCs w:val="28"/>
          <w:lang w:val="ro-MD"/>
        </w:rPr>
        <w:t>ş</w:t>
      </w:r>
      <w:r w:rsidRPr="002751FC">
        <w:rPr>
          <w:rFonts w:asciiTheme="majorHAnsi" w:eastAsia="Times New Roman" w:hAnsiTheme="majorHAnsi" w:cstheme="majorHAnsi"/>
          <w:sz w:val="28"/>
          <w:szCs w:val="28"/>
          <w:lang w:val="ro-MD"/>
        </w:rPr>
        <w:t>i</w:t>
      </w:r>
      <w:proofErr w:type="spellEnd"/>
      <w:r w:rsidR="00D45806"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real, încasările la finele anului 2018 au constituit 20,2 </w:t>
      </w:r>
      <w:proofErr w:type="spellStart"/>
      <w:r w:rsidRPr="002751FC">
        <w:rPr>
          <w:rFonts w:asciiTheme="majorHAnsi" w:eastAsia="Times New Roman" w:hAnsiTheme="majorHAnsi" w:cstheme="majorHAnsi"/>
          <w:sz w:val="28"/>
          <w:szCs w:val="28"/>
          <w:lang w:val="ro-MD"/>
        </w:rPr>
        <w:t>mil.MDL</w:t>
      </w:r>
      <w:proofErr w:type="spellEnd"/>
      <w:r w:rsidRPr="002751FC">
        <w:rPr>
          <w:rFonts w:asciiTheme="majorHAnsi" w:eastAsia="Times New Roman" w:hAnsiTheme="majorHAnsi" w:cstheme="majorHAnsi"/>
          <w:sz w:val="28"/>
          <w:szCs w:val="28"/>
          <w:lang w:val="ro-MD"/>
        </w:rPr>
        <w:t>. Această situați</w:t>
      </w:r>
      <w:r w:rsidR="005D118F" w:rsidRPr="002751FC">
        <w:rPr>
          <w:rFonts w:asciiTheme="majorHAnsi" w:eastAsia="Times New Roman" w:hAnsiTheme="majorHAnsi" w:cstheme="majorHAnsi"/>
          <w:sz w:val="28"/>
          <w:szCs w:val="28"/>
          <w:lang w:val="ro-MD"/>
        </w:rPr>
        <w:t>e</w:t>
      </w:r>
      <w:r w:rsidRPr="002751FC">
        <w:rPr>
          <w:rFonts w:asciiTheme="majorHAnsi" w:eastAsia="Times New Roman" w:hAnsiTheme="majorHAnsi" w:cstheme="majorHAnsi"/>
          <w:sz w:val="28"/>
          <w:szCs w:val="28"/>
          <w:lang w:val="ro-MD"/>
        </w:rPr>
        <w:t xml:space="preserve"> afectează și volumul alocațiilor aprobate din bugetul de stat pentru FVV. </w:t>
      </w:r>
      <w:r w:rsidRPr="002751FC">
        <w:rPr>
          <w:rFonts w:asciiTheme="majorHAnsi" w:eastAsia="Times New Roman" w:hAnsiTheme="majorHAnsi" w:cstheme="majorHAnsi"/>
          <w:i/>
          <w:sz w:val="28"/>
          <w:szCs w:val="28"/>
          <w:lang w:val="ro-MD"/>
        </w:rPr>
        <w:t xml:space="preserve">Conform explicațiilor ONVV, </w:t>
      </w:r>
      <w:r w:rsidR="00D45806" w:rsidRPr="002751FC">
        <w:rPr>
          <w:rFonts w:asciiTheme="majorHAnsi" w:eastAsia="Times New Roman" w:hAnsiTheme="majorHAnsi" w:cstheme="majorHAnsi"/>
          <w:i/>
          <w:sz w:val="28"/>
          <w:szCs w:val="28"/>
          <w:lang w:val="ro-MD"/>
        </w:rPr>
        <w:t>drept temei pentru</w:t>
      </w:r>
      <w:r w:rsidRPr="002751FC">
        <w:rPr>
          <w:rFonts w:asciiTheme="majorHAnsi" w:eastAsia="Times New Roman" w:hAnsiTheme="majorHAnsi" w:cstheme="majorHAnsi"/>
          <w:i/>
          <w:sz w:val="28"/>
          <w:szCs w:val="28"/>
          <w:lang w:val="ro-MD"/>
        </w:rPr>
        <w:t xml:space="preserve"> </w:t>
      </w:r>
      <w:r w:rsidR="00D45806" w:rsidRPr="002751FC">
        <w:rPr>
          <w:rFonts w:asciiTheme="majorHAnsi" w:eastAsia="Times New Roman" w:hAnsiTheme="majorHAnsi" w:cstheme="majorHAnsi"/>
          <w:i/>
          <w:sz w:val="28"/>
          <w:szCs w:val="28"/>
          <w:lang w:val="ro-MD"/>
        </w:rPr>
        <w:t xml:space="preserve">aprobarea </w:t>
      </w:r>
      <w:r w:rsidRPr="002751FC">
        <w:rPr>
          <w:rFonts w:asciiTheme="majorHAnsi" w:eastAsia="Times New Roman" w:hAnsiTheme="majorHAnsi" w:cstheme="majorHAnsi"/>
          <w:i/>
          <w:sz w:val="28"/>
          <w:szCs w:val="28"/>
          <w:lang w:val="ro-MD"/>
        </w:rPr>
        <w:t>propuneril</w:t>
      </w:r>
      <w:r w:rsidR="00D45806" w:rsidRPr="002751FC">
        <w:rPr>
          <w:rFonts w:asciiTheme="majorHAnsi" w:eastAsia="Times New Roman" w:hAnsiTheme="majorHAnsi" w:cstheme="majorHAnsi"/>
          <w:i/>
          <w:sz w:val="28"/>
          <w:szCs w:val="28"/>
          <w:lang w:val="ro-MD"/>
        </w:rPr>
        <w:t>or</w:t>
      </w:r>
      <w:r w:rsidRPr="002751FC">
        <w:rPr>
          <w:rFonts w:asciiTheme="majorHAnsi" w:eastAsia="Times New Roman" w:hAnsiTheme="majorHAnsi" w:cstheme="majorHAnsi"/>
          <w:i/>
          <w:sz w:val="28"/>
          <w:szCs w:val="28"/>
          <w:lang w:val="ro-MD"/>
        </w:rPr>
        <w:t xml:space="preserve"> privind mărimea contribuțiilor în FVV au stat încasările </w:t>
      </w:r>
      <w:r w:rsidR="00D45806" w:rsidRPr="002751FC">
        <w:rPr>
          <w:rFonts w:asciiTheme="majorHAnsi" w:eastAsia="Times New Roman" w:hAnsiTheme="majorHAnsi" w:cstheme="majorHAnsi"/>
          <w:i/>
          <w:sz w:val="28"/>
          <w:szCs w:val="28"/>
          <w:lang w:val="ro-MD"/>
        </w:rPr>
        <w:t xml:space="preserve">din </w:t>
      </w:r>
      <w:r w:rsidRPr="002751FC">
        <w:rPr>
          <w:rFonts w:asciiTheme="majorHAnsi" w:eastAsia="Times New Roman" w:hAnsiTheme="majorHAnsi" w:cstheme="majorHAnsi"/>
          <w:i/>
          <w:sz w:val="28"/>
          <w:szCs w:val="28"/>
          <w:lang w:val="ro-MD"/>
        </w:rPr>
        <w:t xml:space="preserve">anul 2018 pentru 8 luni (13,1 </w:t>
      </w:r>
      <w:proofErr w:type="spellStart"/>
      <w:r w:rsidRPr="002751FC">
        <w:rPr>
          <w:rFonts w:asciiTheme="majorHAnsi" w:eastAsia="Times New Roman" w:hAnsiTheme="majorHAnsi" w:cstheme="majorHAnsi"/>
          <w:i/>
          <w:sz w:val="28"/>
          <w:szCs w:val="28"/>
          <w:lang w:val="ro-MD"/>
        </w:rPr>
        <w:t>mil.MDL</w:t>
      </w:r>
      <w:proofErr w:type="spellEnd"/>
      <w:r w:rsidRPr="002751FC">
        <w:rPr>
          <w:rFonts w:asciiTheme="majorHAnsi" w:eastAsia="Times New Roman" w:hAnsiTheme="majorHAnsi" w:cstheme="majorHAnsi"/>
          <w:i/>
          <w:sz w:val="28"/>
          <w:szCs w:val="28"/>
          <w:lang w:val="ro-MD"/>
        </w:rPr>
        <w:t xml:space="preserve">) și încasările anuale din anii </w:t>
      </w:r>
      <w:r w:rsidR="005D118F" w:rsidRPr="002751FC">
        <w:rPr>
          <w:rFonts w:asciiTheme="majorHAnsi" w:eastAsia="Times New Roman" w:hAnsiTheme="majorHAnsi" w:cstheme="majorHAnsi"/>
          <w:i/>
          <w:sz w:val="28"/>
          <w:szCs w:val="28"/>
          <w:lang w:val="ro-MD"/>
        </w:rPr>
        <w:t>precedenți (apro</w:t>
      </w:r>
      <w:r w:rsidRPr="002751FC">
        <w:rPr>
          <w:rFonts w:asciiTheme="majorHAnsi" w:eastAsia="Times New Roman" w:hAnsiTheme="majorHAnsi" w:cstheme="majorHAnsi"/>
          <w:i/>
          <w:sz w:val="28"/>
          <w:szCs w:val="28"/>
          <w:lang w:val="ro-MD"/>
        </w:rPr>
        <w:t xml:space="preserve">ximativ </w:t>
      </w:r>
      <w:r w:rsidR="005D118F" w:rsidRPr="002751FC">
        <w:rPr>
          <w:rFonts w:asciiTheme="majorHAnsi" w:eastAsia="Times New Roman" w:hAnsiTheme="majorHAnsi" w:cstheme="majorHAnsi"/>
          <w:i/>
          <w:sz w:val="28"/>
          <w:szCs w:val="28"/>
          <w:lang w:val="ro-MD"/>
        </w:rPr>
        <w:t>câte</w:t>
      </w:r>
      <w:r w:rsidRPr="002751FC">
        <w:rPr>
          <w:rFonts w:asciiTheme="majorHAnsi" w:eastAsia="Times New Roman" w:hAnsiTheme="majorHAnsi" w:cstheme="majorHAnsi"/>
          <w:i/>
          <w:sz w:val="28"/>
          <w:szCs w:val="28"/>
          <w:lang w:val="ro-MD"/>
        </w:rPr>
        <w:t xml:space="preserve"> 13,5 </w:t>
      </w:r>
      <w:proofErr w:type="spellStart"/>
      <w:r w:rsidRPr="002751FC">
        <w:rPr>
          <w:rFonts w:asciiTheme="majorHAnsi" w:eastAsia="Times New Roman" w:hAnsiTheme="majorHAnsi" w:cstheme="majorHAnsi"/>
          <w:i/>
          <w:sz w:val="28"/>
          <w:szCs w:val="28"/>
          <w:lang w:val="ro-MD"/>
        </w:rPr>
        <w:t>mil.MDL</w:t>
      </w:r>
      <w:proofErr w:type="spellEnd"/>
      <w:r w:rsidR="00C908E1" w:rsidRPr="002751FC">
        <w:rPr>
          <w:rFonts w:asciiTheme="majorHAnsi" w:eastAsia="Times New Roman" w:hAnsiTheme="majorHAnsi" w:cstheme="majorHAnsi"/>
          <w:i/>
          <w:sz w:val="28"/>
          <w:szCs w:val="28"/>
          <w:lang w:val="ro-MD"/>
        </w:rPr>
        <w:t>), planul pentru încasările</w:t>
      </w:r>
      <w:r w:rsidRPr="002751FC">
        <w:rPr>
          <w:rFonts w:asciiTheme="majorHAnsi" w:eastAsia="Times New Roman" w:hAnsiTheme="majorHAnsi" w:cstheme="majorHAnsi"/>
          <w:i/>
          <w:sz w:val="28"/>
          <w:szCs w:val="28"/>
          <w:lang w:val="ro-MD"/>
        </w:rPr>
        <w:t xml:space="preserve"> </w:t>
      </w:r>
      <w:r w:rsidR="00D45806" w:rsidRPr="002751FC">
        <w:rPr>
          <w:rFonts w:asciiTheme="majorHAnsi" w:eastAsia="Times New Roman" w:hAnsiTheme="majorHAnsi" w:cstheme="majorHAnsi"/>
          <w:i/>
          <w:sz w:val="28"/>
          <w:szCs w:val="28"/>
          <w:lang w:val="ro-MD"/>
        </w:rPr>
        <w:t xml:space="preserve">în </w:t>
      </w:r>
      <w:r w:rsidRPr="002751FC">
        <w:rPr>
          <w:rFonts w:asciiTheme="majorHAnsi" w:eastAsia="Times New Roman" w:hAnsiTheme="majorHAnsi" w:cstheme="majorHAnsi"/>
          <w:i/>
          <w:sz w:val="28"/>
          <w:szCs w:val="28"/>
          <w:lang w:val="ro-MD"/>
        </w:rPr>
        <w:t xml:space="preserve">2018 fiind ajustat până la 17,0 </w:t>
      </w:r>
      <w:proofErr w:type="spellStart"/>
      <w:r w:rsidRPr="002751FC">
        <w:rPr>
          <w:rFonts w:asciiTheme="majorHAnsi" w:eastAsia="Times New Roman" w:hAnsiTheme="majorHAnsi" w:cstheme="majorHAnsi"/>
          <w:i/>
          <w:sz w:val="28"/>
          <w:szCs w:val="28"/>
          <w:lang w:val="ro-MD"/>
        </w:rPr>
        <w:t>mil.MDL</w:t>
      </w:r>
      <w:proofErr w:type="spellEnd"/>
      <w:r w:rsidRPr="002751FC">
        <w:rPr>
          <w:rFonts w:asciiTheme="majorHAnsi" w:eastAsia="Times New Roman" w:hAnsiTheme="majorHAnsi" w:cstheme="majorHAnsi"/>
          <w:i/>
          <w:sz w:val="28"/>
          <w:szCs w:val="28"/>
          <w:lang w:val="ro-MD"/>
        </w:rPr>
        <w:t xml:space="preserve"> (+3,5 </w:t>
      </w:r>
      <w:proofErr w:type="spellStart"/>
      <w:r w:rsidRPr="002751FC">
        <w:rPr>
          <w:rFonts w:asciiTheme="majorHAnsi" w:eastAsia="Times New Roman" w:hAnsiTheme="majorHAnsi" w:cstheme="majorHAnsi"/>
          <w:i/>
          <w:sz w:val="28"/>
          <w:szCs w:val="28"/>
          <w:lang w:val="ro-MD"/>
        </w:rPr>
        <w:t>mil.MDL</w:t>
      </w:r>
      <w:proofErr w:type="spellEnd"/>
      <w:r w:rsidRPr="002751FC">
        <w:rPr>
          <w:rFonts w:asciiTheme="majorHAnsi" w:eastAsia="Times New Roman" w:hAnsiTheme="majorHAnsi" w:cstheme="majorHAnsi"/>
          <w:i/>
          <w:sz w:val="28"/>
          <w:szCs w:val="28"/>
          <w:lang w:val="ro-MD"/>
        </w:rPr>
        <w:t xml:space="preserve"> față de anii precedenți). </w:t>
      </w:r>
    </w:p>
    <w:p w:rsidR="002B0C1F" w:rsidRPr="002751FC" w:rsidRDefault="002B0C1F" w:rsidP="00243401">
      <w:pPr>
        <w:pStyle w:val="a3"/>
        <w:ind w:firstLine="0"/>
        <w:rPr>
          <w:rFonts w:asciiTheme="majorHAnsi" w:eastAsia="Times New Roman" w:hAnsiTheme="majorHAnsi" w:cstheme="majorHAnsi"/>
          <w:sz w:val="28"/>
          <w:szCs w:val="28"/>
          <w:lang w:val="ro-MD"/>
        </w:rPr>
      </w:pPr>
    </w:p>
    <w:p w:rsidR="002B0C1F" w:rsidRPr="002751FC" w:rsidRDefault="002B0C1F" w:rsidP="00243401">
      <w:pPr>
        <w:pStyle w:val="a3"/>
        <w:ind w:firstLine="0"/>
        <w:rPr>
          <w:rFonts w:asciiTheme="majorHAnsi" w:eastAsia="Times New Roman" w:hAnsiTheme="majorHAnsi" w:cstheme="majorHAnsi"/>
          <w:i/>
          <w:sz w:val="28"/>
          <w:szCs w:val="28"/>
          <w:lang w:val="ro-MD"/>
        </w:rPr>
      </w:pPr>
      <w:r w:rsidRPr="002751FC">
        <w:rPr>
          <w:rFonts w:asciiTheme="majorHAnsi" w:eastAsia="Times New Roman" w:hAnsiTheme="majorHAnsi" w:cstheme="majorHAnsi"/>
          <w:sz w:val="28"/>
          <w:szCs w:val="28"/>
          <w:lang w:val="ro-MD"/>
        </w:rPr>
        <w:t xml:space="preserve">Totodată, MF nu </w:t>
      </w:r>
      <w:r w:rsidR="00D45806" w:rsidRPr="002751FC">
        <w:rPr>
          <w:rFonts w:asciiTheme="majorHAnsi" w:eastAsia="Times New Roman" w:hAnsiTheme="majorHAnsi" w:cstheme="majorHAnsi"/>
          <w:sz w:val="28"/>
          <w:szCs w:val="28"/>
          <w:lang w:val="ro-MD"/>
        </w:rPr>
        <w:t xml:space="preserve">a </w:t>
      </w:r>
      <w:r w:rsidRPr="002751FC">
        <w:rPr>
          <w:rFonts w:asciiTheme="majorHAnsi" w:eastAsia="Times New Roman" w:hAnsiTheme="majorHAnsi" w:cstheme="majorHAnsi"/>
          <w:sz w:val="28"/>
          <w:szCs w:val="28"/>
          <w:lang w:val="ro-MD"/>
        </w:rPr>
        <w:t>țin</w:t>
      </w:r>
      <w:r w:rsidR="00D45806" w:rsidRPr="002751FC">
        <w:rPr>
          <w:rFonts w:asciiTheme="majorHAnsi" w:eastAsia="Times New Roman" w:hAnsiTheme="majorHAnsi" w:cstheme="majorHAnsi"/>
          <w:sz w:val="28"/>
          <w:szCs w:val="28"/>
          <w:lang w:val="ro-MD"/>
        </w:rPr>
        <w:t>ut</w:t>
      </w:r>
      <w:r w:rsidRPr="002751FC">
        <w:rPr>
          <w:rFonts w:asciiTheme="majorHAnsi" w:eastAsia="Times New Roman" w:hAnsiTheme="majorHAnsi" w:cstheme="majorHAnsi"/>
          <w:sz w:val="28"/>
          <w:szCs w:val="28"/>
          <w:lang w:val="ro-MD"/>
        </w:rPr>
        <w:t xml:space="preserve"> cont de prevederile legale privind mărimea </w:t>
      </w:r>
      <w:r w:rsidRPr="002751FC">
        <w:rPr>
          <w:rFonts w:asciiTheme="majorHAnsi" w:hAnsiTheme="majorHAnsi" w:cstheme="majorHAnsi"/>
          <w:bCs/>
          <w:iCs/>
          <w:sz w:val="28"/>
          <w:szCs w:val="28"/>
          <w:lang w:val="ro-MD"/>
        </w:rPr>
        <w:t>m</w:t>
      </w:r>
      <w:r w:rsidRPr="002751FC">
        <w:rPr>
          <w:rFonts w:asciiTheme="majorHAnsi" w:eastAsia="Times New Roman" w:hAnsiTheme="majorHAnsi" w:cstheme="majorHAnsi"/>
          <w:sz w:val="28"/>
          <w:szCs w:val="28"/>
          <w:lang w:val="ro-MD"/>
        </w:rPr>
        <w:t>ijloacel</w:t>
      </w:r>
      <w:r w:rsidR="00C908E1" w:rsidRPr="002751FC">
        <w:rPr>
          <w:rFonts w:asciiTheme="majorHAnsi" w:eastAsia="Times New Roman" w:hAnsiTheme="majorHAnsi" w:cstheme="majorHAnsi"/>
          <w:sz w:val="28"/>
          <w:szCs w:val="28"/>
          <w:lang w:val="ro-MD"/>
        </w:rPr>
        <w:t>or</w:t>
      </w:r>
      <w:r w:rsidRPr="002751FC">
        <w:rPr>
          <w:rFonts w:asciiTheme="majorHAnsi" w:eastAsia="Times New Roman" w:hAnsiTheme="majorHAnsi" w:cstheme="majorHAnsi"/>
          <w:sz w:val="28"/>
          <w:szCs w:val="28"/>
          <w:lang w:val="ro-MD"/>
        </w:rPr>
        <w:t xml:space="preserve"> alocate din bugetul de stat, care ar trebui să fie egală cu suma </w:t>
      </w:r>
      <w:r w:rsidR="00C908E1"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din anul precedent, pentru anul 2018 fiind aprobate alocații cu 11,8 </w:t>
      </w:r>
      <w:proofErr w:type="spellStart"/>
      <w:r w:rsidRPr="002751FC">
        <w:rPr>
          <w:rFonts w:asciiTheme="majorHAnsi" w:eastAsia="Times New Roman" w:hAnsiTheme="majorHAnsi" w:cstheme="majorHAnsi"/>
          <w:sz w:val="28"/>
          <w:szCs w:val="28"/>
          <w:lang w:val="ro-MD"/>
        </w:rPr>
        <w:t>mil.MDL</w:t>
      </w:r>
      <w:proofErr w:type="spellEnd"/>
      <w:r w:rsidRPr="002751FC">
        <w:rPr>
          <w:rFonts w:asciiTheme="majorHAnsi" w:eastAsia="Times New Roman" w:hAnsiTheme="majorHAnsi" w:cstheme="majorHAnsi"/>
          <w:sz w:val="28"/>
          <w:szCs w:val="28"/>
          <w:lang w:val="ro-MD"/>
        </w:rPr>
        <w:t xml:space="preserve"> mai mult față de mărimea </w:t>
      </w:r>
      <w:r w:rsidR="00C908E1"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planificate pentru anul </w:t>
      </w:r>
      <w:r w:rsidR="00D319F1" w:rsidRPr="002751FC">
        <w:rPr>
          <w:rFonts w:asciiTheme="majorHAnsi" w:eastAsia="Times New Roman" w:hAnsiTheme="majorHAnsi" w:cstheme="majorHAnsi"/>
          <w:sz w:val="28"/>
          <w:szCs w:val="28"/>
          <w:lang w:val="ro-MD"/>
        </w:rPr>
        <w:t>bugetar respectiv</w:t>
      </w:r>
      <w:r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i/>
          <w:sz w:val="28"/>
          <w:szCs w:val="28"/>
          <w:lang w:val="ro-MD"/>
        </w:rPr>
        <w:t>Sinteza situațiilor constatate se prezintă în tabelul de mai jos.</w:t>
      </w:r>
    </w:p>
    <w:p w:rsidR="00ED35AD" w:rsidRPr="002751FC" w:rsidRDefault="002B0C1F" w:rsidP="00ED35AD">
      <w:pPr>
        <w:pStyle w:val="a3"/>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Tabelul nr.3</w:t>
      </w:r>
      <w:r w:rsidR="0038217B" w:rsidRPr="002751FC">
        <w:rPr>
          <w:rFonts w:asciiTheme="majorHAnsi" w:eastAsia="Times New Roman" w:hAnsiTheme="majorHAnsi" w:cstheme="majorHAnsi"/>
          <w:b/>
          <w:sz w:val="20"/>
          <w:szCs w:val="20"/>
          <w:lang w:val="ro-MD"/>
        </w:rPr>
        <w:t xml:space="preserve"> </w:t>
      </w:r>
    </w:p>
    <w:p w:rsidR="002B0C1F" w:rsidRPr="002751FC" w:rsidRDefault="0038217B" w:rsidP="00243401">
      <w:pPr>
        <w:pStyle w:val="a3"/>
        <w:rPr>
          <w:rFonts w:asciiTheme="majorHAnsi" w:eastAsia="Times New Roman" w:hAnsiTheme="majorHAnsi" w:cstheme="majorHAnsi"/>
          <w:sz w:val="28"/>
          <w:szCs w:val="28"/>
          <w:lang w:val="ro-MD"/>
        </w:rPr>
      </w:pPr>
      <w:r w:rsidRPr="002751FC">
        <w:rPr>
          <w:rFonts w:asciiTheme="majorHAnsi" w:eastAsia="Times New Roman" w:hAnsiTheme="majorHAnsi" w:cstheme="majorHAnsi"/>
          <w:b/>
          <w:sz w:val="20"/>
          <w:szCs w:val="20"/>
          <w:lang w:val="ro-MD"/>
        </w:rPr>
        <w:t xml:space="preserve">Sinteza veniturilor </w:t>
      </w:r>
      <w:r w:rsidR="002B0C1F" w:rsidRPr="002751FC">
        <w:rPr>
          <w:rFonts w:asciiTheme="majorHAnsi" w:eastAsia="Times New Roman" w:hAnsiTheme="majorHAnsi" w:cstheme="majorHAnsi"/>
          <w:b/>
          <w:sz w:val="20"/>
          <w:szCs w:val="20"/>
          <w:lang w:val="ro-MD"/>
        </w:rPr>
        <w:t xml:space="preserve">aprobate pentru FVV prin Legile bugetului de stat pentru anii 2014-2018, </w:t>
      </w:r>
      <w:proofErr w:type="spellStart"/>
      <w:r w:rsidR="002B0C1F" w:rsidRPr="002751FC">
        <w:rPr>
          <w:rFonts w:asciiTheme="majorHAnsi" w:eastAsia="Times New Roman" w:hAnsiTheme="majorHAnsi" w:cstheme="majorHAnsi"/>
          <w:b/>
          <w:sz w:val="20"/>
          <w:szCs w:val="20"/>
          <w:lang w:val="ro-MD"/>
        </w:rPr>
        <w:t>mil.MDL</w:t>
      </w:r>
      <w:proofErr w:type="spellEnd"/>
    </w:p>
    <w:tbl>
      <w:tblPr>
        <w:tblStyle w:val="ae"/>
        <w:tblW w:w="9779" w:type="dxa"/>
        <w:tblLook w:val="04A0" w:firstRow="1" w:lastRow="0" w:firstColumn="1" w:lastColumn="0" w:noHBand="0" w:noVBand="1"/>
      </w:tblPr>
      <w:tblGrid>
        <w:gridCol w:w="756"/>
        <w:gridCol w:w="1082"/>
        <w:gridCol w:w="1559"/>
        <w:gridCol w:w="1620"/>
        <w:gridCol w:w="1357"/>
        <w:gridCol w:w="1276"/>
        <w:gridCol w:w="1169"/>
        <w:gridCol w:w="960"/>
      </w:tblGrid>
      <w:tr w:rsidR="002B0C1F" w:rsidRPr="002751FC" w:rsidTr="00CF6BC2">
        <w:trPr>
          <w:trHeight w:val="265"/>
        </w:trPr>
        <w:tc>
          <w:tcPr>
            <w:tcW w:w="756" w:type="dxa"/>
            <w:vMerge w:val="restart"/>
            <w:shd w:val="clear" w:color="auto" w:fill="DEEAF6" w:themeFill="accent1" w:themeFillTint="33"/>
            <w:vAlign w:val="center"/>
          </w:tcPr>
          <w:p w:rsidR="002B0C1F" w:rsidRPr="002751FC" w:rsidRDefault="00243401" w:rsidP="00CF6BC2">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A</w:t>
            </w:r>
            <w:r w:rsidR="002B0C1F" w:rsidRPr="002751FC">
              <w:rPr>
                <w:rFonts w:asciiTheme="majorHAnsi" w:eastAsia="Times New Roman" w:hAnsiTheme="majorHAnsi" w:cstheme="majorHAnsi"/>
                <w:b/>
                <w:sz w:val="20"/>
                <w:szCs w:val="20"/>
                <w:lang w:val="ro-MD"/>
              </w:rPr>
              <w:t>nii</w:t>
            </w:r>
          </w:p>
        </w:tc>
        <w:tc>
          <w:tcPr>
            <w:tcW w:w="1082" w:type="dxa"/>
            <w:vMerge w:val="restart"/>
            <w:shd w:val="clear" w:color="auto" w:fill="DEEAF6" w:themeFill="accent1" w:themeFillTint="33"/>
            <w:vAlign w:val="center"/>
          </w:tcPr>
          <w:p w:rsidR="002B0C1F" w:rsidRPr="002751FC" w:rsidRDefault="002B0C1F" w:rsidP="00CF6BC2">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Precizat total</w:t>
            </w:r>
          </w:p>
        </w:tc>
        <w:tc>
          <w:tcPr>
            <w:tcW w:w="3179" w:type="dxa"/>
            <w:gridSpan w:val="2"/>
            <w:shd w:val="clear" w:color="auto" w:fill="DEEAF6" w:themeFill="accent1" w:themeFillTint="33"/>
            <w:vAlign w:val="center"/>
          </w:tcPr>
          <w:p w:rsidR="002B0C1F" w:rsidRPr="002751FC" w:rsidRDefault="002B0C1F" w:rsidP="007628E2">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Inclusiv</w:t>
            </w:r>
          </w:p>
        </w:tc>
        <w:tc>
          <w:tcPr>
            <w:tcW w:w="2633" w:type="dxa"/>
            <w:gridSpan w:val="2"/>
            <w:shd w:val="clear" w:color="auto" w:fill="DEEAF6" w:themeFill="accent1" w:themeFillTint="33"/>
            <w:vAlign w:val="center"/>
          </w:tcPr>
          <w:p w:rsidR="002B0C1F" w:rsidRPr="002751FC" w:rsidRDefault="002B0C1F" w:rsidP="00CF6BC2">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 în total</w:t>
            </w:r>
          </w:p>
        </w:tc>
        <w:tc>
          <w:tcPr>
            <w:tcW w:w="2129" w:type="dxa"/>
            <w:gridSpan w:val="2"/>
            <w:shd w:val="clear" w:color="auto" w:fill="DEEAF6" w:themeFill="accent1" w:themeFillTint="33"/>
            <w:vAlign w:val="center"/>
          </w:tcPr>
          <w:p w:rsidR="002B0C1F" w:rsidRPr="002751FC" w:rsidRDefault="002B0C1F" w:rsidP="007628E2">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Depășirea mijloacel</w:t>
            </w:r>
            <w:r w:rsidR="007628E2">
              <w:rPr>
                <w:rFonts w:asciiTheme="majorHAnsi" w:eastAsia="Times New Roman" w:hAnsiTheme="majorHAnsi" w:cstheme="majorHAnsi"/>
                <w:b/>
                <w:sz w:val="20"/>
                <w:szCs w:val="20"/>
                <w:lang w:val="ro-MD"/>
              </w:rPr>
              <w:t>or</w:t>
            </w:r>
            <w:r w:rsidRPr="002751FC">
              <w:rPr>
                <w:rFonts w:asciiTheme="majorHAnsi" w:eastAsia="Times New Roman" w:hAnsiTheme="majorHAnsi" w:cstheme="majorHAnsi"/>
                <w:b/>
                <w:sz w:val="20"/>
                <w:szCs w:val="20"/>
                <w:lang w:val="ro-MD"/>
              </w:rPr>
              <w:t xml:space="preserve"> BS față de</w:t>
            </w:r>
            <w:r w:rsidR="00E033B9">
              <w:rPr>
                <w:rFonts w:asciiTheme="majorHAnsi" w:eastAsia="Times New Roman" w:hAnsiTheme="majorHAnsi" w:cstheme="majorHAnsi"/>
                <w:b/>
                <w:sz w:val="20"/>
                <w:szCs w:val="20"/>
                <w:lang w:val="ro-MD"/>
              </w:rPr>
              <w:t xml:space="preserve"> </w:t>
            </w:r>
            <w:r w:rsidRPr="002751FC">
              <w:rPr>
                <w:rFonts w:asciiTheme="majorHAnsi" w:eastAsia="Times New Roman" w:hAnsiTheme="majorHAnsi" w:cstheme="majorHAnsi"/>
                <w:b/>
                <w:sz w:val="20"/>
                <w:szCs w:val="20"/>
                <w:lang w:val="ro-MD"/>
              </w:rPr>
              <w:t>contribuții</w:t>
            </w:r>
          </w:p>
        </w:tc>
      </w:tr>
      <w:tr w:rsidR="002B0C1F" w:rsidRPr="002751FC" w:rsidTr="00CF6BC2">
        <w:trPr>
          <w:trHeight w:val="175"/>
        </w:trPr>
        <w:tc>
          <w:tcPr>
            <w:tcW w:w="756" w:type="dxa"/>
            <w:vMerge/>
            <w:shd w:val="clear" w:color="auto" w:fill="DEEAF6" w:themeFill="accent1" w:themeFillTint="33"/>
            <w:vAlign w:val="center"/>
          </w:tcPr>
          <w:p w:rsidR="002B0C1F" w:rsidRPr="002751FC" w:rsidRDefault="002B0C1F" w:rsidP="00CF6BC2">
            <w:pPr>
              <w:pStyle w:val="a3"/>
              <w:ind w:firstLine="0"/>
              <w:jc w:val="center"/>
              <w:rPr>
                <w:rFonts w:asciiTheme="majorHAnsi" w:eastAsia="Times New Roman" w:hAnsiTheme="majorHAnsi" w:cstheme="majorHAnsi"/>
                <w:b/>
                <w:sz w:val="20"/>
                <w:szCs w:val="20"/>
                <w:lang w:val="ro-MD"/>
              </w:rPr>
            </w:pPr>
          </w:p>
        </w:tc>
        <w:tc>
          <w:tcPr>
            <w:tcW w:w="1082" w:type="dxa"/>
            <w:vMerge/>
            <w:shd w:val="clear" w:color="auto" w:fill="DEEAF6" w:themeFill="accent1" w:themeFillTint="33"/>
            <w:vAlign w:val="center"/>
          </w:tcPr>
          <w:p w:rsidR="002B0C1F" w:rsidRPr="002751FC" w:rsidRDefault="002B0C1F" w:rsidP="00CF6BC2">
            <w:pPr>
              <w:pStyle w:val="a3"/>
              <w:ind w:firstLine="0"/>
              <w:jc w:val="center"/>
              <w:rPr>
                <w:rFonts w:asciiTheme="majorHAnsi" w:eastAsia="Times New Roman" w:hAnsiTheme="majorHAnsi" w:cstheme="majorHAnsi"/>
                <w:b/>
                <w:sz w:val="20"/>
                <w:szCs w:val="20"/>
                <w:lang w:val="ro-MD"/>
              </w:rPr>
            </w:pPr>
          </w:p>
        </w:tc>
        <w:tc>
          <w:tcPr>
            <w:tcW w:w="1559" w:type="dxa"/>
            <w:shd w:val="clear" w:color="auto" w:fill="DEEAF6" w:themeFill="accent1" w:themeFillTint="33"/>
            <w:vAlign w:val="center"/>
          </w:tcPr>
          <w:p w:rsidR="002B0C1F" w:rsidRPr="002751FC" w:rsidRDefault="00D6675A" w:rsidP="00CF6BC2">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contribuții</w:t>
            </w:r>
          </w:p>
        </w:tc>
        <w:tc>
          <w:tcPr>
            <w:tcW w:w="1620" w:type="dxa"/>
            <w:shd w:val="clear" w:color="auto" w:fill="DEEAF6" w:themeFill="accent1" w:themeFillTint="33"/>
            <w:vAlign w:val="center"/>
          </w:tcPr>
          <w:p w:rsidR="002B0C1F" w:rsidRPr="002751FC" w:rsidRDefault="00D6675A" w:rsidP="00CF6BC2">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mijloace bugetare</w:t>
            </w:r>
          </w:p>
        </w:tc>
        <w:tc>
          <w:tcPr>
            <w:tcW w:w="1357" w:type="dxa"/>
            <w:shd w:val="clear" w:color="auto" w:fill="DEEAF6" w:themeFill="accent1" w:themeFillTint="33"/>
            <w:vAlign w:val="center"/>
          </w:tcPr>
          <w:p w:rsidR="002B0C1F" w:rsidRPr="002751FC" w:rsidRDefault="00D6675A" w:rsidP="00CF6BC2">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contribuții</w:t>
            </w:r>
          </w:p>
        </w:tc>
        <w:tc>
          <w:tcPr>
            <w:tcW w:w="1276" w:type="dxa"/>
            <w:shd w:val="clear" w:color="auto" w:fill="DEEAF6" w:themeFill="accent1" w:themeFillTint="33"/>
            <w:vAlign w:val="center"/>
          </w:tcPr>
          <w:p w:rsidR="002B0C1F" w:rsidRPr="002751FC" w:rsidRDefault="00D6675A" w:rsidP="00CF6BC2">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mijloace bugetare</w:t>
            </w:r>
          </w:p>
        </w:tc>
        <w:tc>
          <w:tcPr>
            <w:tcW w:w="1169" w:type="dxa"/>
            <w:shd w:val="clear" w:color="auto" w:fill="DEEAF6" w:themeFill="accent1" w:themeFillTint="33"/>
            <w:vAlign w:val="center"/>
          </w:tcPr>
          <w:p w:rsidR="002B0C1F" w:rsidRPr="002751FC" w:rsidRDefault="002B0C1F" w:rsidP="00CF6BC2">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excepție</w:t>
            </w:r>
          </w:p>
        </w:tc>
        <w:tc>
          <w:tcPr>
            <w:tcW w:w="960" w:type="dxa"/>
            <w:shd w:val="clear" w:color="auto" w:fill="DEEAF6" w:themeFill="accent1" w:themeFillTint="33"/>
            <w:vAlign w:val="center"/>
          </w:tcPr>
          <w:p w:rsidR="002B0C1F" w:rsidRPr="002751FC" w:rsidRDefault="002B0C1F" w:rsidP="00CF6BC2">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depășire</w:t>
            </w:r>
          </w:p>
        </w:tc>
      </w:tr>
      <w:tr w:rsidR="002B0C1F" w:rsidRPr="002751FC" w:rsidTr="00CF6BC2">
        <w:trPr>
          <w:trHeight w:val="131"/>
        </w:trPr>
        <w:tc>
          <w:tcPr>
            <w:tcW w:w="756" w:type="dxa"/>
          </w:tcPr>
          <w:p w:rsidR="002B0C1F" w:rsidRPr="002751FC" w:rsidRDefault="002B0C1F" w:rsidP="00243401">
            <w:pPr>
              <w:pStyle w:val="a3"/>
              <w:ind w:firstLine="0"/>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2014</w:t>
            </w:r>
          </w:p>
        </w:tc>
        <w:tc>
          <w:tcPr>
            <w:tcW w:w="1082"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59,0</w:t>
            </w:r>
          </w:p>
        </w:tc>
        <w:tc>
          <w:tcPr>
            <w:tcW w:w="1559"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33,1</w:t>
            </w:r>
          </w:p>
        </w:tc>
        <w:tc>
          <w:tcPr>
            <w:tcW w:w="1620"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25,9</w:t>
            </w:r>
          </w:p>
        </w:tc>
        <w:tc>
          <w:tcPr>
            <w:tcW w:w="1357"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56,1%</w:t>
            </w:r>
          </w:p>
        </w:tc>
        <w:tc>
          <w:tcPr>
            <w:tcW w:w="1276"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43,9%</w:t>
            </w:r>
          </w:p>
        </w:tc>
        <w:tc>
          <w:tcPr>
            <w:tcW w:w="1169"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w:t>
            </w:r>
          </w:p>
        </w:tc>
        <w:tc>
          <w:tcPr>
            <w:tcW w:w="960"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w:t>
            </w:r>
          </w:p>
        </w:tc>
      </w:tr>
      <w:tr w:rsidR="002B0C1F" w:rsidRPr="002751FC" w:rsidTr="00CF6BC2">
        <w:trPr>
          <w:trHeight w:val="265"/>
        </w:trPr>
        <w:tc>
          <w:tcPr>
            <w:tcW w:w="756" w:type="dxa"/>
          </w:tcPr>
          <w:p w:rsidR="002B0C1F" w:rsidRPr="002751FC" w:rsidRDefault="002B0C1F" w:rsidP="00243401">
            <w:pPr>
              <w:pStyle w:val="a3"/>
              <w:ind w:firstLine="0"/>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2015</w:t>
            </w:r>
          </w:p>
        </w:tc>
        <w:tc>
          <w:tcPr>
            <w:tcW w:w="1082"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26,6</w:t>
            </w:r>
          </w:p>
        </w:tc>
        <w:tc>
          <w:tcPr>
            <w:tcW w:w="1559"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11,6</w:t>
            </w:r>
          </w:p>
        </w:tc>
        <w:tc>
          <w:tcPr>
            <w:tcW w:w="1620"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15,0</w:t>
            </w:r>
          </w:p>
        </w:tc>
        <w:tc>
          <w:tcPr>
            <w:tcW w:w="1357"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43,6%</w:t>
            </w:r>
          </w:p>
        </w:tc>
        <w:tc>
          <w:tcPr>
            <w:tcW w:w="1276"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56,4%</w:t>
            </w:r>
          </w:p>
        </w:tc>
        <w:tc>
          <w:tcPr>
            <w:tcW w:w="1169"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p>
        </w:tc>
        <w:tc>
          <w:tcPr>
            <w:tcW w:w="960"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+3,4</w:t>
            </w:r>
          </w:p>
        </w:tc>
      </w:tr>
      <w:tr w:rsidR="002B0C1F" w:rsidRPr="002751FC" w:rsidTr="00CF6BC2">
        <w:trPr>
          <w:trHeight w:val="274"/>
        </w:trPr>
        <w:tc>
          <w:tcPr>
            <w:tcW w:w="756" w:type="dxa"/>
          </w:tcPr>
          <w:p w:rsidR="002B0C1F" w:rsidRPr="002751FC" w:rsidRDefault="002B0C1F" w:rsidP="00243401">
            <w:pPr>
              <w:pStyle w:val="a3"/>
              <w:ind w:firstLine="0"/>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2016</w:t>
            </w:r>
          </w:p>
        </w:tc>
        <w:tc>
          <w:tcPr>
            <w:tcW w:w="1082"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30,0</w:t>
            </w:r>
          </w:p>
        </w:tc>
        <w:tc>
          <w:tcPr>
            <w:tcW w:w="1559"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8,0</w:t>
            </w:r>
          </w:p>
        </w:tc>
        <w:tc>
          <w:tcPr>
            <w:tcW w:w="1620"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22,0</w:t>
            </w:r>
          </w:p>
        </w:tc>
        <w:tc>
          <w:tcPr>
            <w:tcW w:w="1357"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26,7%</w:t>
            </w:r>
          </w:p>
        </w:tc>
        <w:tc>
          <w:tcPr>
            <w:tcW w:w="1276"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73,3%</w:t>
            </w:r>
          </w:p>
        </w:tc>
        <w:tc>
          <w:tcPr>
            <w:tcW w:w="1169"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13,3</w:t>
            </w:r>
            <w:r w:rsidRPr="002751FC">
              <w:rPr>
                <w:rStyle w:val="ab"/>
                <w:rFonts w:asciiTheme="majorHAnsi" w:hAnsiTheme="majorHAnsi" w:cstheme="majorHAnsi"/>
                <w:sz w:val="20"/>
                <w:szCs w:val="20"/>
                <w:lang w:val="ro-MD"/>
              </w:rPr>
              <w:footnoteReference w:id="13"/>
            </w:r>
          </w:p>
        </w:tc>
        <w:tc>
          <w:tcPr>
            <w:tcW w:w="960"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+1,0</w:t>
            </w:r>
          </w:p>
        </w:tc>
      </w:tr>
      <w:tr w:rsidR="002B0C1F" w:rsidRPr="002751FC" w:rsidTr="00CF6BC2">
        <w:trPr>
          <w:trHeight w:val="265"/>
        </w:trPr>
        <w:tc>
          <w:tcPr>
            <w:tcW w:w="756" w:type="dxa"/>
          </w:tcPr>
          <w:p w:rsidR="002B0C1F" w:rsidRPr="002751FC" w:rsidRDefault="002B0C1F" w:rsidP="00243401">
            <w:pPr>
              <w:pStyle w:val="a3"/>
              <w:ind w:firstLine="0"/>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2017</w:t>
            </w:r>
          </w:p>
        </w:tc>
        <w:tc>
          <w:tcPr>
            <w:tcW w:w="1082"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53,6</w:t>
            </w:r>
          </w:p>
        </w:tc>
        <w:tc>
          <w:tcPr>
            <w:tcW w:w="1559"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20,9</w:t>
            </w:r>
          </w:p>
        </w:tc>
        <w:tc>
          <w:tcPr>
            <w:tcW w:w="1620"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32,7</w:t>
            </w:r>
          </w:p>
        </w:tc>
        <w:tc>
          <w:tcPr>
            <w:tcW w:w="1357"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39,0%</w:t>
            </w:r>
          </w:p>
        </w:tc>
        <w:tc>
          <w:tcPr>
            <w:tcW w:w="1276"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61%</w:t>
            </w:r>
          </w:p>
        </w:tc>
        <w:tc>
          <w:tcPr>
            <w:tcW w:w="1169"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p>
        </w:tc>
        <w:tc>
          <w:tcPr>
            <w:tcW w:w="960"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+11,8</w:t>
            </w:r>
          </w:p>
        </w:tc>
      </w:tr>
      <w:tr w:rsidR="002B0C1F" w:rsidRPr="002751FC" w:rsidTr="00CF6BC2">
        <w:trPr>
          <w:trHeight w:val="265"/>
        </w:trPr>
        <w:tc>
          <w:tcPr>
            <w:tcW w:w="756" w:type="dxa"/>
          </w:tcPr>
          <w:p w:rsidR="002B0C1F" w:rsidRPr="002751FC" w:rsidRDefault="002B0C1F" w:rsidP="00243401">
            <w:pPr>
              <w:pStyle w:val="a3"/>
              <w:ind w:firstLine="0"/>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2018</w:t>
            </w:r>
          </w:p>
        </w:tc>
        <w:tc>
          <w:tcPr>
            <w:tcW w:w="1082"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45,8</w:t>
            </w:r>
          </w:p>
        </w:tc>
        <w:tc>
          <w:tcPr>
            <w:tcW w:w="1559"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17,0</w:t>
            </w:r>
          </w:p>
        </w:tc>
        <w:tc>
          <w:tcPr>
            <w:tcW w:w="1620"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28,8</w:t>
            </w:r>
          </w:p>
        </w:tc>
        <w:tc>
          <w:tcPr>
            <w:tcW w:w="1357"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37,1%</w:t>
            </w:r>
          </w:p>
        </w:tc>
        <w:tc>
          <w:tcPr>
            <w:tcW w:w="1276"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62,9%</w:t>
            </w:r>
          </w:p>
        </w:tc>
        <w:tc>
          <w:tcPr>
            <w:tcW w:w="1169"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p>
        </w:tc>
        <w:tc>
          <w:tcPr>
            <w:tcW w:w="960" w:type="dxa"/>
          </w:tcPr>
          <w:p w:rsidR="002B0C1F" w:rsidRPr="002751FC" w:rsidRDefault="002B0C1F" w:rsidP="00CF6BC2">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+11,8</w:t>
            </w:r>
          </w:p>
        </w:tc>
      </w:tr>
      <w:tr w:rsidR="002B0C1F" w:rsidRPr="002751FC" w:rsidTr="00CF6BC2">
        <w:trPr>
          <w:trHeight w:val="265"/>
        </w:trPr>
        <w:tc>
          <w:tcPr>
            <w:tcW w:w="756" w:type="dxa"/>
            <w:shd w:val="clear" w:color="auto" w:fill="DEEAF6" w:themeFill="accent1" w:themeFillTint="33"/>
          </w:tcPr>
          <w:p w:rsidR="002B0C1F" w:rsidRPr="002751FC" w:rsidRDefault="00C545A5" w:rsidP="00243401">
            <w:pPr>
              <w:pStyle w:val="a3"/>
              <w:ind w:firstLine="0"/>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T</w:t>
            </w:r>
            <w:r w:rsidR="002B0C1F" w:rsidRPr="002751FC">
              <w:rPr>
                <w:rFonts w:asciiTheme="majorHAnsi" w:eastAsia="Times New Roman" w:hAnsiTheme="majorHAnsi" w:cstheme="majorHAnsi"/>
                <w:b/>
                <w:sz w:val="20"/>
                <w:szCs w:val="20"/>
                <w:lang w:val="ro-MD"/>
              </w:rPr>
              <w:t>otal</w:t>
            </w:r>
          </w:p>
        </w:tc>
        <w:tc>
          <w:tcPr>
            <w:tcW w:w="1082" w:type="dxa"/>
            <w:shd w:val="clear" w:color="auto" w:fill="DEEAF6" w:themeFill="accent1" w:themeFillTint="33"/>
          </w:tcPr>
          <w:p w:rsidR="002B0C1F" w:rsidRPr="002751FC" w:rsidRDefault="002B0C1F" w:rsidP="00CF6BC2">
            <w:pPr>
              <w:pStyle w:val="a3"/>
              <w:ind w:firstLine="0"/>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215,0</w:t>
            </w:r>
          </w:p>
        </w:tc>
        <w:tc>
          <w:tcPr>
            <w:tcW w:w="1559" w:type="dxa"/>
            <w:shd w:val="clear" w:color="auto" w:fill="DEEAF6" w:themeFill="accent1" w:themeFillTint="33"/>
          </w:tcPr>
          <w:p w:rsidR="002B0C1F" w:rsidRPr="002751FC" w:rsidRDefault="002B0C1F" w:rsidP="00CF6BC2">
            <w:pPr>
              <w:pStyle w:val="a3"/>
              <w:ind w:firstLine="0"/>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90,6</w:t>
            </w:r>
          </w:p>
        </w:tc>
        <w:tc>
          <w:tcPr>
            <w:tcW w:w="1620" w:type="dxa"/>
            <w:shd w:val="clear" w:color="auto" w:fill="DEEAF6" w:themeFill="accent1" w:themeFillTint="33"/>
          </w:tcPr>
          <w:p w:rsidR="002B0C1F" w:rsidRPr="002751FC" w:rsidRDefault="002B0C1F" w:rsidP="00CF6BC2">
            <w:pPr>
              <w:pStyle w:val="a3"/>
              <w:ind w:firstLine="0"/>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124,4</w:t>
            </w:r>
          </w:p>
        </w:tc>
        <w:tc>
          <w:tcPr>
            <w:tcW w:w="1357" w:type="dxa"/>
            <w:shd w:val="clear" w:color="auto" w:fill="DEEAF6" w:themeFill="accent1" w:themeFillTint="33"/>
          </w:tcPr>
          <w:p w:rsidR="002B0C1F" w:rsidRPr="002751FC" w:rsidRDefault="002B0C1F" w:rsidP="00CF6BC2">
            <w:pPr>
              <w:pStyle w:val="a3"/>
              <w:ind w:firstLine="0"/>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42,1%</w:t>
            </w:r>
          </w:p>
        </w:tc>
        <w:tc>
          <w:tcPr>
            <w:tcW w:w="1276" w:type="dxa"/>
            <w:shd w:val="clear" w:color="auto" w:fill="DEEAF6" w:themeFill="accent1" w:themeFillTint="33"/>
          </w:tcPr>
          <w:p w:rsidR="002B0C1F" w:rsidRPr="002751FC" w:rsidRDefault="002B0C1F" w:rsidP="00CF6BC2">
            <w:pPr>
              <w:pStyle w:val="a3"/>
              <w:ind w:firstLine="0"/>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57,9%</w:t>
            </w:r>
          </w:p>
        </w:tc>
        <w:tc>
          <w:tcPr>
            <w:tcW w:w="1169" w:type="dxa"/>
            <w:shd w:val="clear" w:color="auto" w:fill="DEEAF6" w:themeFill="accent1" w:themeFillTint="33"/>
          </w:tcPr>
          <w:p w:rsidR="002B0C1F" w:rsidRPr="002751FC" w:rsidRDefault="002B0C1F" w:rsidP="00CF6BC2">
            <w:pPr>
              <w:pStyle w:val="a3"/>
              <w:ind w:firstLine="0"/>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13,0</w:t>
            </w:r>
          </w:p>
        </w:tc>
        <w:tc>
          <w:tcPr>
            <w:tcW w:w="960" w:type="dxa"/>
            <w:shd w:val="clear" w:color="auto" w:fill="DEEAF6" w:themeFill="accent1" w:themeFillTint="33"/>
          </w:tcPr>
          <w:p w:rsidR="002B0C1F" w:rsidRPr="002751FC" w:rsidRDefault="002B0C1F" w:rsidP="00CF6BC2">
            <w:pPr>
              <w:pStyle w:val="a3"/>
              <w:ind w:firstLine="0"/>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28,0</w:t>
            </w:r>
          </w:p>
        </w:tc>
      </w:tr>
    </w:tbl>
    <w:p w:rsidR="002B0C1F" w:rsidRPr="002751FC" w:rsidRDefault="002B0C1F" w:rsidP="00814F7D">
      <w:pPr>
        <w:pStyle w:val="a3"/>
        <w:ind w:firstLine="0"/>
        <w:rPr>
          <w:rFonts w:asciiTheme="majorHAnsi" w:eastAsia="Times New Roman" w:hAnsiTheme="majorHAnsi" w:cstheme="majorHAnsi"/>
          <w:sz w:val="16"/>
          <w:szCs w:val="16"/>
          <w:lang w:val="ro-MD"/>
        </w:rPr>
      </w:pPr>
      <w:r w:rsidRPr="002751FC">
        <w:rPr>
          <w:rFonts w:asciiTheme="majorHAnsi" w:eastAsia="Times New Roman" w:hAnsiTheme="majorHAnsi" w:cstheme="majorHAnsi"/>
          <w:b/>
          <w:sz w:val="16"/>
          <w:szCs w:val="16"/>
          <w:lang w:val="ro-MD"/>
        </w:rPr>
        <w:t>Sursa:</w:t>
      </w:r>
      <w:r w:rsidRPr="002751FC">
        <w:rPr>
          <w:rFonts w:asciiTheme="majorHAnsi" w:eastAsia="Times New Roman" w:hAnsiTheme="majorHAnsi" w:cstheme="majorHAnsi"/>
          <w:sz w:val="16"/>
          <w:szCs w:val="16"/>
          <w:lang w:val="ro-MD"/>
        </w:rPr>
        <w:t xml:space="preserve"> Datele ONVV.</w:t>
      </w:r>
    </w:p>
    <w:p w:rsidR="002B0C1F" w:rsidRPr="002751FC" w:rsidRDefault="002B0C1F" w:rsidP="00243401">
      <w:pPr>
        <w:pStyle w:val="a3"/>
        <w:rPr>
          <w:rFonts w:asciiTheme="majorHAnsi" w:eastAsia="Times New Roman" w:hAnsiTheme="majorHAnsi" w:cstheme="majorHAnsi"/>
          <w:sz w:val="28"/>
          <w:szCs w:val="28"/>
          <w:lang w:val="ro-MD"/>
        </w:rPr>
      </w:pPr>
    </w:p>
    <w:p w:rsidR="002B0C1F" w:rsidRPr="002751FC" w:rsidRDefault="002B0C1F" w:rsidP="00243401">
      <w:pPr>
        <w:pStyle w:val="a3"/>
        <w:ind w:firstLine="0"/>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lastRenderedPageBreak/>
        <w:t>Datele din Tabel denotă că, în perioada 2014-2018, au fost aprobate</w:t>
      </w:r>
      <w:r w:rsidR="00243401" w:rsidRPr="002751FC">
        <w:rPr>
          <w:rFonts w:asciiTheme="majorHAnsi" w:eastAsia="Times New Roman" w:hAnsiTheme="majorHAnsi" w:cstheme="majorHAnsi"/>
          <w:sz w:val="28"/>
          <w:szCs w:val="28"/>
          <w:lang w:val="ro-MD"/>
        </w:rPr>
        <w:t xml:space="preserve"> alocații suplimentare față de prevederile cadrului regulator </w:t>
      </w:r>
      <w:r w:rsidRPr="002751FC">
        <w:rPr>
          <w:rFonts w:asciiTheme="majorHAnsi" w:eastAsia="Times New Roman" w:hAnsiTheme="majorHAnsi" w:cstheme="majorHAnsi"/>
          <w:sz w:val="28"/>
          <w:szCs w:val="28"/>
          <w:lang w:val="ro-MD"/>
        </w:rPr>
        <w:t xml:space="preserve">cu circa 28,0 </w:t>
      </w:r>
      <w:proofErr w:type="spellStart"/>
      <w:r w:rsidRPr="002751FC">
        <w:rPr>
          <w:rFonts w:asciiTheme="majorHAnsi" w:eastAsia="Times New Roman" w:hAnsiTheme="majorHAnsi" w:cstheme="majorHAnsi"/>
          <w:sz w:val="28"/>
          <w:szCs w:val="28"/>
          <w:lang w:val="ro-MD"/>
        </w:rPr>
        <w:t>mil.MDL</w:t>
      </w:r>
      <w:proofErr w:type="spellEnd"/>
      <w:r w:rsidRPr="002751FC">
        <w:rPr>
          <w:rFonts w:asciiTheme="majorHAnsi" w:eastAsia="Times New Roman" w:hAnsiTheme="majorHAnsi" w:cstheme="majorHAnsi"/>
          <w:sz w:val="28"/>
          <w:szCs w:val="28"/>
          <w:lang w:val="ro-MD"/>
        </w:rPr>
        <w:t xml:space="preserve">, </w:t>
      </w:r>
      <w:r w:rsidR="00243401" w:rsidRPr="002751FC">
        <w:rPr>
          <w:rFonts w:asciiTheme="majorHAnsi" w:eastAsia="Times New Roman" w:hAnsiTheme="majorHAnsi" w:cstheme="majorHAnsi"/>
          <w:sz w:val="28"/>
          <w:szCs w:val="28"/>
          <w:lang w:val="ro-MD"/>
        </w:rPr>
        <w:t>depășirile</w:t>
      </w:r>
      <w:r w:rsidRPr="002751FC">
        <w:rPr>
          <w:rFonts w:asciiTheme="majorHAnsi" w:eastAsia="Times New Roman" w:hAnsiTheme="majorHAnsi" w:cstheme="majorHAnsi"/>
          <w:sz w:val="28"/>
          <w:szCs w:val="28"/>
          <w:lang w:val="ro-MD"/>
        </w:rPr>
        <w:t xml:space="preserve"> constituind de la 1,0 </w:t>
      </w:r>
      <w:proofErr w:type="spellStart"/>
      <w:r w:rsidRPr="002751FC">
        <w:rPr>
          <w:rFonts w:asciiTheme="majorHAnsi" w:eastAsia="Times New Roman" w:hAnsiTheme="majorHAnsi" w:cstheme="majorHAnsi"/>
          <w:sz w:val="28"/>
          <w:szCs w:val="28"/>
          <w:lang w:val="ro-MD"/>
        </w:rPr>
        <w:t>mil.MDL</w:t>
      </w:r>
      <w:proofErr w:type="spellEnd"/>
      <w:r w:rsidRPr="002751FC">
        <w:rPr>
          <w:rFonts w:asciiTheme="majorHAnsi" w:eastAsia="Times New Roman" w:hAnsiTheme="majorHAnsi" w:cstheme="majorHAnsi"/>
          <w:sz w:val="28"/>
          <w:szCs w:val="28"/>
          <w:lang w:val="ro-MD"/>
        </w:rPr>
        <w:t xml:space="preserve"> în anul 2016 până la 11,8 </w:t>
      </w:r>
      <w:proofErr w:type="spellStart"/>
      <w:r w:rsidRPr="002751FC">
        <w:rPr>
          <w:rFonts w:asciiTheme="majorHAnsi" w:eastAsia="Times New Roman" w:hAnsiTheme="majorHAnsi" w:cstheme="majorHAnsi"/>
          <w:sz w:val="28"/>
          <w:szCs w:val="28"/>
          <w:lang w:val="ro-MD"/>
        </w:rPr>
        <w:t>mil.MDL</w:t>
      </w:r>
      <w:proofErr w:type="spellEnd"/>
      <w:r w:rsidRPr="002751FC">
        <w:rPr>
          <w:rFonts w:asciiTheme="majorHAnsi" w:eastAsia="Times New Roman" w:hAnsiTheme="majorHAnsi" w:cstheme="majorHAnsi"/>
          <w:sz w:val="28"/>
          <w:szCs w:val="28"/>
          <w:lang w:val="ro-MD"/>
        </w:rPr>
        <w:t xml:space="preserve"> în an</w:t>
      </w:r>
      <w:r w:rsidR="00D6675A" w:rsidRPr="002751FC">
        <w:rPr>
          <w:rFonts w:asciiTheme="majorHAnsi" w:eastAsia="Times New Roman" w:hAnsiTheme="majorHAnsi" w:cstheme="majorHAnsi"/>
          <w:sz w:val="28"/>
          <w:szCs w:val="28"/>
          <w:lang w:val="ro-MD"/>
        </w:rPr>
        <w:t>ii</w:t>
      </w:r>
      <w:r w:rsidR="005E0EE6" w:rsidRPr="002751FC">
        <w:rPr>
          <w:rFonts w:asciiTheme="majorHAnsi" w:eastAsia="Times New Roman" w:hAnsiTheme="majorHAnsi" w:cstheme="majorHAnsi"/>
          <w:sz w:val="28"/>
          <w:szCs w:val="28"/>
          <w:lang w:val="ro-MD"/>
        </w:rPr>
        <w:t xml:space="preserve"> 2018 și </w:t>
      </w:r>
      <w:r w:rsidRPr="002751FC">
        <w:rPr>
          <w:rFonts w:asciiTheme="majorHAnsi" w:eastAsia="Times New Roman" w:hAnsiTheme="majorHAnsi" w:cstheme="majorHAnsi"/>
          <w:sz w:val="28"/>
          <w:szCs w:val="28"/>
          <w:lang w:val="ro-MD"/>
        </w:rPr>
        <w:t>2017.</w:t>
      </w:r>
    </w:p>
    <w:p w:rsidR="002B0C1F" w:rsidRPr="002751FC" w:rsidRDefault="002B0C1F" w:rsidP="00243401">
      <w:pPr>
        <w:pStyle w:val="a3"/>
        <w:ind w:firstLine="0"/>
        <w:rPr>
          <w:rFonts w:asciiTheme="majorHAnsi" w:eastAsia="Times New Roman" w:hAnsiTheme="majorHAnsi" w:cstheme="majorHAnsi"/>
          <w:sz w:val="28"/>
          <w:szCs w:val="28"/>
          <w:lang w:val="ro-MD"/>
        </w:rPr>
      </w:pPr>
    </w:p>
    <w:p w:rsidR="002B0C1F" w:rsidRPr="007628E2" w:rsidRDefault="002B0C1F" w:rsidP="00243401">
      <w:pPr>
        <w:pStyle w:val="a3"/>
        <w:ind w:firstLine="0"/>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Compar</w:t>
      </w:r>
      <w:r w:rsidR="00243401" w:rsidRPr="002751FC">
        <w:rPr>
          <w:rFonts w:asciiTheme="majorHAnsi" w:eastAsia="Times New Roman" w:hAnsiTheme="majorHAnsi" w:cstheme="majorHAnsi"/>
          <w:sz w:val="28"/>
          <w:szCs w:val="28"/>
          <w:lang w:val="ro-MD"/>
        </w:rPr>
        <w:t>ân</w:t>
      </w:r>
      <w:r w:rsidRPr="002751FC">
        <w:rPr>
          <w:rFonts w:asciiTheme="majorHAnsi" w:eastAsia="Times New Roman" w:hAnsiTheme="majorHAnsi" w:cstheme="majorHAnsi"/>
          <w:sz w:val="28"/>
          <w:szCs w:val="28"/>
          <w:lang w:val="ro-MD"/>
        </w:rPr>
        <w:t xml:space="preserve">d finanțările </w:t>
      </w:r>
      <w:r w:rsidRPr="007628E2">
        <w:rPr>
          <w:rFonts w:asciiTheme="majorHAnsi" w:eastAsia="Times New Roman" w:hAnsiTheme="majorHAnsi" w:cstheme="majorHAnsi"/>
          <w:sz w:val="28"/>
          <w:szCs w:val="28"/>
          <w:lang w:val="ro-MD"/>
        </w:rPr>
        <w:t xml:space="preserve">efectuate de la BS cu planurile precizate aferente contribuțiilor în FVV, s-a constatat că </w:t>
      </w:r>
      <w:r w:rsidR="00243401" w:rsidRPr="007628E2">
        <w:rPr>
          <w:rFonts w:asciiTheme="majorHAnsi" w:eastAsia="Times New Roman" w:hAnsiTheme="majorHAnsi" w:cstheme="majorHAnsi"/>
          <w:sz w:val="28"/>
          <w:szCs w:val="28"/>
          <w:lang w:val="ro-MD"/>
        </w:rPr>
        <w:t>BS</w:t>
      </w:r>
      <w:r w:rsidRPr="007628E2">
        <w:rPr>
          <w:rFonts w:asciiTheme="majorHAnsi" w:eastAsia="Times New Roman" w:hAnsiTheme="majorHAnsi" w:cstheme="majorHAnsi"/>
          <w:sz w:val="28"/>
          <w:szCs w:val="28"/>
          <w:lang w:val="ro-MD"/>
        </w:rPr>
        <w:t xml:space="preserve"> a suportat cheltuieli suplimentare doar în anii 2017-2018</w:t>
      </w:r>
      <w:r w:rsidR="003F4105" w:rsidRPr="007628E2">
        <w:rPr>
          <w:rFonts w:asciiTheme="majorHAnsi" w:eastAsia="Times New Roman" w:hAnsiTheme="majorHAnsi" w:cstheme="majorHAnsi"/>
          <w:sz w:val="28"/>
          <w:szCs w:val="28"/>
          <w:lang w:val="ro-MD"/>
        </w:rPr>
        <w:t>,</w:t>
      </w:r>
      <w:r w:rsidRPr="007628E2">
        <w:rPr>
          <w:rFonts w:asciiTheme="majorHAnsi" w:eastAsia="Times New Roman" w:hAnsiTheme="majorHAnsi" w:cstheme="majorHAnsi"/>
          <w:sz w:val="28"/>
          <w:szCs w:val="28"/>
          <w:lang w:val="ro-MD"/>
        </w:rPr>
        <w:t xml:space="preserve"> în sumă totală de 16,3 </w:t>
      </w:r>
      <w:proofErr w:type="spellStart"/>
      <w:r w:rsidRPr="007628E2">
        <w:rPr>
          <w:rFonts w:asciiTheme="majorHAnsi" w:eastAsia="Times New Roman" w:hAnsiTheme="majorHAnsi" w:cstheme="majorHAnsi"/>
          <w:sz w:val="28"/>
          <w:szCs w:val="28"/>
          <w:lang w:val="ro-MD"/>
        </w:rPr>
        <w:t>mil.MDL</w:t>
      </w:r>
      <w:proofErr w:type="spellEnd"/>
      <w:r w:rsidRPr="007628E2">
        <w:rPr>
          <w:rStyle w:val="ab"/>
          <w:rFonts w:asciiTheme="majorHAnsi" w:hAnsiTheme="majorHAnsi" w:cstheme="majorHAnsi"/>
          <w:sz w:val="28"/>
          <w:szCs w:val="28"/>
          <w:lang w:val="ro-MD"/>
        </w:rPr>
        <w:footnoteReference w:id="14"/>
      </w:r>
      <w:r w:rsidRPr="007628E2">
        <w:rPr>
          <w:rFonts w:asciiTheme="majorHAnsi" w:eastAsia="Times New Roman" w:hAnsiTheme="majorHAnsi" w:cstheme="majorHAnsi"/>
          <w:sz w:val="28"/>
          <w:szCs w:val="28"/>
          <w:lang w:val="ro-MD"/>
        </w:rPr>
        <w:t>.</w:t>
      </w:r>
    </w:p>
    <w:p w:rsidR="002B0C1F" w:rsidRPr="007628E2" w:rsidRDefault="002B0C1F" w:rsidP="00243401">
      <w:pPr>
        <w:pStyle w:val="a3"/>
        <w:ind w:firstLine="0"/>
        <w:rPr>
          <w:rFonts w:asciiTheme="majorHAnsi" w:eastAsia="Times New Roman" w:hAnsiTheme="majorHAnsi" w:cstheme="majorHAnsi"/>
          <w:sz w:val="28"/>
          <w:szCs w:val="28"/>
          <w:lang w:val="ro-MD"/>
        </w:rPr>
      </w:pPr>
    </w:p>
    <w:p w:rsidR="002B0C1F" w:rsidRPr="007628E2" w:rsidRDefault="002B0C1F" w:rsidP="00243401">
      <w:pPr>
        <w:pStyle w:val="a3"/>
        <w:ind w:firstLine="0"/>
        <w:rPr>
          <w:rFonts w:asciiTheme="majorHAnsi" w:eastAsia="Times New Roman" w:hAnsiTheme="majorHAnsi" w:cstheme="majorHAnsi"/>
          <w:sz w:val="28"/>
          <w:szCs w:val="28"/>
          <w:lang w:val="ro-MD"/>
        </w:rPr>
      </w:pPr>
      <w:r w:rsidRPr="007628E2">
        <w:rPr>
          <w:rFonts w:asciiTheme="majorHAnsi" w:eastAsia="Times New Roman" w:hAnsiTheme="majorHAnsi" w:cstheme="majorHAnsi"/>
          <w:sz w:val="28"/>
          <w:szCs w:val="28"/>
          <w:lang w:val="ro-MD"/>
        </w:rPr>
        <w:t>Totodată, partea de venituri aferentă indicatorului „Mijloace alocate din bugetul de stat”</w:t>
      </w:r>
      <w:r w:rsidR="00E21E7B" w:rsidRPr="007628E2">
        <w:rPr>
          <w:rFonts w:asciiTheme="majorHAnsi" w:eastAsia="Times New Roman" w:hAnsiTheme="majorHAnsi" w:cstheme="majorHAnsi"/>
          <w:sz w:val="28"/>
          <w:szCs w:val="28"/>
          <w:lang w:val="ro-MD"/>
        </w:rPr>
        <w:t>,</w:t>
      </w:r>
      <w:r w:rsidRPr="007628E2">
        <w:rPr>
          <w:rFonts w:asciiTheme="majorHAnsi" w:eastAsia="Times New Roman" w:hAnsiTheme="majorHAnsi" w:cstheme="majorHAnsi"/>
          <w:sz w:val="28"/>
          <w:szCs w:val="28"/>
          <w:lang w:val="ro-MD"/>
        </w:rPr>
        <w:t xml:space="preserve"> aprobată prin Legea bugetului de stat pentru anul 2018 (28,8 </w:t>
      </w:r>
      <w:proofErr w:type="spellStart"/>
      <w:r w:rsidRPr="007628E2">
        <w:rPr>
          <w:rFonts w:asciiTheme="majorHAnsi" w:eastAsia="Times New Roman" w:hAnsiTheme="majorHAnsi" w:cstheme="majorHAnsi"/>
          <w:sz w:val="28"/>
          <w:szCs w:val="28"/>
          <w:lang w:val="ro-MD"/>
        </w:rPr>
        <w:t>mil.MDL</w:t>
      </w:r>
      <w:proofErr w:type="spellEnd"/>
      <w:r w:rsidRPr="007628E2">
        <w:rPr>
          <w:rFonts w:asciiTheme="majorHAnsi" w:eastAsia="Times New Roman" w:hAnsiTheme="majorHAnsi" w:cstheme="majorHAnsi"/>
          <w:sz w:val="28"/>
          <w:szCs w:val="28"/>
          <w:lang w:val="ro-MD"/>
        </w:rPr>
        <w:t xml:space="preserve">), la </w:t>
      </w:r>
      <w:r w:rsidR="00243401" w:rsidRPr="007628E2">
        <w:rPr>
          <w:rFonts w:asciiTheme="majorHAnsi" w:eastAsia="Times New Roman" w:hAnsiTheme="majorHAnsi" w:cstheme="majorHAnsi"/>
          <w:sz w:val="28"/>
          <w:szCs w:val="28"/>
          <w:lang w:val="ro-MD"/>
        </w:rPr>
        <w:t>a</w:t>
      </w:r>
      <w:r w:rsidR="0092767C" w:rsidRPr="007628E2">
        <w:rPr>
          <w:rFonts w:asciiTheme="majorHAnsi" w:eastAsia="Times New Roman" w:hAnsiTheme="majorHAnsi" w:cstheme="majorHAnsi"/>
          <w:sz w:val="28"/>
          <w:szCs w:val="28"/>
          <w:lang w:val="ro-MD"/>
        </w:rPr>
        <w:t xml:space="preserve">probarea bugetului FVV </w:t>
      </w:r>
      <w:r w:rsidRPr="007628E2">
        <w:rPr>
          <w:rFonts w:asciiTheme="majorHAnsi" w:eastAsia="Times New Roman" w:hAnsiTheme="majorHAnsi" w:cstheme="majorHAnsi"/>
          <w:sz w:val="28"/>
          <w:szCs w:val="28"/>
          <w:lang w:val="ro-MD"/>
        </w:rPr>
        <w:t>a fost diminuată d</w:t>
      </w:r>
      <w:r w:rsidR="0092767C" w:rsidRPr="007628E2">
        <w:rPr>
          <w:rFonts w:asciiTheme="majorHAnsi" w:eastAsia="Times New Roman" w:hAnsiTheme="majorHAnsi" w:cstheme="majorHAnsi"/>
          <w:sz w:val="28"/>
          <w:szCs w:val="28"/>
          <w:lang w:val="ro-MD"/>
        </w:rPr>
        <w:t xml:space="preserve">e </w:t>
      </w:r>
      <w:r w:rsidRPr="007628E2">
        <w:rPr>
          <w:rFonts w:asciiTheme="majorHAnsi" w:eastAsia="Times New Roman" w:hAnsiTheme="majorHAnsi" w:cstheme="majorHAnsi"/>
          <w:sz w:val="28"/>
          <w:szCs w:val="28"/>
          <w:lang w:val="ro-MD"/>
        </w:rPr>
        <w:t>CC</w:t>
      </w:r>
      <w:r w:rsidRPr="00952CA5">
        <w:rPr>
          <w:rStyle w:val="ab"/>
          <w:rFonts w:asciiTheme="majorHAnsi" w:hAnsiTheme="majorHAnsi" w:cstheme="majorHAnsi"/>
          <w:sz w:val="28"/>
          <w:szCs w:val="28"/>
          <w:lang w:val="ro-MD"/>
        </w:rPr>
        <w:footnoteReference w:id="15"/>
      </w:r>
      <w:r w:rsidRPr="007628E2">
        <w:rPr>
          <w:rFonts w:asciiTheme="majorHAnsi" w:eastAsia="Times New Roman" w:hAnsiTheme="majorHAnsi" w:cstheme="majorHAnsi"/>
          <w:sz w:val="28"/>
          <w:szCs w:val="28"/>
          <w:lang w:val="ro-MD"/>
        </w:rPr>
        <w:t xml:space="preserve"> cu 7,1 </w:t>
      </w:r>
      <w:proofErr w:type="spellStart"/>
      <w:r w:rsidRPr="007628E2">
        <w:rPr>
          <w:rFonts w:asciiTheme="majorHAnsi" w:eastAsia="Times New Roman" w:hAnsiTheme="majorHAnsi" w:cstheme="majorHAnsi"/>
          <w:sz w:val="28"/>
          <w:szCs w:val="28"/>
          <w:lang w:val="ro-MD"/>
        </w:rPr>
        <w:t>mil.MDL</w:t>
      </w:r>
      <w:proofErr w:type="spellEnd"/>
      <w:r w:rsidRPr="007628E2">
        <w:rPr>
          <w:rFonts w:asciiTheme="majorHAnsi" w:eastAsia="Times New Roman" w:hAnsiTheme="majorHAnsi" w:cstheme="majorHAnsi"/>
          <w:sz w:val="28"/>
          <w:szCs w:val="28"/>
          <w:lang w:val="ro-MD"/>
        </w:rPr>
        <w:t xml:space="preserve">, astfel totalul veniturilor aprobate de CC fiind diminuat per total cu </w:t>
      </w:r>
      <w:r w:rsidR="00DA0B85" w:rsidRPr="007628E2">
        <w:rPr>
          <w:rFonts w:asciiTheme="majorHAnsi" w:eastAsia="Times New Roman" w:hAnsiTheme="majorHAnsi" w:cstheme="majorHAnsi"/>
          <w:sz w:val="28"/>
          <w:szCs w:val="28"/>
          <w:lang w:val="ro-MD"/>
        </w:rPr>
        <w:t>ace</w:t>
      </w:r>
      <w:r w:rsidR="0085655F" w:rsidRPr="007628E2">
        <w:rPr>
          <w:rFonts w:asciiTheme="majorHAnsi" w:eastAsia="Times New Roman" w:hAnsiTheme="majorHAnsi" w:cstheme="majorHAnsi"/>
          <w:sz w:val="28"/>
          <w:szCs w:val="28"/>
          <w:lang w:val="ro-MD"/>
        </w:rPr>
        <w:t>e</w:t>
      </w:r>
      <w:r w:rsidR="00DA0B85" w:rsidRPr="007628E2">
        <w:rPr>
          <w:rFonts w:asciiTheme="majorHAnsi" w:eastAsia="Times New Roman" w:hAnsiTheme="majorHAnsi" w:cstheme="majorHAnsi"/>
          <w:sz w:val="28"/>
          <w:szCs w:val="28"/>
          <w:lang w:val="ro-MD"/>
        </w:rPr>
        <w:t>ași</w:t>
      </w:r>
      <w:r w:rsidRPr="007628E2">
        <w:rPr>
          <w:rFonts w:asciiTheme="majorHAnsi" w:eastAsia="Times New Roman" w:hAnsiTheme="majorHAnsi" w:cstheme="majorHAnsi"/>
          <w:sz w:val="28"/>
          <w:szCs w:val="28"/>
          <w:lang w:val="ro-MD"/>
        </w:rPr>
        <w:t xml:space="preserve"> sumă.</w:t>
      </w:r>
      <w:r w:rsidR="00DA0B85" w:rsidRPr="007628E2">
        <w:rPr>
          <w:rFonts w:asciiTheme="majorHAnsi" w:eastAsia="Times New Roman" w:hAnsiTheme="majorHAnsi" w:cstheme="majorHAnsi"/>
          <w:sz w:val="28"/>
          <w:szCs w:val="28"/>
          <w:lang w:val="ro-MD"/>
        </w:rPr>
        <w:t xml:space="preserve"> </w:t>
      </w:r>
      <w:r w:rsidR="003F4105" w:rsidRPr="007628E2">
        <w:rPr>
          <w:rFonts w:asciiTheme="majorHAnsi" w:eastAsia="Times New Roman" w:hAnsiTheme="majorHAnsi" w:cstheme="majorHAnsi"/>
          <w:sz w:val="28"/>
          <w:szCs w:val="28"/>
          <w:lang w:val="ro-MD"/>
        </w:rPr>
        <w:t>O s</w:t>
      </w:r>
      <w:r w:rsidRPr="007628E2">
        <w:rPr>
          <w:rFonts w:asciiTheme="majorHAnsi" w:eastAsia="Times New Roman" w:hAnsiTheme="majorHAnsi" w:cstheme="majorHAnsi"/>
          <w:sz w:val="28"/>
          <w:szCs w:val="28"/>
          <w:lang w:val="ro-MD"/>
        </w:rPr>
        <w:t>ituație similară s</w:t>
      </w:r>
      <w:r w:rsidR="003F4105" w:rsidRPr="007628E2">
        <w:rPr>
          <w:rFonts w:asciiTheme="majorHAnsi" w:eastAsia="Times New Roman" w:hAnsiTheme="majorHAnsi" w:cstheme="majorHAnsi"/>
          <w:sz w:val="28"/>
          <w:szCs w:val="28"/>
          <w:lang w:val="ro-MD"/>
        </w:rPr>
        <w:t>-a</w:t>
      </w:r>
      <w:r w:rsidRPr="007628E2">
        <w:rPr>
          <w:rFonts w:asciiTheme="majorHAnsi" w:eastAsia="Times New Roman" w:hAnsiTheme="majorHAnsi" w:cstheme="majorHAnsi"/>
          <w:sz w:val="28"/>
          <w:szCs w:val="28"/>
          <w:lang w:val="ro-MD"/>
        </w:rPr>
        <w:t xml:space="preserve"> atesta</w:t>
      </w:r>
      <w:r w:rsidR="003F4105" w:rsidRPr="007628E2">
        <w:rPr>
          <w:rFonts w:asciiTheme="majorHAnsi" w:eastAsia="Times New Roman" w:hAnsiTheme="majorHAnsi" w:cstheme="majorHAnsi"/>
          <w:sz w:val="28"/>
          <w:szCs w:val="28"/>
          <w:lang w:val="ro-MD"/>
        </w:rPr>
        <w:t>t</w:t>
      </w:r>
      <w:r w:rsidRPr="007628E2">
        <w:rPr>
          <w:rFonts w:asciiTheme="majorHAnsi" w:eastAsia="Times New Roman" w:hAnsiTheme="majorHAnsi" w:cstheme="majorHAnsi"/>
          <w:sz w:val="28"/>
          <w:szCs w:val="28"/>
          <w:lang w:val="ro-MD"/>
        </w:rPr>
        <w:t xml:space="preserve"> și în an</w:t>
      </w:r>
      <w:r w:rsidR="003F4105" w:rsidRPr="007628E2">
        <w:rPr>
          <w:rFonts w:asciiTheme="majorHAnsi" w:eastAsia="Times New Roman" w:hAnsiTheme="majorHAnsi" w:cstheme="majorHAnsi"/>
          <w:sz w:val="28"/>
          <w:szCs w:val="28"/>
          <w:lang w:val="ro-MD"/>
        </w:rPr>
        <w:t>ii</w:t>
      </w:r>
      <w:r w:rsidRPr="007628E2">
        <w:rPr>
          <w:rFonts w:asciiTheme="majorHAnsi" w:eastAsia="Times New Roman" w:hAnsiTheme="majorHAnsi" w:cstheme="majorHAnsi"/>
          <w:sz w:val="28"/>
          <w:szCs w:val="28"/>
          <w:lang w:val="ro-MD"/>
        </w:rPr>
        <w:t xml:space="preserve"> 2014, 2016 și 2017</w:t>
      </w:r>
      <w:r w:rsidR="003F4105" w:rsidRPr="007628E2">
        <w:rPr>
          <w:rFonts w:asciiTheme="majorHAnsi" w:eastAsia="Times New Roman" w:hAnsiTheme="majorHAnsi" w:cstheme="majorHAnsi"/>
          <w:sz w:val="28"/>
          <w:szCs w:val="28"/>
          <w:lang w:val="ro-MD"/>
        </w:rPr>
        <w:t>,</w:t>
      </w:r>
      <w:r w:rsidR="00DA0B85" w:rsidRPr="007628E2">
        <w:rPr>
          <w:rFonts w:asciiTheme="majorHAnsi" w:eastAsia="Times New Roman" w:hAnsiTheme="majorHAnsi" w:cstheme="majorHAnsi"/>
          <w:sz w:val="28"/>
          <w:szCs w:val="28"/>
          <w:lang w:val="ro-MD"/>
        </w:rPr>
        <w:t xml:space="preserve"> partea </w:t>
      </w:r>
      <w:r w:rsidRPr="007628E2">
        <w:rPr>
          <w:rFonts w:asciiTheme="majorHAnsi" w:eastAsia="Times New Roman" w:hAnsiTheme="majorHAnsi" w:cstheme="majorHAnsi"/>
          <w:sz w:val="28"/>
          <w:szCs w:val="28"/>
          <w:lang w:val="ro-MD"/>
        </w:rPr>
        <w:t xml:space="preserve">de venituri fiind diminuată cu 5,5 </w:t>
      </w:r>
      <w:proofErr w:type="spellStart"/>
      <w:r w:rsidRPr="007628E2">
        <w:rPr>
          <w:rFonts w:asciiTheme="majorHAnsi" w:eastAsia="Times New Roman" w:hAnsiTheme="majorHAnsi" w:cstheme="majorHAnsi"/>
          <w:sz w:val="28"/>
          <w:szCs w:val="28"/>
          <w:lang w:val="ro-MD"/>
        </w:rPr>
        <w:t>mil.MDL</w:t>
      </w:r>
      <w:proofErr w:type="spellEnd"/>
      <w:r w:rsidRPr="00952CA5">
        <w:rPr>
          <w:rStyle w:val="ab"/>
          <w:rFonts w:asciiTheme="majorHAnsi" w:hAnsiTheme="majorHAnsi" w:cstheme="majorHAnsi"/>
          <w:sz w:val="28"/>
          <w:szCs w:val="28"/>
          <w:lang w:val="ro-MD"/>
        </w:rPr>
        <w:footnoteReference w:id="16"/>
      </w:r>
      <w:r w:rsidRPr="007628E2">
        <w:rPr>
          <w:rFonts w:asciiTheme="majorHAnsi" w:eastAsia="Times New Roman" w:hAnsiTheme="majorHAnsi" w:cstheme="majorHAnsi"/>
          <w:sz w:val="28"/>
          <w:szCs w:val="28"/>
          <w:lang w:val="ro-MD"/>
        </w:rPr>
        <w:t xml:space="preserve">, 7,0 </w:t>
      </w:r>
      <w:proofErr w:type="spellStart"/>
      <w:r w:rsidRPr="007628E2">
        <w:rPr>
          <w:rFonts w:asciiTheme="majorHAnsi" w:eastAsia="Times New Roman" w:hAnsiTheme="majorHAnsi" w:cstheme="majorHAnsi"/>
          <w:sz w:val="28"/>
          <w:szCs w:val="28"/>
          <w:lang w:val="ro-MD"/>
        </w:rPr>
        <w:t>mil.MDL</w:t>
      </w:r>
      <w:proofErr w:type="spellEnd"/>
      <w:r w:rsidRPr="00952CA5">
        <w:rPr>
          <w:rStyle w:val="ab"/>
          <w:rFonts w:asciiTheme="majorHAnsi" w:hAnsiTheme="majorHAnsi" w:cstheme="majorHAnsi"/>
          <w:sz w:val="28"/>
          <w:szCs w:val="28"/>
          <w:lang w:val="ro-MD"/>
        </w:rPr>
        <w:footnoteReference w:id="17"/>
      </w:r>
      <w:r w:rsidRPr="007628E2">
        <w:rPr>
          <w:rFonts w:asciiTheme="majorHAnsi" w:eastAsia="Times New Roman" w:hAnsiTheme="majorHAnsi" w:cstheme="majorHAnsi"/>
          <w:sz w:val="28"/>
          <w:szCs w:val="28"/>
          <w:lang w:val="ro-MD"/>
        </w:rPr>
        <w:t xml:space="preserve"> și</w:t>
      </w:r>
      <w:r w:rsidR="003F4105" w:rsidRPr="007628E2">
        <w:rPr>
          <w:rFonts w:asciiTheme="majorHAnsi" w:eastAsia="Times New Roman" w:hAnsiTheme="majorHAnsi" w:cstheme="majorHAnsi"/>
          <w:sz w:val="28"/>
          <w:szCs w:val="28"/>
          <w:lang w:val="ro-MD"/>
        </w:rPr>
        <w:t>,</w:t>
      </w:r>
      <w:r w:rsidRPr="007628E2">
        <w:rPr>
          <w:rFonts w:asciiTheme="majorHAnsi" w:eastAsia="Times New Roman" w:hAnsiTheme="majorHAnsi" w:cstheme="majorHAnsi"/>
          <w:sz w:val="28"/>
          <w:szCs w:val="28"/>
          <w:lang w:val="ro-MD"/>
        </w:rPr>
        <w:t xml:space="preserve"> respectiv</w:t>
      </w:r>
      <w:r w:rsidR="003F4105" w:rsidRPr="007628E2">
        <w:rPr>
          <w:rFonts w:asciiTheme="majorHAnsi" w:eastAsia="Times New Roman" w:hAnsiTheme="majorHAnsi" w:cstheme="majorHAnsi"/>
          <w:sz w:val="28"/>
          <w:szCs w:val="28"/>
          <w:lang w:val="ro-MD"/>
        </w:rPr>
        <w:t>,</w:t>
      </w:r>
      <w:r w:rsidRPr="007628E2">
        <w:rPr>
          <w:rFonts w:asciiTheme="majorHAnsi" w:eastAsia="Times New Roman" w:hAnsiTheme="majorHAnsi" w:cstheme="majorHAnsi"/>
          <w:sz w:val="28"/>
          <w:szCs w:val="28"/>
          <w:lang w:val="ro-MD"/>
        </w:rPr>
        <w:t xml:space="preserve"> cu 3,4 </w:t>
      </w:r>
      <w:proofErr w:type="spellStart"/>
      <w:r w:rsidRPr="007628E2">
        <w:rPr>
          <w:rFonts w:asciiTheme="majorHAnsi" w:eastAsia="Times New Roman" w:hAnsiTheme="majorHAnsi" w:cstheme="majorHAnsi"/>
          <w:sz w:val="28"/>
          <w:szCs w:val="28"/>
          <w:lang w:val="ro-MD"/>
        </w:rPr>
        <w:t>mil.MDL</w:t>
      </w:r>
      <w:proofErr w:type="spellEnd"/>
      <w:r w:rsidRPr="00952CA5">
        <w:rPr>
          <w:rStyle w:val="ab"/>
          <w:rFonts w:asciiTheme="majorHAnsi" w:hAnsiTheme="majorHAnsi" w:cstheme="majorHAnsi"/>
          <w:sz w:val="28"/>
          <w:szCs w:val="28"/>
          <w:lang w:val="ro-MD"/>
        </w:rPr>
        <w:footnoteReference w:id="18"/>
      </w:r>
      <w:r w:rsidRPr="007628E2">
        <w:rPr>
          <w:rFonts w:asciiTheme="majorHAnsi" w:eastAsia="Times New Roman" w:hAnsiTheme="majorHAnsi" w:cstheme="majorHAnsi"/>
          <w:sz w:val="28"/>
          <w:szCs w:val="28"/>
          <w:lang w:val="ro-MD"/>
        </w:rPr>
        <w:t>.</w:t>
      </w:r>
    </w:p>
    <w:p w:rsidR="002B0C1F" w:rsidRPr="007628E2" w:rsidRDefault="002B0C1F" w:rsidP="00243401">
      <w:pPr>
        <w:pStyle w:val="a3"/>
        <w:rPr>
          <w:rFonts w:asciiTheme="majorHAnsi" w:eastAsia="Times New Roman" w:hAnsiTheme="majorHAnsi" w:cstheme="majorHAnsi"/>
          <w:sz w:val="28"/>
          <w:szCs w:val="28"/>
          <w:lang w:val="ro-MD"/>
        </w:rPr>
      </w:pPr>
    </w:p>
    <w:p w:rsidR="002B0C1F" w:rsidRPr="007628E2" w:rsidRDefault="002B0C1F" w:rsidP="00243401">
      <w:pPr>
        <w:pStyle w:val="a3"/>
        <w:ind w:firstLine="0"/>
        <w:outlineLvl w:val="0"/>
        <w:rPr>
          <w:rFonts w:asciiTheme="majorHAnsi" w:eastAsia="Times New Roman" w:hAnsiTheme="majorHAnsi" w:cstheme="majorHAnsi"/>
          <w:b/>
          <w:sz w:val="28"/>
          <w:szCs w:val="28"/>
          <w:lang w:val="ro-MD"/>
        </w:rPr>
      </w:pPr>
      <w:bookmarkStart w:id="28" w:name="_Toc23259092"/>
      <w:r w:rsidRPr="007628E2">
        <w:rPr>
          <w:rFonts w:asciiTheme="majorHAnsi" w:eastAsia="Times New Roman" w:hAnsiTheme="majorHAnsi" w:cstheme="majorHAnsi"/>
          <w:b/>
          <w:sz w:val="28"/>
          <w:szCs w:val="28"/>
          <w:lang w:val="ro-MD"/>
        </w:rPr>
        <w:t>4.1.2.</w:t>
      </w:r>
      <w:r w:rsidRPr="007628E2">
        <w:rPr>
          <w:rFonts w:asciiTheme="majorHAnsi" w:eastAsia="Times New Roman" w:hAnsiTheme="majorHAnsi" w:cstheme="majorHAnsi"/>
          <w:sz w:val="28"/>
          <w:szCs w:val="28"/>
          <w:lang w:val="ro-MD"/>
        </w:rPr>
        <w:t xml:space="preserve"> </w:t>
      </w:r>
      <w:r w:rsidRPr="007628E2">
        <w:rPr>
          <w:rFonts w:asciiTheme="majorHAnsi" w:eastAsia="Times New Roman" w:hAnsiTheme="majorHAnsi" w:cstheme="majorHAnsi"/>
          <w:b/>
          <w:sz w:val="28"/>
          <w:szCs w:val="28"/>
          <w:lang w:val="ro-MD"/>
        </w:rPr>
        <w:t xml:space="preserve">Alocarea mijloacelor financiare de la bugetul de stat se </w:t>
      </w:r>
      <w:r w:rsidR="00DA0B85" w:rsidRPr="007628E2">
        <w:rPr>
          <w:rFonts w:asciiTheme="majorHAnsi" w:eastAsia="Times New Roman" w:hAnsiTheme="majorHAnsi" w:cstheme="majorHAnsi"/>
          <w:b/>
          <w:sz w:val="28"/>
          <w:szCs w:val="28"/>
          <w:lang w:val="ro-MD"/>
        </w:rPr>
        <w:t>efectuează</w:t>
      </w:r>
      <w:r w:rsidRPr="007628E2">
        <w:rPr>
          <w:rFonts w:asciiTheme="majorHAnsi" w:eastAsia="Times New Roman" w:hAnsiTheme="majorHAnsi" w:cstheme="majorHAnsi"/>
          <w:b/>
          <w:sz w:val="28"/>
          <w:szCs w:val="28"/>
          <w:lang w:val="ro-MD"/>
        </w:rPr>
        <w:t xml:space="preserve"> cu nerespectarea cadrului regulator</w:t>
      </w:r>
      <w:bookmarkEnd w:id="28"/>
    </w:p>
    <w:p w:rsidR="002B0C1F" w:rsidRPr="002751FC" w:rsidRDefault="002B0C1F" w:rsidP="00243401">
      <w:pPr>
        <w:pStyle w:val="a3"/>
        <w:rPr>
          <w:rFonts w:asciiTheme="majorHAnsi" w:eastAsia="Times New Roman" w:hAnsiTheme="majorHAnsi" w:cstheme="majorHAnsi"/>
          <w:b/>
          <w:sz w:val="28"/>
          <w:szCs w:val="28"/>
          <w:lang w:val="ro-MD"/>
        </w:rPr>
      </w:pPr>
    </w:p>
    <w:p w:rsidR="002B0C1F" w:rsidRPr="007628E2" w:rsidRDefault="002B0C1F" w:rsidP="00243401">
      <w:pPr>
        <w:spacing w:after="0"/>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Conform </w:t>
      </w:r>
      <w:r w:rsidRPr="002751FC">
        <w:rPr>
          <w:rFonts w:asciiTheme="majorHAnsi" w:hAnsiTheme="majorHAnsi" w:cstheme="majorHAnsi"/>
          <w:sz w:val="28"/>
          <w:szCs w:val="28"/>
          <w:lang w:val="ro-MD"/>
        </w:rPr>
        <w:t>modul</w:t>
      </w:r>
      <w:r w:rsidR="00DA0B85" w:rsidRPr="002751FC">
        <w:rPr>
          <w:rFonts w:asciiTheme="majorHAnsi" w:hAnsiTheme="majorHAnsi" w:cstheme="majorHAnsi"/>
          <w:sz w:val="28"/>
          <w:szCs w:val="28"/>
          <w:lang w:val="ro-MD"/>
        </w:rPr>
        <w:t>ui</w:t>
      </w:r>
      <w:r w:rsidRPr="002751FC">
        <w:rPr>
          <w:rFonts w:asciiTheme="majorHAnsi" w:hAnsiTheme="majorHAnsi" w:cstheme="majorHAnsi"/>
          <w:sz w:val="28"/>
          <w:szCs w:val="28"/>
          <w:lang w:val="ro-MD"/>
        </w:rPr>
        <w:t xml:space="preserve"> de finanţare a </w:t>
      </w:r>
      <w:r w:rsidRPr="007628E2">
        <w:rPr>
          <w:rFonts w:asciiTheme="majorHAnsi" w:hAnsiTheme="majorHAnsi" w:cstheme="majorHAnsi"/>
          <w:sz w:val="28"/>
          <w:szCs w:val="28"/>
          <w:lang w:val="ro-MD"/>
        </w:rPr>
        <w:t xml:space="preserve">cheltuielilor din contul </w:t>
      </w:r>
      <w:r w:rsidR="003F4105" w:rsidRPr="007628E2">
        <w:rPr>
          <w:rFonts w:asciiTheme="majorHAnsi" w:hAnsiTheme="majorHAnsi" w:cstheme="majorHAnsi"/>
          <w:sz w:val="28"/>
          <w:szCs w:val="28"/>
          <w:lang w:val="ro-MD"/>
        </w:rPr>
        <w:t>F</w:t>
      </w:r>
      <w:r w:rsidRPr="007628E2">
        <w:rPr>
          <w:rFonts w:asciiTheme="majorHAnsi" w:hAnsiTheme="majorHAnsi" w:cstheme="majorHAnsi"/>
          <w:sz w:val="28"/>
          <w:szCs w:val="28"/>
          <w:lang w:val="ro-MD"/>
        </w:rPr>
        <w:t>ondului</w:t>
      </w:r>
      <w:r w:rsidRPr="00952CA5">
        <w:rPr>
          <w:rStyle w:val="ab"/>
          <w:rFonts w:asciiTheme="majorHAnsi" w:hAnsiTheme="majorHAnsi" w:cstheme="majorHAnsi"/>
          <w:sz w:val="28"/>
          <w:szCs w:val="28"/>
          <w:lang w:val="ro-MD"/>
        </w:rPr>
        <w:footnoteReference w:id="19"/>
      </w:r>
      <w:r w:rsidR="007628E2">
        <w:rPr>
          <w:rFonts w:asciiTheme="majorHAnsi" w:hAnsiTheme="majorHAnsi" w:cstheme="majorHAnsi"/>
          <w:sz w:val="28"/>
          <w:szCs w:val="28"/>
          <w:lang w:val="ro-MD"/>
        </w:rPr>
        <w:t>,</w:t>
      </w:r>
      <w:r w:rsidRPr="007628E2">
        <w:rPr>
          <w:rFonts w:asciiTheme="majorHAnsi" w:hAnsiTheme="majorHAnsi" w:cstheme="majorHAnsi"/>
          <w:sz w:val="28"/>
          <w:szCs w:val="28"/>
          <w:lang w:val="ro-MD"/>
        </w:rPr>
        <w:t xml:space="preserve"> </w:t>
      </w:r>
      <w:r w:rsidRPr="007628E2">
        <w:rPr>
          <w:rFonts w:asciiTheme="majorHAnsi" w:eastAsia="Times New Roman" w:hAnsiTheme="majorHAnsi" w:cstheme="majorHAnsi"/>
          <w:sz w:val="28"/>
          <w:szCs w:val="28"/>
          <w:lang w:val="ro-MD"/>
        </w:rPr>
        <w:t>ONVV transferă lunar (</w:t>
      </w:r>
      <w:r w:rsidRPr="007628E2">
        <w:rPr>
          <w:rFonts w:asciiTheme="majorHAnsi" w:eastAsia="Times New Roman" w:hAnsiTheme="majorHAnsi" w:cstheme="majorHAnsi"/>
          <w:b/>
          <w:sz w:val="28"/>
          <w:szCs w:val="28"/>
          <w:lang w:val="ro-MD"/>
        </w:rPr>
        <w:t xml:space="preserve">pe măsura </w:t>
      </w:r>
      <w:r w:rsidR="00F329C1" w:rsidRPr="007628E2">
        <w:rPr>
          <w:rFonts w:asciiTheme="majorHAnsi" w:eastAsia="Times New Roman" w:hAnsiTheme="majorHAnsi" w:cstheme="majorHAnsi"/>
          <w:b/>
          <w:sz w:val="28"/>
          <w:szCs w:val="28"/>
          <w:lang w:val="ro-MD"/>
        </w:rPr>
        <w:t>necesității</w:t>
      </w:r>
      <w:r w:rsidRPr="007628E2">
        <w:rPr>
          <w:rFonts w:asciiTheme="majorHAnsi" w:eastAsia="Times New Roman" w:hAnsiTheme="majorHAnsi" w:cstheme="majorHAnsi"/>
          <w:sz w:val="28"/>
          <w:szCs w:val="28"/>
          <w:lang w:val="ro-MD"/>
        </w:rPr>
        <w:t>) mijloacele Fondului din contul trezorerial la contul bancar al acestuia</w:t>
      </w:r>
      <w:r w:rsidR="003F4105" w:rsidRPr="007628E2">
        <w:rPr>
          <w:rFonts w:asciiTheme="majorHAnsi" w:eastAsia="Times New Roman" w:hAnsiTheme="majorHAnsi" w:cstheme="majorHAnsi"/>
          <w:sz w:val="28"/>
          <w:szCs w:val="28"/>
          <w:lang w:val="ro-MD"/>
        </w:rPr>
        <w:t>,</w:t>
      </w:r>
      <w:r w:rsidRPr="007628E2">
        <w:rPr>
          <w:rFonts w:asciiTheme="majorHAnsi" w:eastAsia="Times New Roman" w:hAnsiTheme="majorHAnsi" w:cstheme="majorHAnsi"/>
          <w:sz w:val="28"/>
          <w:szCs w:val="28"/>
          <w:lang w:val="ro-MD"/>
        </w:rPr>
        <w:t xml:space="preserve"> deschis în CUT pentru instituțiile publice la autogestiune.</w:t>
      </w:r>
    </w:p>
    <w:p w:rsidR="003F4105" w:rsidRPr="00CA3018" w:rsidRDefault="003F4105" w:rsidP="00243401">
      <w:pPr>
        <w:spacing w:after="0"/>
        <w:jc w:val="both"/>
        <w:rPr>
          <w:rFonts w:asciiTheme="majorHAnsi" w:eastAsia="Times New Roman" w:hAnsiTheme="majorHAnsi" w:cstheme="majorHAnsi"/>
          <w:sz w:val="24"/>
          <w:szCs w:val="24"/>
          <w:lang w:val="ro-MD"/>
        </w:rPr>
      </w:pPr>
    </w:p>
    <w:p w:rsidR="002B0C1F" w:rsidRPr="007628E2" w:rsidRDefault="002B0C1F" w:rsidP="00243401">
      <w:pPr>
        <w:spacing w:after="0"/>
        <w:jc w:val="both"/>
        <w:rPr>
          <w:rFonts w:asciiTheme="majorHAnsi" w:eastAsia="Times New Roman" w:hAnsiTheme="majorHAnsi" w:cstheme="majorHAnsi"/>
          <w:i/>
          <w:sz w:val="28"/>
          <w:szCs w:val="28"/>
          <w:lang w:val="ro-MD"/>
        </w:rPr>
      </w:pPr>
      <w:r w:rsidRPr="007628E2">
        <w:rPr>
          <w:rFonts w:asciiTheme="majorHAnsi" w:eastAsia="Times New Roman" w:hAnsiTheme="majorHAnsi" w:cstheme="majorHAnsi"/>
          <w:sz w:val="28"/>
          <w:szCs w:val="28"/>
          <w:lang w:val="ro-MD"/>
        </w:rPr>
        <w:t>Probele acumulate denotă c</w:t>
      </w:r>
      <w:r w:rsidR="00F329C1" w:rsidRPr="007628E2">
        <w:rPr>
          <w:rFonts w:asciiTheme="majorHAnsi" w:eastAsia="Times New Roman" w:hAnsiTheme="majorHAnsi" w:cstheme="majorHAnsi"/>
          <w:sz w:val="28"/>
          <w:szCs w:val="28"/>
          <w:lang w:val="ro-MD"/>
        </w:rPr>
        <w:t>ă</w:t>
      </w:r>
      <w:r w:rsidRPr="007628E2">
        <w:rPr>
          <w:rFonts w:asciiTheme="majorHAnsi" w:eastAsia="Times New Roman" w:hAnsiTheme="majorHAnsi" w:cstheme="majorHAnsi"/>
          <w:sz w:val="28"/>
          <w:szCs w:val="28"/>
          <w:lang w:val="ro-MD"/>
        </w:rPr>
        <w:t xml:space="preserve"> acest principiu nu a fost respectat. Astfel, ana</w:t>
      </w:r>
      <w:r w:rsidR="00F329C1" w:rsidRPr="007628E2">
        <w:rPr>
          <w:rFonts w:asciiTheme="majorHAnsi" w:eastAsia="Times New Roman" w:hAnsiTheme="majorHAnsi" w:cstheme="majorHAnsi"/>
          <w:sz w:val="28"/>
          <w:szCs w:val="28"/>
          <w:lang w:val="ro-MD"/>
        </w:rPr>
        <w:t>l</w:t>
      </w:r>
      <w:r w:rsidRPr="007628E2">
        <w:rPr>
          <w:rFonts w:asciiTheme="majorHAnsi" w:eastAsia="Times New Roman" w:hAnsiTheme="majorHAnsi" w:cstheme="majorHAnsi"/>
          <w:sz w:val="28"/>
          <w:szCs w:val="28"/>
          <w:lang w:val="ro-MD"/>
        </w:rPr>
        <w:t xml:space="preserve">iza executării bugetelor în anii 2014-2018 a </w:t>
      </w:r>
      <w:r w:rsidR="003F4105" w:rsidRPr="007628E2">
        <w:rPr>
          <w:rFonts w:asciiTheme="majorHAnsi" w:eastAsia="Times New Roman" w:hAnsiTheme="majorHAnsi" w:cstheme="majorHAnsi"/>
          <w:sz w:val="28"/>
          <w:szCs w:val="28"/>
          <w:lang w:val="ro-MD"/>
        </w:rPr>
        <w:t>relevat</w:t>
      </w:r>
      <w:r w:rsidRPr="007628E2">
        <w:rPr>
          <w:rFonts w:asciiTheme="majorHAnsi" w:eastAsia="Times New Roman" w:hAnsiTheme="majorHAnsi" w:cstheme="majorHAnsi"/>
          <w:sz w:val="28"/>
          <w:szCs w:val="28"/>
          <w:lang w:val="ro-MD"/>
        </w:rPr>
        <w:t xml:space="preserve"> că</w:t>
      </w:r>
      <w:r w:rsidR="003F4105" w:rsidRPr="007628E2">
        <w:rPr>
          <w:rFonts w:asciiTheme="majorHAnsi" w:eastAsia="Times New Roman" w:hAnsiTheme="majorHAnsi" w:cstheme="majorHAnsi"/>
          <w:sz w:val="28"/>
          <w:szCs w:val="28"/>
          <w:lang w:val="ro-MD"/>
        </w:rPr>
        <w:t>,</w:t>
      </w:r>
      <w:r w:rsidRPr="007628E2">
        <w:rPr>
          <w:rFonts w:asciiTheme="majorHAnsi" w:eastAsia="Times New Roman" w:hAnsiTheme="majorHAnsi" w:cstheme="majorHAnsi"/>
          <w:sz w:val="28"/>
          <w:szCs w:val="28"/>
          <w:lang w:val="ro-MD"/>
        </w:rPr>
        <w:t xml:space="preserve"> pe </w:t>
      </w:r>
      <w:r w:rsidR="00F329C1" w:rsidRPr="007628E2">
        <w:rPr>
          <w:rFonts w:asciiTheme="majorHAnsi" w:eastAsia="Times New Roman" w:hAnsiTheme="majorHAnsi" w:cstheme="majorHAnsi"/>
          <w:sz w:val="28"/>
          <w:szCs w:val="28"/>
          <w:lang w:val="ro-MD"/>
        </w:rPr>
        <w:t>parcursul</w:t>
      </w:r>
      <w:r w:rsidRPr="007628E2">
        <w:rPr>
          <w:rFonts w:asciiTheme="majorHAnsi" w:eastAsia="Times New Roman" w:hAnsiTheme="majorHAnsi" w:cstheme="majorHAnsi"/>
          <w:sz w:val="28"/>
          <w:szCs w:val="28"/>
          <w:lang w:val="ro-MD"/>
        </w:rPr>
        <w:t xml:space="preserve"> mai multor ani</w:t>
      </w:r>
      <w:r w:rsidR="003F4105" w:rsidRPr="007628E2">
        <w:rPr>
          <w:rFonts w:asciiTheme="majorHAnsi" w:eastAsia="Times New Roman" w:hAnsiTheme="majorHAnsi" w:cstheme="majorHAnsi"/>
          <w:sz w:val="28"/>
          <w:szCs w:val="28"/>
          <w:lang w:val="ro-MD"/>
        </w:rPr>
        <w:t>,</w:t>
      </w:r>
      <w:r w:rsidRPr="007628E2">
        <w:rPr>
          <w:rFonts w:asciiTheme="majorHAnsi" w:eastAsia="Times New Roman" w:hAnsiTheme="majorHAnsi" w:cstheme="majorHAnsi"/>
          <w:sz w:val="28"/>
          <w:szCs w:val="28"/>
          <w:lang w:val="ro-MD"/>
        </w:rPr>
        <w:t xml:space="preserve"> în conturile bancare ale ONVV s-au acumulat mijloace financiare semnificative, la finele anului 2018 soldul mijloacelor neutilizate constituind 35,1 </w:t>
      </w:r>
      <w:proofErr w:type="spellStart"/>
      <w:r w:rsidRPr="007628E2">
        <w:rPr>
          <w:rFonts w:asciiTheme="majorHAnsi" w:eastAsia="Times New Roman" w:hAnsiTheme="majorHAnsi" w:cstheme="majorHAnsi"/>
          <w:sz w:val="28"/>
          <w:szCs w:val="28"/>
          <w:lang w:val="ro-MD"/>
        </w:rPr>
        <w:t>mil.MDL</w:t>
      </w:r>
      <w:proofErr w:type="spellEnd"/>
      <w:r w:rsidRPr="007628E2">
        <w:rPr>
          <w:rFonts w:asciiTheme="majorHAnsi" w:eastAsia="Times New Roman" w:hAnsiTheme="majorHAnsi" w:cstheme="majorHAnsi"/>
          <w:sz w:val="28"/>
          <w:szCs w:val="28"/>
          <w:lang w:val="ro-MD"/>
        </w:rPr>
        <w:t xml:space="preserve">, din care 0,9 </w:t>
      </w:r>
      <w:proofErr w:type="spellStart"/>
      <w:r w:rsidRPr="007628E2">
        <w:rPr>
          <w:rFonts w:asciiTheme="majorHAnsi" w:eastAsia="Times New Roman" w:hAnsiTheme="majorHAnsi" w:cstheme="majorHAnsi"/>
          <w:sz w:val="28"/>
          <w:szCs w:val="28"/>
          <w:lang w:val="ro-MD"/>
        </w:rPr>
        <w:t>mil.MDL</w:t>
      </w:r>
      <w:proofErr w:type="spellEnd"/>
      <w:r w:rsidRPr="007628E2">
        <w:rPr>
          <w:rFonts w:asciiTheme="majorHAnsi" w:eastAsia="Times New Roman" w:hAnsiTheme="majorHAnsi" w:cstheme="majorHAnsi"/>
          <w:sz w:val="28"/>
          <w:szCs w:val="28"/>
          <w:lang w:val="ro-MD"/>
        </w:rPr>
        <w:t xml:space="preserve"> aferente anului 2018. </w:t>
      </w:r>
      <w:r w:rsidRPr="007628E2">
        <w:rPr>
          <w:rFonts w:asciiTheme="majorHAnsi" w:eastAsia="Times New Roman" w:hAnsiTheme="majorHAnsi" w:cstheme="majorHAnsi"/>
          <w:i/>
          <w:sz w:val="28"/>
          <w:szCs w:val="28"/>
          <w:lang w:val="ro-MD"/>
        </w:rPr>
        <w:t>Dinamica soldurilor mijloacelor b</w:t>
      </w:r>
      <w:r w:rsidR="00F329C1" w:rsidRPr="007628E2">
        <w:rPr>
          <w:rFonts w:asciiTheme="majorHAnsi" w:eastAsia="Times New Roman" w:hAnsiTheme="majorHAnsi" w:cstheme="majorHAnsi"/>
          <w:i/>
          <w:sz w:val="28"/>
          <w:szCs w:val="28"/>
          <w:lang w:val="ro-MD"/>
        </w:rPr>
        <w:t>ă</w:t>
      </w:r>
      <w:r w:rsidRPr="007628E2">
        <w:rPr>
          <w:rFonts w:asciiTheme="majorHAnsi" w:eastAsia="Times New Roman" w:hAnsiTheme="majorHAnsi" w:cstheme="majorHAnsi"/>
          <w:i/>
          <w:sz w:val="28"/>
          <w:szCs w:val="28"/>
          <w:lang w:val="ro-MD"/>
        </w:rPr>
        <w:t>nești înregistrate la finele anilor bugetar</w:t>
      </w:r>
      <w:r w:rsidR="00994CC9" w:rsidRPr="007628E2">
        <w:rPr>
          <w:rFonts w:asciiTheme="majorHAnsi" w:eastAsia="Times New Roman" w:hAnsiTheme="majorHAnsi" w:cstheme="majorHAnsi"/>
          <w:i/>
          <w:sz w:val="28"/>
          <w:szCs w:val="28"/>
          <w:lang w:val="ro-MD"/>
        </w:rPr>
        <w:t>i</w:t>
      </w:r>
      <w:r w:rsidRPr="007628E2">
        <w:rPr>
          <w:rFonts w:asciiTheme="majorHAnsi" w:eastAsia="Times New Roman" w:hAnsiTheme="majorHAnsi" w:cstheme="majorHAnsi"/>
          <w:i/>
          <w:sz w:val="28"/>
          <w:szCs w:val="28"/>
          <w:lang w:val="ro-MD"/>
        </w:rPr>
        <w:t xml:space="preserve"> (2014-2018) se prezintă în Tabelul nr.4. </w:t>
      </w:r>
    </w:p>
    <w:p w:rsidR="002B0C1F" w:rsidRPr="002751FC" w:rsidRDefault="002B0C1F" w:rsidP="00243401">
      <w:pPr>
        <w:spacing w:after="0"/>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Tabelul nr.4</w:t>
      </w:r>
    </w:p>
    <w:p w:rsidR="002B0C1F" w:rsidRPr="002751FC" w:rsidRDefault="002B0C1F" w:rsidP="00FA0DC8">
      <w:pPr>
        <w:spacing w:after="0"/>
        <w:jc w:val="center"/>
        <w:rPr>
          <w:rFonts w:asciiTheme="majorHAnsi" w:eastAsia="Times New Roman" w:hAnsiTheme="majorHAnsi" w:cstheme="majorHAnsi"/>
          <w:sz w:val="24"/>
          <w:szCs w:val="24"/>
          <w:lang w:val="ro-MD"/>
        </w:rPr>
      </w:pPr>
      <w:r w:rsidRPr="002751FC">
        <w:rPr>
          <w:rFonts w:asciiTheme="majorHAnsi" w:eastAsia="Times New Roman" w:hAnsiTheme="majorHAnsi" w:cstheme="majorHAnsi"/>
          <w:b/>
          <w:sz w:val="20"/>
          <w:szCs w:val="20"/>
          <w:lang w:val="ro-MD"/>
        </w:rPr>
        <w:t>Dinamica soldurilor mijloacelor b</w:t>
      </w:r>
      <w:r w:rsidR="00AB073C" w:rsidRPr="002751FC">
        <w:rPr>
          <w:rFonts w:asciiTheme="majorHAnsi" w:eastAsia="Times New Roman" w:hAnsiTheme="majorHAnsi" w:cstheme="majorHAnsi"/>
          <w:b/>
          <w:sz w:val="20"/>
          <w:szCs w:val="20"/>
          <w:lang w:val="ro-MD"/>
        </w:rPr>
        <w:t>ă</w:t>
      </w:r>
      <w:r w:rsidRPr="002751FC">
        <w:rPr>
          <w:rFonts w:asciiTheme="majorHAnsi" w:eastAsia="Times New Roman" w:hAnsiTheme="majorHAnsi" w:cstheme="majorHAnsi"/>
          <w:b/>
          <w:sz w:val="20"/>
          <w:szCs w:val="20"/>
          <w:lang w:val="ro-MD"/>
        </w:rPr>
        <w:t>nești înregistrate la finele anilor bugetar</w:t>
      </w:r>
      <w:r w:rsidR="00994CC9" w:rsidRPr="002751FC">
        <w:rPr>
          <w:rFonts w:asciiTheme="majorHAnsi" w:eastAsia="Times New Roman" w:hAnsiTheme="majorHAnsi" w:cstheme="majorHAnsi"/>
          <w:b/>
          <w:sz w:val="20"/>
          <w:szCs w:val="20"/>
          <w:lang w:val="ro-MD"/>
        </w:rPr>
        <w:t>i</w:t>
      </w:r>
      <w:r w:rsidRPr="002751FC">
        <w:rPr>
          <w:rFonts w:asciiTheme="majorHAnsi" w:eastAsia="Times New Roman" w:hAnsiTheme="majorHAnsi" w:cstheme="majorHAnsi"/>
          <w:b/>
          <w:sz w:val="20"/>
          <w:szCs w:val="20"/>
          <w:lang w:val="ro-MD"/>
        </w:rPr>
        <w:t xml:space="preserve"> (2014-2018), </w:t>
      </w:r>
      <w:proofErr w:type="spellStart"/>
      <w:r w:rsidRPr="002751FC">
        <w:rPr>
          <w:rFonts w:asciiTheme="majorHAnsi" w:eastAsia="Times New Roman" w:hAnsiTheme="majorHAnsi" w:cstheme="majorHAnsi"/>
          <w:b/>
          <w:sz w:val="20"/>
          <w:szCs w:val="20"/>
          <w:lang w:val="ro-MD"/>
        </w:rPr>
        <w:t>mil.MDL</w:t>
      </w:r>
      <w:proofErr w:type="spellEnd"/>
    </w:p>
    <w:tbl>
      <w:tblPr>
        <w:tblStyle w:val="ae"/>
        <w:tblW w:w="9701" w:type="dxa"/>
        <w:tblLook w:val="04A0" w:firstRow="1" w:lastRow="0" w:firstColumn="1" w:lastColumn="0" w:noHBand="0" w:noVBand="1"/>
      </w:tblPr>
      <w:tblGrid>
        <w:gridCol w:w="6040"/>
        <w:gridCol w:w="622"/>
        <w:gridCol w:w="707"/>
        <w:gridCol w:w="709"/>
        <w:gridCol w:w="709"/>
        <w:gridCol w:w="914"/>
      </w:tblGrid>
      <w:tr w:rsidR="002B0C1F" w:rsidRPr="002751FC" w:rsidTr="008E6A80">
        <w:trPr>
          <w:trHeight w:val="262"/>
        </w:trPr>
        <w:tc>
          <w:tcPr>
            <w:tcW w:w="6091" w:type="dxa"/>
            <w:shd w:val="clear" w:color="auto" w:fill="DEEAF6" w:themeFill="accent1" w:themeFillTint="33"/>
          </w:tcPr>
          <w:p w:rsidR="002B0C1F" w:rsidRPr="002751FC" w:rsidRDefault="002B0C1F" w:rsidP="008152C6">
            <w:pPr>
              <w:jc w:val="both"/>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Indicatorii</w:t>
            </w:r>
          </w:p>
        </w:tc>
        <w:tc>
          <w:tcPr>
            <w:tcW w:w="567" w:type="dxa"/>
            <w:shd w:val="clear" w:color="auto" w:fill="DEEAF6" w:themeFill="accent1" w:themeFillTint="33"/>
          </w:tcPr>
          <w:p w:rsidR="002B0C1F" w:rsidRPr="002751FC" w:rsidRDefault="002B0C1F" w:rsidP="008630B6">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2014</w:t>
            </w:r>
          </w:p>
        </w:tc>
        <w:tc>
          <w:tcPr>
            <w:tcW w:w="708" w:type="dxa"/>
            <w:shd w:val="clear" w:color="auto" w:fill="DEEAF6" w:themeFill="accent1" w:themeFillTint="33"/>
          </w:tcPr>
          <w:p w:rsidR="002B0C1F" w:rsidRPr="002751FC" w:rsidRDefault="002B0C1F" w:rsidP="008630B6">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2015</w:t>
            </w:r>
          </w:p>
        </w:tc>
        <w:tc>
          <w:tcPr>
            <w:tcW w:w="709" w:type="dxa"/>
            <w:shd w:val="clear" w:color="auto" w:fill="DEEAF6" w:themeFill="accent1" w:themeFillTint="33"/>
          </w:tcPr>
          <w:p w:rsidR="002B0C1F" w:rsidRPr="002751FC" w:rsidRDefault="002B0C1F" w:rsidP="008630B6">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2016</w:t>
            </w:r>
          </w:p>
        </w:tc>
        <w:tc>
          <w:tcPr>
            <w:tcW w:w="709" w:type="dxa"/>
            <w:shd w:val="clear" w:color="auto" w:fill="DEEAF6" w:themeFill="accent1" w:themeFillTint="33"/>
          </w:tcPr>
          <w:p w:rsidR="002B0C1F" w:rsidRPr="002751FC" w:rsidRDefault="002B0C1F" w:rsidP="008630B6">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2017</w:t>
            </w:r>
          </w:p>
        </w:tc>
        <w:tc>
          <w:tcPr>
            <w:tcW w:w="917" w:type="dxa"/>
            <w:shd w:val="clear" w:color="auto" w:fill="DEEAF6" w:themeFill="accent1" w:themeFillTint="33"/>
          </w:tcPr>
          <w:p w:rsidR="002B0C1F" w:rsidRPr="002751FC" w:rsidRDefault="002B0C1F" w:rsidP="008630B6">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2018</w:t>
            </w:r>
          </w:p>
        </w:tc>
      </w:tr>
      <w:tr w:rsidR="002B0C1F" w:rsidRPr="002751FC" w:rsidTr="008E6A80">
        <w:trPr>
          <w:trHeight w:val="262"/>
        </w:trPr>
        <w:tc>
          <w:tcPr>
            <w:tcW w:w="6091" w:type="dxa"/>
          </w:tcPr>
          <w:p w:rsidR="002B0C1F" w:rsidRPr="002751FC" w:rsidRDefault="002B0C1F" w:rsidP="008152C6">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Soldul mijloacelor bănești la finele anului bug</w:t>
            </w:r>
            <w:r w:rsidR="00F329C1" w:rsidRPr="002751FC">
              <w:rPr>
                <w:rFonts w:asciiTheme="majorHAnsi" w:eastAsia="Times New Roman" w:hAnsiTheme="majorHAnsi" w:cstheme="majorHAnsi"/>
                <w:sz w:val="20"/>
                <w:szCs w:val="20"/>
                <w:lang w:val="ro-MD"/>
              </w:rPr>
              <w:t>e</w:t>
            </w:r>
            <w:r w:rsidRPr="002751FC">
              <w:rPr>
                <w:rFonts w:asciiTheme="majorHAnsi" w:eastAsia="Times New Roman" w:hAnsiTheme="majorHAnsi" w:cstheme="majorHAnsi"/>
                <w:sz w:val="20"/>
                <w:szCs w:val="20"/>
                <w:lang w:val="ro-MD"/>
              </w:rPr>
              <w:t>tar</w:t>
            </w:r>
          </w:p>
        </w:tc>
        <w:tc>
          <w:tcPr>
            <w:tcW w:w="567" w:type="dxa"/>
            <w:shd w:val="clear" w:color="auto" w:fill="FFFFFF" w:themeFill="background1"/>
          </w:tcPr>
          <w:p w:rsidR="002B0C1F" w:rsidRPr="002751FC" w:rsidRDefault="002B0C1F" w:rsidP="000F3794">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28,1</w:t>
            </w:r>
          </w:p>
        </w:tc>
        <w:tc>
          <w:tcPr>
            <w:tcW w:w="708" w:type="dxa"/>
            <w:shd w:val="clear" w:color="auto" w:fill="FFFFFF" w:themeFill="background1"/>
          </w:tcPr>
          <w:p w:rsidR="002B0C1F" w:rsidRPr="002751FC" w:rsidRDefault="002B0C1F" w:rsidP="000F3794">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6,8</w:t>
            </w:r>
          </w:p>
        </w:tc>
        <w:tc>
          <w:tcPr>
            <w:tcW w:w="709" w:type="dxa"/>
          </w:tcPr>
          <w:p w:rsidR="002B0C1F" w:rsidRPr="002751FC" w:rsidRDefault="002B0C1F" w:rsidP="000F3794">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21,1</w:t>
            </w:r>
          </w:p>
        </w:tc>
        <w:tc>
          <w:tcPr>
            <w:tcW w:w="709" w:type="dxa"/>
          </w:tcPr>
          <w:p w:rsidR="002B0C1F" w:rsidRPr="002751FC" w:rsidRDefault="002B0C1F" w:rsidP="000F3794">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34,2</w:t>
            </w:r>
          </w:p>
        </w:tc>
        <w:tc>
          <w:tcPr>
            <w:tcW w:w="917" w:type="dxa"/>
          </w:tcPr>
          <w:p w:rsidR="002B0C1F" w:rsidRPr="002751FC" w:rsidRDefault="002B0C1F" w:rsidP="000F3794">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35,1</w:t>
            </w:r>
          </w:p>
        </w:tc>
      </w:tr>
      <w:tr w:rsidR="002B0C1F" w:rsidRPr="002751FC" w:rsidTr="008152C6">
        <w:trPr>
          <w:trHeight w:val="128"/>
        </w:trPr>
        <w:tc>
          <w:tcPr>
            <w:tcW w:w="6091" w:type="dxa"/>
          </w:tcPr>
          <w:p w:rsidR="002B0C1F" w:rsidRPr="002751FC" w:rsidRDefault="002B0C1F" w:rsidP="008152C6">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Devieri față de anul precedent</w:t>
            </w:r>
          </w:p>
        </w:tc>
        <w:tc>
          <w:tcPr>
            <w:tcW w:w="567" w:type="dxa"/>
            <w:shd w:val="clear" w:color="auto" w:fill="FFFFFF" w:themeFill="background1"/>
          </w:tcPr>
          <w:p w:rsidR="002B0C1F" w:rsidRPr="002751FC" w:rsidRDefault="002B0C1F" w:rsidP="000F3794">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x</w:t>
            </w:r>
          </w:p>
        </w:tc>
        <w:tc>
          <w:tcPr>
            <w:tcW w:w="708" w:type="dxa"/>
            <w:shd w:val="clear" w:color="auto" w:fill="FFFFFF" w:themeFill="background1"/>
          </w:tcPr>
          <w:p w:rsidR="002B0C1F" w:rsidRPr="002751FC" w:rsidRDefault="002B0C1F" w:rsidP="000F3794">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-21,3</w:t>
            </w:r>
          </w:p>
        </w:tc>
        <w:tc>
          <w:tcPr>
            <w:tcW w:w="709" w:type="dxa"/>
            <w:shd w:val="clear" w:color="auto" w:fill="FFFFFF" w:themeFill="background1"/>
          </w:tcPr>
          <w:p w:rsidR="002B0C1F" w:rsidRPr="002751FC" w:rsidRDefault="002B0C1F" w:rsidP="000F3794">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+14,3</w:t>
            </w:r>
          </w:p>
        </w:tc>
        <w:tc>
          <w:tcPr>
            <w:tcW w:w="709" w:type="dxa"/>
          </w:tcPr>
          <w:p w:rsidR="002B0C1F" w:rsidRPr="002751FC" w:rsidRDefault="002B0C1F" w:rsidP="000F3794">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+13,1</w:t>
            </w:r>
          </w:p>
        </w:tc>
        <w:tc>
          <w:tcPr>
            <w:tcW w:w="917" w:type="dxa"/>
          </w:tcPr>
          <w:p w:rsidR="002B0C1F" w:rsidRPr="002751FC" w:rsidRDefault="002B0C1F" w:rsidP="000F3794">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+0,9</w:t>
            </w:r>
          </w:p>
        </w:tc>
      </w:tr>
    </w:tbl>
    <w:p w:rsidR="002B0C1F" w:rsidRPr="002751FC" w:rsidRDefault="002B0C1F" w:rsidP="00243401">
      <w:pPr>
        <w:spacing w:after="0"/>
        <w:jc w:val="both"/>
        <w:rPr>
          <w:rFonts w:asciiTheme="majorHAnsi" w:eastAsia="Times New Roman" w:hAnsiTheme="majorHAnsi" w:cstheme="majorHAnsi"/>
          <w:sz w:val="16"/>
          <w:szCs w:val="16"/>
          <w:lang w:val="ro-MD"/>
        </w:rPr>
      </w:pPr>
      <w:r w:rsidRPr="002751FC">
        <w:rPr>
          <w:rFonts w:asciiTheme="majorHAnsi" w:eastAsia="Times New Roman" w:hAnsiTheme="majorHAnsi" w:cstheme="majorHAnsi"/>
          <w:b/>
          <w:sz w:val="16"/>
          <w:szCs w:val="16"/>
          <w:lang w:val="ro-MD"/>
        </w:rPr>
        <w:t>Sursa:</w:t>
      </w:r>
      <w:r w:rsidRPr="002751FC">
        <w:rPr>
          <w:rFonts w:asciiTheme="majorHAnsi" w:eastAsia="Times New Roman" w:hAnsiTheme="majorHAnsi" w:cstheme="majorHAnsi"/>
          <w:sz w:val="16"/>
          <w:szCs w:val="16"/>
          <w:lang w:val="ro-MD"/>
        </w:rPr>
        <w:t xml:space="preserve"> Rapoartele financiare ale ONVV.</w:t>
      </w:r>
    </w:p>
    <w:p w:rsidR="002B0C1F" w:rsidRPr="002751FC" w:rsidRDefault="002B0C1F" w:rsidP="00243401">
      <w:pPr>
        <w:pStyle w:val="cp"/>
        <w:jc w:val="both"/>
        <w:rPr>
          <w:rFonts w:asciiTheme="majorHAnsi" w:hAnsiTheme="majorHAnsi" w:cstheme="majorHAnsi"/>
          <w:b w:val="0"/>
          <w:bCs w:val="0"/>
          <w:sz w:val="18"/>
          <w:szCs w:val="18"/>
          <w:lang w:val="ro-MD" w:eastAsia="en-US"/>
        </w:rPr>
      </w:pPr>
    </w:p>
    <w:p w:rsidR="002B0C1F" w:rsidRPr="002751FC" w:rsidRDefault="002B0C1F" w:rsidP="00243401">
      <w:pPr>
        <w:pStyle w:val="cp"/>
        <w:jc w:val="both"/>
        <w:rPr>
          <w:rFonts w:asciiTheme="majorHAnsi" w:hAnsiTheme="majorHAnsi" w:cstheme="majorHAnsi"/>
          <w:b w:val="0"/>
          <w:bCs w:val="0"/>
          <w:sz w:val="28"/>
          <w:szCs w:val="28"/>
          <w:lang w:val="ro-MD" w:eastAsia="en-US"/>
        </w:rPr>
      </w:pPr>
      <w:r w:rsidRPr="002751FC">
        <w:rPr>
          <w:rFonts w:asciiTheme="majorHAnsi" w:hAnsiTheme="majorHAnsi" w:cstheme="majorHAnsi"/>
          <w:b w:val="0"/>
          <w:bCs w:val="0"/>
          <w:sz w:val="28"/>
          <w:szCs w:val="28"/>
          <w:lang w:val="ro-MD" w:eastAsia="en-US"/>
        </w:rPr>
        <w:t xml:space="preserve">Nerespectarea regulilor stabilite de cadrul regulator a permis imobilizarea resurselor financiare semnificative (35,1 </w:t>
      </w:r>
      <w:proofErr w:type="spellStart"/>
      <w:r w:rsidRPr="002751FC">
        <w:rPr>
          <w:rFonts w:asciiTheme="majorHAnsi" w:hAnsiTheme="majorHAnsi" w:cstheme="majorHAnsi"/>
          <w:b w:val="0"/>
          <w:bCs w:val="0"/>
          <w:sz w:val="28"/>
          <w:szCs w:val="28"/>
          <w:lang w:val="ro-MD" w:eastAsia="en-US"/>
        </w:rPr>
        <w:t>mil.MDL</w:t>
      </w:r>
      <w:proofErr w:type="spellEnd"/>
      <w:r w:rsidRPr="002751FC">
        <w:rPr>
          <w:rFonts w:asciiTheme="majorHAnsi" w:hAnsiTheme="majorHAnsi" w:cstheme="majorHAnsi"/>
          <w:b w:val="0"/>
          <w:bCs w:val="0"/>
          <w:sz w:val="28"/>
          <w:szCs w:val="28"/>
          <w:lang w:val="ro-MD" w:eastAsia="en-US"/>
        </w:rPr>
        <w:t xml:space="preserve">) de la bugetul de stat pe un termen nedeterminat, acestea </w:t>
      </w:r>
      <w:r w:rsidR="00B20A57" w:rsidRPr="002751FC">
        <w:rPr>
          <w:rFonts w:asciiTheme="majorHAnsi" w:hAnsiTheme="majorHAnsi" w:cstheme="majorHAnsi"/>
          <w:b w:val="0"/>
          <w:bCs w:val="0"/>
          <w:sz w:val="28"/>
          <w:szCs w:val="28"/>
          <w:lang w:val="ro-MD" w:eastAsia="en-US"/>
        </w:rPr>
        <w:t>constituind</w:t>
      </w:r>
      <w:r w:rsidRPr="002751FC">
        <w:rPr>
          <w:rFonts w:asciiTheme="majorHAnsi" w:hAnsiTheme="majorHAnsi" w:cstheme="majorHAnsi"/>
          <w:b w:val="0"/>
          <w:bCs w:val="0"/>
          <w:sz w:val="28"/>
          <w:szCs w:val="28"/>
          <w:lang w:val="ro-MD" w:eastAsia="en-US"/>
        </w:rPr>
        <w:t xml:space="preserve"> 81,4% din bugetul realizat în anul 2018 </w:t>
      </w:r>
      <w:r w:rsidR="00395E01">
        <w:rPr>
          <w:rFonts w:asciiTheme="majorHAnsi" w:hAnsiTheme="majorHAnsi" w:cstheme="majorHAnsi"/>
          <w:b w:val="0"/>
          <w:bCs w:val="0"/>
          <w:sz w:val="28"/>
          <w:szCs w:val="28"/>
          <w:lang w:val="ro-MD" w:eastAsia="en-US"/>
        </w:rPr>
        <w:t xml:space="preserve">și </w:t>
      </w:r>
      <w:r w:rsidR="00B20A57" w:rsidRPr="002751FC">
        <w:rPr>
          <w:rFonts w:asciiTheme="majorHAnsi" w:hAnsiTheme="majorHAnsi" w:cstheme="majorHAnsi"/>
          <w:b w:val="0"/>
          <w:bCs w:val="0"/>
          <w:sz w:val="28"/>
          <w:szCs w:val="28"/>
          <w:lang w:val="ro-MD" w:eastAsia="en-US"/>
        </w:rPr>
        <w:t>putând</w:t>
      </w:r>
      <w:r w:rsidRPr="002751FC">
        <w:rPr>
          <w:rFonts w:asciiTheme="majorHAnsi" w:hAnsiTheme="majorHAnsi" w:cstheme="majorHAnsi"/>
          <w:b w:val="0"/>
          <w:bCs w:val="0"/>
          <w:sz w:val="28"/>
          <w:szCs w:val="28"/>
          <w:lang w:val="ro-MD" w:eastAsia="en-US"/>
        </w:rPr>
        <w:t xml:space="preserve"> fi repartizate pen</w:t>
      </w:r>
      <w:r w:rsidR="00B20A57" w:rsidRPr="002751FC">
        <w:rPr>
          <w:rFonts w:asciiTheme="majorHAnsi" w:hAnsiTheme="majorHAnsi" w:cstheme="majorHAnsi"/>
          <w:b w:val="0"/>
          <w:bCs w:val="0"/>
          <w:sz w:val="28"/>
          <w:szCs w:val="28"/>
          <w:lang w:val="ro-MD" w:eastAsia="en-US"/>
        </w:rPr>
        <w:t>tru alte scopuri prioritare/stri</w:t>
      </w:r>
      <w:r w:rsidRPr="002751FC">
        <w:rPr>
          <w:rFonts w:asciiTheme="majorHAnsi" w:hAnsiTheme="majorHAnsi" w:cstheme="majorHAnsi"/>
          <w:b w:val="0"/>
          <w:bCs w:val="0"/>
          <w:sz w:val="28"/>
          <w:szCs w:val="28"/>
          <w:lang w:val="ro-MD" w:eastAsia="en-US"/>
        </w:rPr>
        <w:t>ngente ale statului.</w:t>
      </w:r>
    </w:p>
    <w:p w:rsidR="002B0C1F" w:rsidRPr="002751FC" w:rsidRDefault="002B0C1F" w:rsidP="00243401">
      <w:pPr>
        <w:pStyle w:val="cp"/>
        <w:jc w:val="both"/>
        <w:rPr>
          <w:rFonts w:asciiTheme="majorHAnsi" w:hAnsiTheme="majorHAnsi" w:cstheme="majorHAnsi"/>
          <w:b w:val="0"/>
          <w:bCs w:val="0"/>
          <w:sz w:val="28"/>
          <w:szCs w:val="28"/>
          <w:lang w:val="ro-MD" w:eastAsia="en-US"/>
        </w:rPr>
      </w:pPr>
    </w:p>
    <w:p w:rsidR="002B0C1F" w:rsidRPr="00395E01" w:rsidRDefault="002B0C1F" w:rsidP="00243401">
      <w:pPr>
        <w:pStyle w:val="a3"/>
        <w:ind w:firstLine="0"/>
        <w:rPr>
          <w:rFonts w:asciiTheme="majorHAnsi" w:hAnsiTheme="majorHAnsi" w:cstheme="majorHAnsi"/>
          <w:bCs/>
          <w:sz w:val="28"/>
          <w:szCs w:val="28"/>
          <w:lang w:val="ro-MD"/>
        </w:rPr>
      </w:pPr>
      <w:r w:rsidRPr="002751FC">
        <w:rPr>
          <w:rFonts w:asciiTheme="majorHAnsi" w:hAnsiTheme="majorHAnsi" w:cstheme="majorHAnsi"/>
          <w:bCs/>
          <w:sz w:val="28"/>
          <w:szCs w:val="28"/>
          <w:lang w:val="ro-MD"/>
        </w:rPr>
        <w:t xml:space="preserve">Această situație este creată urmare a perceperii incorecte de către ONVV a </w:t>
      </w:r>
      <w:r w:rsidR="00EA5D10" w:rsidRPr="002751FC">
        <w:rPr>
          <w:rFonts w:asciiTheme="majorHAnsi" w:hAnsiTheme="majorHAnsi" w:cstheme="majorHAnsi"/>
          <w:bCs/>
          <w:sz w:val="28"/>
          <w:szCs w:val="28"/>
          <w:lang w:val="ro-MD"/>
        </w:rPr>
        <w:t xml:space="preserve">destinației </w:t>
      </w:r>
      <w:r w:rsidRPr="002751FC">
        <w:rPr>
          <w:rFonts w:asciiTheme="majorHAnsi" w:hAnsiTheme="majorHAnsi" w:cstheme="majorHAnsi"/>
          <w:bCs/>
          <w:sz w:val="28"/>
          <w:szCs w:val="28"/>
          <w:lang w:val="ro-MD"/>
        </w:rPr>
        <w:t xml:space="preserve">alocațiilor bugetare, care </w:t>
      </w:r>
      <w:r w:rsidR="009E1380" w:rsidRPr="002751FC">
        <w:rPr>
          <w:rFonts w:asciiTheme="majorHAnsi" w:hAnsiTheme="majorHAnsi" w:cstheme="majorHAnsi"/>
          <w:bCs/>
          <w:sz w:val="28"/>
          <w:szCs w:val="28"/>
          <w:lang w:val="ro-MD"/>
        </w:rPr>
        <w:t xml:space="preserve">potrivit </w:t>
      </w:r>
      <w:r w:rsidRPr="002751FC">
        <w:rPr>
          <w:rFonts w:asciiTheme="majorHAnsi" w:hAnsiTheme="majorHAnsi" w:cstheme="majorHAnsi"/>
          <w:bCs/>
          <w:sz w:val="28"/>
          <w:szCs w:val="28"/>
          <w:lang w:val="ro-MD"/>
        </w:rPr>
        <w:t>cadrului regulator</w:t>
      </w:r>
      <w:r w:rsidRPr="008432DE">
        <w:rPr>
          <w:rStyle w:val="ab"/>
          <w:rFonts w:asciiTheme="majorHAnsi" w:hAnsiTheme="majorHAnsi" w:cstheme="majorHAnsi"/>
          <w:bCs/>
          <w:sz w:val="28"/>
          <w:szCs w:val="28"/>
          <w:lang w:val="ro-MD"/>
        </w:rPr>
        <w:footnoteReference w:id="20"/>
      </w:r>
      <w:r w:rsidRPr="00395E01">
        <w:rPr>
          <w:rFonts w:asciiTheme="majorHAnsi" w:hAnsiTheme="majorHAnsi" w:cstheme="majorHAnsi"/>
          <w:bCs/>
          <w:sz w:val="28"/>
          <w:szCs w:val="28"/>
          <w:lang w:val="ro-MD"/>
        </w:rPr>
        <w:t xml:space="preserve"> reprezintă limitele de </w:t>
      </w:r>
      <w:r w:rsidR="00B20A57" w:rsidRPr="00395E01">
        <w:rPr>
          <w:rFonts w:asciiTheme="majorHAnsi" w:hAnsiTheme="majorHAnsi" w:cstheme="majorHAnsi"/>
          <w:bCs/>
          <w:sz w:val="28"/>
          <w:szCs w:val="28"/>
          <w:lang w:val="ro-MD"/>
        </w:rPr>
        <w:t>alocații</w:t>
      </w:r>
      <w:r w:rsidRPr="00395E01">
        <w:rPr>
          <w:rFonts w:asciiTheme="majorHAnsi" w:hAnsiTheme="majorHAnsi" w:cstheme="majorHAnsi"/>
          <w:bCs/>
          <w:sz w:val="28"/>
          <w:szCs w:val="28"/>
          <w:lang w:val="ro-MD"/>
        </w:rPr>
        <w:t xml:space="preserve"> bugetare anuale şi indicatorii de </w:t>
      </w:r>
      <w:r w:rsidR="00B20A57" w:rsidRPr="00395E01">
        <w:rPr>
          <w:rFonts w:asciiTheme="majorHAnsi" w:hAnsiTheme="majorHAnsi" w:cstheme="majorHAnsi"/>
          <w:bCs/>
          <w:sz w:val="28"/>
          <w:szCs w:val="28"/>
          <w:lang w:val="ro-MD"/>
        </w:rPr>
        <w:t>performanță</w:t>
      </w:r>
      <w:r w:rsidRPr="00395E01">
        <w:rPr>
          <w:rFonts w:asciiTheme="majorHAnsi" w:hAnsiTheme="majorHAnsi" w:cstheme="majorHAnsi"/>
          <w:bCs/>
          <w:sz w:val="28"/>
          <w:szCs w:val="28"/>
          <w:lang w:val="ro-MD"/>
        </w:rPr>
        <w:t xml:space="preserve"> pentru instituţiile din subordine</w:t>
      </w:r>
      <w:r w:rsidR="00610E59" w:rsidRPr="00395E01">
        <w:rPr>
          <w:rFonts w:asciiTheme="majorHAnsi" w:hAnsiTheme="majorHAnsi" w:cstheme="majorHAnsi"/>
          <w:bCs/>
          <w:sz w:val="28"/>
          <w:szCs w:val="28"/>
          <w:lang w:val="ro-MD"/>
        </w:rPr>
        <w:t>a</w:t>
      </w:r>
      <w:r w:rsidRPr="00395E01">
        <w:rPr>
          <w:rFonts w:asciiTheme="majorHAnsi" w:hAnsiTheme="majorHAnsi" w:cstheme="majorHAnsi"/>
          <w:bCs/>
          <w:sz w:val="28"/>
          <w:szCs w:val="28"/>
          <w:lang w:val="ro-MD"/>
        </w:rPr>
        <w:t xml:space="preserve"> APC. De asemenea, MF nu a ținut cont de faptul că ONVV are statut de IP la autogestiune, fiind</w:t>
      </w:r>
      <w:r w:rsidR="00610E59" w:rsidRPr="00395E01">
        <w:rPr>
          <w:rFonts w:asciiTheme="majorHAnsi" w:hAnsiTheme="majorHAnsi" w:cstheme="majorHAnsi"/>
          <w:bCs/>
          <w:sz w:val="28"/>
          <w:szCs w:val="28"/>
          <w:lang w:val="ro-MD"/>
        </w:rPr>
        <w:t>u-i</w:t>
      </w:r>
      <w:r w:rsidRPr="00395E01">
        <w:rPr>
          <w:rFonts w:asciiTheme="majorHAnsi" w:hAnsiTheme="majorHAnsi" w:cstheme="majorHAnsi"/>
          <w:bCs/>
          <w:sz w:val="28"/>
          <w:szCs w:val="28"/>
          <w:lang w:val="ro-MD"/>
        </w:rPr>
        <w:t xml:space="preserve"> atribuit și cod</w:t>
      </w:r>
      <w:r w:rsidR="00610E59" w:rsidRPr="00395E01">
        <w:rPr>
          <w:rFonts w:asciiTheme="majorHAnsi" w:hAnsiTheme="majorHAnsi" w:cstheme="majorHAnsi"/>
          <w:bCs/>
          <w:sz w:val="28"/>
          <w:szCs w:val="28"/>
          <w:lang w:val="ro-MD"/>
        </w:rPr>
        <w:t>ul</w:t>
      </w:r>
      <w:r w:rsidRPr="00395E01">
        <w:rPr>
          <w:rFonts w:asciiTheme="majorHAnsi" w:hAnsiTheme="majorHAnsi" w:cstheme="majorHAnsi"/>
          <w:bCs/>
          <w:sz w:val="28"/>
          <w:szCs w:val="28"/>
          <w:lang w:val="ro-MD"/>
        </w:rPr>
        <w:t xml:space="preserve"> de instituție bugetară (Org.2)</w:t>
      </w:r>
      <w:r w:rsidRPr="008432DE">
        <w:rPr>
          <w:rStyle w:val="ab"/>
          <w:rFonts w:asciiTheme="majorHAnsi" w:hAnsiTheme="majorHAnsi" w:cstheme="majorHAnsi"/>
          <w:bCs/>
          <w:sz w:val="28"/>
          <w:szCs w:val="28"/>
          <w:lang w:val="ro-MD"/>
        </w:rPr>
        <w:footnoteReference w:id="21"/>
      </w:r>
      <w:r w:rsidRPr="00395E01">
        <w:rPr>
          <w:rFonts w:asciiTheme="majorHAnsi" w:hAnsiTheme="majorHAnsi" w:cstheme="majorHAnsi"/>
          <w:bCs/>
          <w:sz w:val="28"/>
          <w:szCs w:val="28"/>
          <w:lang w:val="ro-MD"/>
        </w:rPr>
        <w:t xml:space="preserve">. Astfel, în calitate de instituție bugetară, ONVV urma să respecte regulile de bugetare stabilite prin Legea </w:t>
      </w:r>
      <w:r w:rsidR="00395E01">
        <w:rPr>
          <w:rFonts w:asciiTheme="majorHAnsi" w:hAnsiTheme="majorHAnsi" w:cstheme="majorHAnsi"/>
          <w:bCs/>
          <w:sz w:val="28"/>
          <w:szCs w:val="28"/>
          <w:lang w:val="ro-MD"/>
        </w:rPr>
        <w:t>nr.</w:t>
      </w:r>
      <w:r w:rsidRPr="00395E01">
        <w:rPr>
          <w:rFonts w:asciiTheme="majorHAnsi" w:hAnsiTheme="majorHAnsi" w:cstheme="majorHAnsi"/>
          <w:bCs/>
          <w:sz w:val="28"/>
          <w:szCs w:val="28"/>
          <w:lang w:val="ro-MD"/>
        </w:rPr>
        <w:t xml:space="preserve">181/2014, și anume să </w:t>
      </w:r>
      <w:r w:rsidR="00B20A57" w:rsidRPr="00395E01">
        <w:rPr>
          <w:rFonts w:asciiTheme="majorHAnsi" w:hAnsiTheme="majorHAnsi" w:cstheme="majorHAnsi"/>
          <w:bCs/>
          <w:sz w:val="28"/>
          <w:szCs w:val="28"/>
          <w:lang w:val="ro-MD"/>
        </w:rPr>
        <w:t>repartizeze</w:t>
      </w:r>
      <w:r w:rsidRPr="00395E01">
        <w:rPr>
          <w:rFonts w:asciiTheme="majorHAnsi" w:hAnsiTheme="majorHAnsi" w:cstheme="majorHAnsi"/>
          <w:bCs/>
          <w:sz w:val="28"/>
          <w:szCs w:val="28"/>
          <w:lang w:val="ro-MD"/>
        </w:rPr>
        <w:t xml:space="preserve"> </w:t>
      </w:r>
      <w:r w:rsidRPr="00395E01">
        <w:rPr>
          <w:rFonts w:asciiTheme="majorHAnsi" w:hAnsiTheme="majorHAnsi" w:cstheme="majorHAnsi"/>
          <w:b/>
          <w:bCs/>
          <w:sz w:val="28"/>
          <w:szCs w:val="28"/>
          <w:lang w:val="ro-MD"/>
        </w:rPr>
        <w:t>limitele</w:t>
      </w:r>
      <w:r w:rsidRPr="00395E01">
        <w:rPr>
          <w:rFonts w:asciiTheme="majorHAnsi" w:hAnsiTheme="majorHAnsi" w:cstheme="majorHAnsi"/>
          <w:bCs/>
          <w:sz w:val="28"/>
          <w:szCs w:val="28"/>
          <w:lang w:val="ro-MD"/>
        </w:rPr>
        <w:t xml:space="preserve"> de </w:t>
      </w:r>
      <w:r w:rsidR="00B20A57" w:rsidRPr="00395E01">
        <w:rPr>
          <w:rFonts w:asciiTheme="majorHAnsi" w:hAnsiTheme="majorHAnsi" w:cstheme="majorHAnsi"/>
          <w:bCs/>
          <w:sz w:val="28"/>
          <w:szCs w:val="28"/>
          <w:lang w:val="ro-MD"/>
        </w:rPr>
        <w:t>alocații</w:t>
      </w:r>
      <w:r w:rsidRPr="00395E01">
        <w:rPr>
          <w:rFonts w:asciiTheme="majorHAnsi" w:hAnsiTheme="majorHAnsi" w:cstheme="majorHAnsi"/>
          <w:bCs/>
          <w:sz w:val="28"/>
          <w:szCs w:val="28"/>
          <w:lang w:val="ro-MD"/>
        </w:rPr>
        <w:t xml:space="preserve"> bugetare conform </w:t>
      </w:r>
      <w:r w:rsidR="00B20A57" w:rsidRPr="003412D3">
        <w:rPr>
          <w:rFonts w:asciiTheme="majorHAnsi" w:hAnsiTheme="majorHAnsi" w:cstheme="majorHAnsi"/>
          <w:bCs/>
          <w:sz w:val="28"/>
          <w:szCs w:val="28"/>
          <w:lang w:val="ro-MD"/>
        </w:rPr>
        <w:t>clasificației</w:t>
      </w:r>
      <w:r w:rsidRPr="003412D3">
        <w:rPr>
          <w:rFonts w:asciiTheme="majorHAnsi" w:hAnsiTheme="majorHAnsi" w:cstheme="majorHAnsi"/>
          <w:bCs/>
          <w:sz w:val="28"/>
          <w:szCs w:val="28"/>
          <w:lang w:val="ro-MD"/>
        </w:rPr>
        <w:t xml:space="preserve"> bugetare, precum și să asigure gestionarea alocaţiilor bugetare în conformitate cu principiile bunei guvernări</w:t>
      </w:r>
      <w:r w:rsidRPr="008432DE">
        <w:rPr>
          <w:rStyle w:val="ab"/>
          <w:rFonts w:asciiTheme="majorHAnsi" w:hAnsiTheme="majorHAnsi" w:cstheme="majorHAnsi"/>
          <w:bCs/>
          <w:sz w:val="28"/>
          <w:szCs w:val="28"/>
          <w:lang w:val="ro-MD"/>
        </w:rPr>
        <w:footnoteReference w:id="22"/>
      </w:r>
      <w:r w:rsidRPr="00395E01">
        <w:rPr>
          <w:rFonts w:asciiTheme="majorHAnsi" w:hAnsiTheme="majorHAnsi" w:cstheme="majorHAnsi"/>
          <w:bCs/>
          <w:sz w:val="28"/>
          <w:szCs w:val="28"/>
          <w:lang w:val="ro-MD"/>
        </w:rPr>
        <w:t xml:space="preserve">. </w:t>
      </w:r>
    </w:p>
    <w:p w:rsidR="002B0C1F" w:rsidRPr="002751FC" w:rsidRDefault="002B0C1F" w:rsidP="00243401">
      <w:pPr>
        <w:pStyle w:val="a3"/>
        <w:rPr>
          <w:rFonts w:asciiTheme="majorHAnsi" w:eastAsia="Times New Roman" w:hAnsiTheme="majorHAnsi" w:cstheme="majorHAnsi"/>
          <w:sz w:val="18"/>
          <w:szCs w:val="18"/>
          <w:lang w:val="ro-MD"/>
        </w:rPr>
      </w:pPr>
    </w:p>
    <w:p w:rsidR="002B0C1F" w:rsidRPr="002751FC" w:rsidRDefault="002B0C1F" w:rsidP="00243401">
      <w:pPr>
        <w:spacing w:after="0"/>
        <w:jc w:val="both"/>
        <w:rPr>
          <w:rFonts w:asciiTheme="majorHAnsi" w:eastAsia="Times New Roman" w:hAnsiTheme="majorHAnsi" w:cstheme="majorHAnsi"/>
          <w:sz w:val="28"/>
          <w:szCs w:val="28"/>
          <w:lang w:val="ro-MD"/>
        </w:rPr>
      </w:pPr>
      <w:r w:rsidRPr="002751FC">
        <w:rPr>
          <w:rFonts w:asciiTheme="majorHAnsi" w:hAnsiTheme="majorHAnsi" w:cstheme="majorHAnsi"/>
          <w:bCs/>
          <w:sz w:val="28"/>
          <w:szCs w:val="28"/>
          <w:lang w:val="ro-MD"/>
        </w:rPr>
        <w:t>Conform explicațiilor și perceperii ONVV, alocațiile bugetare sunt privite ca obligațiuni ale</w:t>
      </w:r>
      <w:r w:rsidR="00B20A57" w:rsidRPr="002751FC">
        <w:rPr>
          <w:rFonts w:asciiTheme="majorHAnsi" w:hAnsiTheme="majorHAnsi" w:cstheme="majorHAnsi"/>
          <w:bCs/>
          <w:sz w:val="28"/>
          <w:szCs w:val="28"/>
          <w:lang w:val="ro-MD"/>
        </w:rPr>
        <w:t xml:space="preserve"> BS față de FVV</w:t>
      </w:r>
      <w:r w:rsidRPr="002751FC">
        <w:rPr>
          <w:rFonts w:asciiTheme="majorHAnsi" w:hAnsiTheme="majorHAnsi" w:cstheme="majorHAnsi"/>
          <w:bCs/>
          <w:sz w:val="28"/>
          <w:szCs w:val="28"/>
          <w:lang w:val="ro-MD"/>
        </w:rPr>
        <w:t xml:space="preserve"> și</w:t>
      </w:r>
      <w:r w:rsidR="007373AF" w:rsidRPr="002751FC">
        <w:rPr>
          <w:rFonts w:asciiTheme="majorHAnsi" w:hAnsiTheme="majorHAnsi" w:cstheme="majorHAnsi"/>
          <w:bCs/>
          <w:sz w:val="28"/>
          <w:szCs w:val="28"/>
          <w:lang w:val="ro-MD"/>
        </w:rPr>
        <w:t>,</w:t>
      </w:r>
      <w:r w:rsidRPr="002751FC">
        <w:rPr>
          <w:rFonts w:asciiTheme="majorHAnsi" w:hAnsiTheme="majorHAnsi" w:cstheme="majorHAnsi"/>
          <w:bCs/>
          <w:sz w:val="28"/>
          <w:szCs w:val="28"/>
          <w:lang w:val="ro-MD"/>
        </w:rPr>
        <w:t xml:space="preserve"> pe parcursul anilor 2016-2018</w:t>
      </w:r>
      <w:r w:rsidR="00B20A57" w:rsidRPr="002751FC">
        <w:rPr>
          <w:rFonts w:asciiTheme="majorHAnsi" w:hAnsiTheme="majorHAnsi" w:cstheme="majorHAnsi"/>
          <w:bCs/>
          <w:sz w:val="28"/>
          <w:szCs w:val="28"/>
          <w:lang w:val="ro-MD"/>
        </w:rPr>
        <w:t>,</w:t>
      </w:r>
      <w:r w:rsidRPr="002751FC">
        <w:rPr>
          <w:rFonts w:asciiTheme="majorHAnsi" w:hAnsiTheme="majorHAnsi" w:cstheme="majorHAnsi"/>
          <w:bCs/>
          <w:sz w:val="28"/>
          <w:szCs w:val="28"/>
          <w:lang w:val="ro-MD"/>
        </w:rPr>
        <w:t xml:space="preserve"> MF a alocat din </w:t>
      </w:r>
      <w:r w:rsidR="00B20A57" w:rsidRPr="002751FC">
        <w:rPr>
          <w:rFonts w:asciiTheme="majorHAnsi" w:hAnsiTheme="majorHAnsi" w:cstheme="majorHAnsi"/>
          <w:bCs/>
          <w:sz w:val="28"/>
          <w:szCs w:val="28"/>
          <w:lang w:val="ro-MD"/>
        </w:rPr>
        <w:t>BS</w:t>
      </w:r>
      <w:r w:rsidRPr="002751FC">
        <w:rPr>
          <w:rFonts w:asciiTheme="majorHAnsi" w:hAnsiTheme="majorHAnsi" w:cstheme="majorHAnsi"/>
          <w:bCs/>
          <w:sz w:val="28"/>
          <w:szCs w:val="28"/>
          <w:lang w:val="ro-MD"/>
        </w:rPr>
        <w:t xml:space="preserve"> sume ce depășesc mărimea contribuțiilor în FVV, care reprezintă soldul alocațiilor neutilizate în anii 2013-2015. De </w:t>
      </w:r>
      <w:r w:rsidR="00B20A57" w:rsidRPr="002751FC">
        <w:rPr>
          <w:rFonts w:asciiTheme="majorHAnsi" w:hAnsiTheme="majorHAnsi" w:cstheme="majorHAnsi"/>
          <w:bCs/>
          <w:sz w:val="28"/>
          <w:szCs w:val="28"/>
          <w:lang w:val="ro-MD"/>
        </w:rPr>
        <w:t>menționat</w:t>
      </w:r>
      <w:r w:rsidRPr="002751FC">
        <w:rPr>
          <w:rFonts w:asciiTheme="majorHAnsi" w:hAnsiTheme="majorHAnsi" w:cstheme="majorHAnsi"/>
          <w:bCs/>
          <w:sz w:val="28"/>
          <w:szCs w:val="28"/>
          <w:lang w:val="ro-MD"/>
        </w:rPr>
        <w:t xml:space="preserve"> că abordarea ONVV a fost acceptată și de MF, care</w:t>
      </w:r>
      <w:r w:rsidR="007373AF" w:rsidRPr="002751FC">
        <w:rPr>
          <w:rFonts w:asciiTheme="majorHAnsi" w:hAnsiTheme="majorHAnsi" w:cstheme="majorHAnsi"/>
          <w:bCs/>
          <w:sz w:val="28"/>
          <w:szCs w:val="28"/>
          <w:lang w:val="ro-MD"/>
        </w:rPr>
        <w:t>,</w:t>
      </w:r>
      <w:r w:rsidRPr="002751FC">
        <w:rPr>
          <w:rFonts w:asciiTheme="majorHAnsi" w:hAnsiTheme="majorHAnsi" w:cstheme="majorHAnsi"/>
          <w:bCs/>
          <w:sz w:val="28"/>
          <w:szCs w:val="28"/>
          <w:lang w:val="ro-MD"/>
        </w:rPr>
        <w:t xml:space="preserve"> prin derogare de la prevederile cadrului regulator, a aprobat alocații ce depășesc suma </w:t>
      </w:r>
      <w:r w:rsidR="00B20A57" w:rsidRPr="002751FC">
        <w:rPr>
          <w:rFonts w:asciiTheme="majorHAnsi" w:hAnsiTheme="majorHAnsi" w:cstheme="majorHAnsi"/>
          <w:bCs/>
          <w:sz w:val="28"/>
          <w:szCs w:val="28"/>
          <w:lang w:val="ro-MD"/>
        </w:rPr>
        <w:t>contribuțiilor</w:t>
      </w:r>
      <w:r w:rsidRPr="002751FC">
        <w:rPr>
          <w:rFonts w:asciiTheme="majorHAnsi" w:hAnsiTheme="majorHAnsi" w:cstheme="majorHAnsi"/>
          <w:bCs/>
          <w:sz w:val="28"/>
          <w:szCs w:val="28"/>
          <w:lang w:val="ro-MD"/>
        </w:rPr>
        <w:t xml:space="preserve"> în FVV aprobate pentru anul bugetar respectiv, </w:t>
      </w:r>
      <w:r w:rsidR="00B20A57" w:rsidRPr="002751FC">
        <w:rPr>
          <w:rFonts w:asciiTheme="majorHAnsi" w:hAnsiTheme="majorHAnsi" w:cstheme="majorHAnsi"/>
          <w:bCs/>
          <w:sz w:val="28"/>
          <w:szCs w:val="28"/>
          <w:lang w:val="ro-MD"/>
        </w:rPr>
        <w:t>neținând</w:t>
      </w:r>
      <w:r w:rsidRPr="002751FC">
        <w:rPr>
          <w:rFonts w:asciiTheme="majorHAnsi" w:hAnsiTheme="majorHAnsi" w:cstheme="majorHAnsi"/>
          <w:bCs/>
          <w:sz w:val="28"/>
          <w:szCs w:val="28"/>
          <w:lang w:val="ro-MD"/>
        </w:rPr>
        <w:t xml:space="preserve"> cont de prevederile pct.8 din Regulamentul FVV, care stipulează expres că „</w:t>
      </w:r>
      <w:r w:rsidRPr="002751FC">
        <w:rPr>
          <w:rFonts w:asciiTheme="majorHAnsi" w:eastAsia="Times New Roman" w:hAnsiTheme="majorHAnsi" w:cstheme="majorHAnsi"/>
          <w:sz w:val="28"/>
          <w:szCs w:val="28"/>
          <w:lang w:val="ro-MD"/>
        </w:rPr>
        <w:t>Oficiul transferă lunar (</w:t>
      </w:r>
      <w:r w:rsidRPr="002751FC">
        <w:rPr>
          <w:rFonts w:asciiTheme="majorHAnsi" w:eastAsia="Times New Roman" w:hAnsiTheme="majorHAnsi" w:cstheme="majorHAnsi"/>
          <w:b/>
          <w:sz w:val="28"/>
          <w:szCs w:val="28"/>
          <w:lang w:val="ro-MD"/>
        </w:rPr>
        <w:t xml:space="preserve">pe măsura </w:t>
      </w:r>
      <w:r w:rsidR="00B20A57" w:rsidRPr="002751FC">
        <w:rPr>
          <w:rFonts w:asciiTheme="majorHAnsi" w:eastAsia="Times New Roman" w:hAnsiTheme="majorHAnsi" w:cstheme="majorHAnsi"/>
          <w:b/>
          <w:sz w:val="28"/>
          <w:szCs w:val="28"/>
          <w:lang w:val="ro-MD"/>
        </w:rPr>
        <w:t>necesității</w:t>
      </w:r>
      <w:r w:rsidRPr="002751FC">
        <w:rPr>
          <w:rFonts w:asciiTheme="majorHAnsi" w:eastAsia="Times New Roman" w:hAnsiTheme="majorHAnsi" w:cstheme="majorHAnsi"/>
          <w:sz w:val="28"/>
          <w:szCs w:val="28"/>
          <w:lang w:val="ro-MD"/>
        </w:rPr>
        <w:t>) mijloacele Fondului din contul trezorerial la contul bancar al Oficiului”. Nici ONVV</w:t>
      </w:r>
      <w:r w:rsidR="00B20A57"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nici MF nu a</w:t>
      </w:r>
      <w:r w:rsidR="007373AF" w:rsidRPr="002751FC">
        <w:rPr>
          <w:rFonts w:asciiTheme="majorHAnsi" w:eastAsia="Times New Roman" w:hAnsiTheme="majorHAnsi" w:cstheme="majorHAnsi"/>
          <w:sz w:val="28"/>
          <w:szCs w:val="28"/>
          <w:lang w:val="ro-MD"/>
        </w:rPr>
        <w:t>u</w:t>
      </w:r>
      <w:r w:rsidRPr="002751FC">
        <w:rPr>
          <w:rFonts w:asciiTheme="majorHAnsi" w:eastAsia="Times New Roman" w:hAnsiTheme="majorHAnsi" w:cstheme="majorHAnsi"/>
          <w:sz w:val="28"/>
          <w:szCs w:val="28"/>
          <w:lang w:val="ro-MD"/>
        </w:rPr>
        <w:t xml:space="preserve"> ținut cont </w:t>
      </w:r>
      <w:r w:rsidR="00B20A57" w:rsidRPr="002751FC">
        <w:rPr>
          <w:rFonts w:asciiTheme="majorHAnsi" w:eastAsia="Times New Roman" w:hAnsiTheme="majorHAnsi" w:cstheme="majorHAnsi"/>
          <w:sz w:val="28"/>
          <w:szCs w:val="28"/>
          <w:lang w:val="ro-MD"/>
        </w:rPr>
        <w:t>de fapt</w:t>
      </w:r>
      <w:r w:rsidRPr="002751FC">
        <w:rPr>
          <w:rFonts w:asciiTheme="majorHAnsi" w:eastAsia="Times New Roman" w:hAnsiTheme="majorHAnsi" w:cstheme="majorHAnsi"/>
          <w:sz w:val="28"/>
          <w:szCs w:val="28"/>
          <w:lang w:val="ro-MD"/>
        </w:rPr>
        <w:t>ul că, de la an la an</w:t>
      </w:r>
      <w:r w:rsidR="007373AF"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în conturile bancare ale ONVV </w:t>
      </w:r>
      <w:r w:rsidR="00B20A57" w:rsidRPr="002751FC">
        <w:rPr>
          <w:rFonts w:asciiTheme="majorHAnsi" w:eastAsia="Times New Roman" w:hAnsiTheme="majorHAnsi" w:cstheme="majorHAnsi"/>
          <w:sz w:val="28"/>
          <w:szCs w:val="28"/>
          <w:lang w:val="ro-MD"/>
        </w:rPr>
        <w:t>rămân</w:t>
      </w:r>
      <w:r w:rsidRPr="002751FC">
        <w:rPr>
          <w:rFonts w:asciiTheme="majorHAnsi" w:eastAsia="Times New Roman" w:hAnsiTheme="majorHAnsi" w:cstheme="majorHAnsi"/>
          <w:sz w:val="28"/>
          <w:szCs w:val="28"/>
          <w:lang w:val="ro-MD"/>
        </w:rPr>
        <w:t xml:space="preserve"> neutilizate mijloace bănești semnificative</w:t>
      </w:r>
      <w:r w:rsidR="007373AF"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ceea ce denotă </w:t>
      </w:r>
      <w:r w:rsidR="00B20A57" w:rsidRPr="002751FC">
        <w:rPr>
          <w:rFonts w:asciiTheme="majorHAnsi" w:eastAsia="Times New Roman" w:hAnsiTheme="majorHAnsi" w:cstheme="majorHAnsi"/>
          <w:sz w:val="28"/>
          <w:szCs w:val="28"/>
          <w:lang w:val="ro-MD"/>
        </w:rPr>
        <w:t>incapacitatea</w:t>
      </w:r>
      <w:r w:rsidRPr="002751FC">
        <w:rPr>
          <w:rFonts w:asciiTheme="majorHAnsi" w:eastAsia="Times New Roman" w:hAnsiTheme="majorHAnsi" w:cstheme="majorHAnsi"/>
          <w:sz w:val="28"/>
          <w:szCs w:val="28"/>
          <w:lang w:val="ro-MD"/>
        </w:rPr>
        <w:t xml:space="preserve"> ONVV de a valorifica toate alocațiile primite în anii bugetari respectivi.</w:t>
      </w:r>
    </w:p>
    <w:p w:rsidR="00A44ED0" w:rsidRPr="002751FC" w:rsidRDefault="00A44ED0" w:rsidP="00243401">
      <w:pPr>
        <w:spacing w:after="0"/>
        <w:jc w:val="both"/>
        <w:rPr>
          <w:rFonts w:asciiTheme="majorHAnsi" w:eastAsia="Times New Roman" w:hAnsiTheme="majorHAnsi" w:cstheme="majorHAnsi"/>
          <w:sz w:val="28"/>
          <w:szCs w:val="28"/>
          <w:lang w:val="ro-MD"/>
        </w:rPr>
      </w:pPr>
    </w:p>
    <w:p w:rsidR="002B0C1F" w:rsidRPr="002751FC" w:rsidRDefault="002B0C1F" w:rsidP="00243401">
      <w:pPr>
        <w:spacing w:after="0"/>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Conform explicațiilor ONVV, </w:t>
      </w:r>
      <w:r w:rsidR="00B20A57" w:rsidRPr="002751FC">
        <w:rPr>
          <w:rFonts w:asciiTheme="majorHAnsi" w:eastAsia="Times New Roman" w:hAnsiTheme="majorHAnsi" w:cstheme="majorHAnsi"/>
          <w:sz w:val="28"/>
          <w:szCs w:val="28"/>
          <w:lang w:val="ro-MD"/>
        </w:rPr>
        <w:t>ținând</w:t>
      </w:r>
      <w:r w:rsidRPr="002751FC">
        <w:rPr>
          <w:rFonts w:asciiTheme="majorHAnsi" w:eastAsia="Times New Roman" w:hAnsiTheme="majorHAnsi" w:cstheme="majorHAnsi"/>
          <w:sz w:val="28"/>
          <w:szCs w:val="28"/>
          <w:lang w:val="ro-MD"/>
        </w:rPr>
        <w:t xml:space="preserve"> cont </w:t>
      </w:r>
      <w:r w:rsidR="007373AF" w:rsidRPr="002751FC">
        <w:rPr>
          <w:rFonts w:asciiTheme="majorHAnsi" w:eastAsia="Times New Roman" w:hAnsiTheme="majorHAnsi" w:cstheme="majorHAnsi"/>
          <w:sz w:val="28"/>
          <w:szCs w:val="28"/>
          <w:lang w:val="ro-MD"/>
        </w:rPr>
        <w:t xml:space="preserve">de faptul </w:t>
      </w:r>
      <w:r w:rsidRPr="002751FC">
        <w:rPr>
          <w:rFonts w:asciiTheme="majorHAnsi" w:eastAsia="Times New Roman" w:hAnsiTheme="majorHAnsi" w:cstheme="majorHAnsi"/>
          <w:sz w:val="28"/>
          <w:szCs w:val="28"/>
          <w:lang w:val="ro-MD"/>
        </w:rPr>
        <w:t>că, pe parcursul anilor 2014-2015</w:t>
      </w:r>
      <w:r w:rsidR="007373AF"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de la bugetul de stat</w:t>
      </w:r>
      <w:r w:rsidR="00B20A57" w:rsidRPr="002751FC">
        <w:rPr>
          <w:rFonts w:asciiTheme="majorHAnsi" w:eastAsia="Times New Roman" w:hAnsiTheme="majorHAnsi" w:cstheme="majorHAnsi"/>
          <w:sz w:val="28"/>
          <w:szCs w:val="28"/>
          <w:lang w:val="ro-MD"/>
        </w:rPr>
        <w:t xml:space="preserve"> nu au fost efectuate finanțări din </w:t>
      </w:r>
      <w:r w:rsidRPr="002751FC">
        <w:rPr>
          <w:rFonts w:asciiTheme="majorHAnsi" w:eastAsia="Times New Roman" w:hAnsiTheme="majorHAnsi" w:cstheme="majorHAnsi"/>
          <w:sz w:val="28"/>
          <w:szCs w:val="28"/>
          <w:lang w:val="ro-MD"/>
        </w:rPr>
        <w:t>contul alocațiil</w:t>
      </w:r>
      <w:r w:rsidR="00B20A57" w:rsidRPr="002751FC">
        <w:rPr>
          <w:rFonts w:asciiTheme="majorHAnsi" w:eastAsia="Times New Roman" w:hAnsiTheme="majorHAnsi" w:cstheme="majorHAnsi"/>
          <w:sz w:val="28"/>
          <w:szCs w:val="28"/>
          <w:lang w:val="ro-MD"/>
        </w:rPr>
        <w:t>or</w:t>
      </w:r>
      <w:r w:rsidRPr="002751FC">
        <w:rPr>
          <w:rFonts w:asciiTheme="majorHAnsi" w:eastAsia="Times New Roman" w:hAnsiTheme="majorHAnsi" w:cstheme="majorHAnsi"/>
          <w:sz w:val="28"/>
          <w:szCs w:val="28"/>
          <w:lang w:val="ro-MD"/>
        </w:rPr>
        <w:t xml:space="preserve"> bugetare (28,0 </w:t>
      </w:r>
      <w:proofErr w:type="spellStart"/>
      <w:r w:rsidRPr="002751FC">
        <w:rPr>
          <w:rFonts w:asciiTheme="majorHAnsi" w:eastAsia="Times New Roman" w:hAnsiTheme="majorHAnsi" w:cstheme="majorHAnsi"/>
          <w:sz w:val="28"/>
          <w:szCs w:val="28"/>
          <w:lang w:val="ro-MD"/>
        </w:rPr>
        <w:t>mil.MDL</w:t>
      </w:r>
      <w:proofErr w:type="spellEnd"/>
      <w:r w:rsidRPr="00395E01">
        <w:rPr>
          <w:rFonts w:asciiTheme="majorHAnsi" w:eastAsia="Times New Roman" w:hAnsiTheme="majorHAnsi" w:cstheme="majorHAnsi"/>
          <w:sz w:val="28"/>
          <w:szCs w:val="28"/>
          <w:lang w:val="ro-MD"/>
        </w:rPr>
        <w:t>)</w:t>
      </w:r>
      <w:r w:rsidRPr="008432DE">
        <w:rPr>
          <w:rStyle w:val="ab"/>
          <w:rFonts w:asciiTheme="majorHAnsi" w:hAnsiTheme="majorHAnsi" w:cstheme="majorHAnsi"/>
          <w:sz w:val="28"/>
          <w:szCs w:val="28"/>
          <w:lang w:val="ro-MD"/>
        </w:rPr>
        <w:footnoteReference w:id="23"/>
      </w:r>
      <w:r w:rsidR="00395E01">
        <w:rPr>
          <w:rFonts w:asciiTheme="majorHAnsi" w:eastAsia="Times New Roman" w:hAnsiTheme="majorHAnsi" w:cstheme="majorHAnsi"/>
          <w:sz w:val="28"/>
          <w:szCs w:val="28"/>
          <w:lang w:val="ro-MD"/>
        </w:rPr>
        <w:t>,</w:t>
      </w:r>
      <w:r w:rsidRPr="00395E01">
        <w:rPr>
          <w:rFonts w:asciiTheme="majorHAnsi" w:eastAsia="Times New Roman" w:hAnsiTheme="majorHAnsi" w:cstheme="majorHAnsi"/>
          <w:sz w:val="28"/>
          <w:szCs w:val="28"/>
          <w:lang w:val="ro-MD"/>
        </w:rPr>
        <w:t xml:space="preserve"> </w:t>
      </w:r>
      <w:r w:rsidR="00B20A57" w:rsidRPr="00395E01">
        <w:rPr>
          <w:rFonts w:asciiTheme="majorHAnsi" w:eastAsia="Times New Roman" w:hAnsiTheme="majorHAnsi" w:cstheme="majorHAnsi"/>
          <w:sz w:val="28"/>
          <w:szCs w:val="28"/>
          <w:lang w:val="ro-MD"/>
        </w:rPr>
        <w:t>ace</w:t>
      </w:r>
      <w:r w:rsidR="007373AF" w:rsidRPr="00395E01">
        <w:rPr>
          <w:rFonts w:asciiTheme="majorHAnsi" w:eastAsia="Times New Roman" w:hAnsiTheme="majorHAnsi" w:cstheme="majorHAnsi"/>
          <w:sz w:val="28"/>
          <w:szCs w:val="28"/>
          <w:lang w:val="ro-MD"/>
        </w:rPr>
        <w:t>stea</w:t>
      </w:r>
      <w:r w:rsidRPr="00395E01">
        <w:rPr>
          <w:rFonts w:asciiTheme="majorHAnsi" w:eastAsia="Times New Roman" w:hAnsiTheme="majorHAnsi" w:cstheme="majorHAnsi"/>
          <w:sz w:val="28"/>
          <w:szCs w:val="28"/>
          <w:lang w:val="ro-MD"/>
        </w:rPr>
        <w:t xml:space="preserve"> au fost acceptate de MF pentru a fi finanțate în anii 2016-2018 (vezi </w:t>
      </w:r>
      <w:r w:rsidR="007373AF" w:rsidRPr="00395E01">
        <w:rPr>
          <w:rFonts w:asciiTheme="majorHAnsi" w:eastAsia="Times New Roman" w:hAnsiTheme="majorHAnsi" w:cstheme="majorHAnsi"/>
          <w:sz w:val="28"/>
          <w:szCs w:val="28"/>
          <w:lang w:val="ro-MD"/>
        </w:rPr>
        <w:t>T</w:t>
      </w:r>
      <w:r w:rsidRPr="00395E01">
        <w:rPr>
          <w:rFonts w:asciiTheme="majorHAnsi" w:eastAsia="Times New Roman" w:hAnsiTheme="majorHAnsi" w:cstheme="majorHAnsi"/>
          <w:sz w:val="28"/>
          <w:szCs w:val="28"/>
          <w:lang w:val="ro-MD"/>
        </w:rPr>
        <w:t>abelul nr.</w:t>
      </w:r>
      <w:r w:rsidR="009F6878" w:rsidRPr="00395E01">
        <w:rPr>
          <w:rFonts w:asciiTheme="majorHAnsi" w:eastAsia="Times New Roman" w:hAnsiTheme="majorHAnsi" w:cstheme="majorHAnsi"/>
          <w:sz w:val="28"/>
          <w:szCs w:val="28"/>
          <w:lang w:val="ro-MD"/>
        </w:rPr>
        <w:t>3</w:t>
      </w:r>
      <w:r w:rsidRPr="00395E01">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w:t>
      </w:r>
    </w:p>
    <w:p w:rsidR="00A44ED0" w:rsidRPr="002751FC" w:rsidRDefault="00A44ED0" w:rsidP="00243401">
      <w:pPr>
        <w:pStyle w:val="a3"/>
        <w:ind w:firstLine="0"/>
        <w:rPr>
          <w:rFonts w:asciiTheme="majorHAnsi" w:eastAsia="Times New Roman" w:hAnsiTheme="majorHAnsi" w:cstheme="majorHAnsi"/>
          <w:bCs/>
          <w:sz w:val="28"/>
          <w:szCs w:val="28"/>
          <w:lang w:val="ro-MD"/>
        </w:rPr>
      </w:pPr>
    </w:p>
    <w:p w:rsidR="002B0C1F" w:rsidRPr="00395E01" w:rsidRDefault="002B0C1F" w:rsidP="008F28DF">
      <w:pPr>
        <w:pStyle w:val="a3"/>
        <w:rPr>
          <w:rFonts w:asciiTheme="majorHAnsi" w:hAnsiTheme="majorHAnsi" w:cstheme="majorHAnsi"/>
          <w:bCs/>
          <w:sz w:val="28"/>
          <w:szCs w:val="28"/>
          <w:lang w:val="ro-MD"/>
        </w:rPr>
      </w:pPr>
      <w:r w:rsidRPr="00444A54">
        <w:rPr>
          <w:rFonts w:asciiTheme="majorHAnsi" w:eastAsia="Times New Roman" w:hAnsiTheme="majorHAnsi" w:cstheme="majorHAnsi"/>
          <w:bCs/>
          <w:sz w:val="28"/>
          <w:szCs w:val="28"/>
          <w:lang w:val="ro-MD"/>
        </w:rPr>
        <w:lastRenderedPageBreak/>
        <w:t>Auditul constată că, urmare a faptului că sursele</w:t>
      </w:r>
      <w:r w:rsidR="006C7524" w:rsidRPr="00444A54">
        <w:rPr>
          <w:rFonts w:asciiTheme="majorHAnsi" w:eastAsia="Times New Roman" w:hAnsiTheme="majorHAnsi" w:cstheme="majorHAnsi"/>
          <w:bCs/>
          <w:sz w:val="28"/>
          <w:szCs w:val="28"/>
          <w:lang w:val="ro-MD"/>
        </w:rPr>
        <w:t xml:space="preserve"> de</w:t>
      </w:r>
      <w:r w:rsidRPr="00444A54">
        <w:rPr>
          <w:rFonts w:asciiTheme="majorHAnsi" w:eastAsia="Times New Roman" w:hAnsiTheme="majorHAnsi" w:cstheme="majorHAnsi"/>
          <w:bCs/>
          <w:sz w:val="28"/>
          <w:szCs w:val="28"/>
          <w:lang w:val="ro-MD"/>
        </w:rPr>
        <w:t xml:space="preserve"> finanțare a FVV sunt acumulate la un cont trezorerial, gestionarea acestora cade sub </w:t>
      </w:r>
      <w:r w:rsidR="00A726A8" w:rsidRPr="00444A54">
        <w:rPr>
          <w:rFonts w:asciiTheme="majorHAnsi" w:eastAsia="Times New Roman" w:hAnsiTheme="majorHAnsi" w:cstheme="majorHAnsi"/>
          <w:bCs/>
          <w:sz w:val="28"/>
          <w:szCs w:val="28"/>
          <w:lang w:val="ro-MD"/>
        </w:rPr>
        <w:t xml:space="preserve">incidența </w:t>
      </w:r>
      <w:r w:rsidRPr="00444A54">
        <w:rPr>
          <w:rFonts w:asciiTheme="majorHAnsi" w:eastAsia="Times New Roman" w:hAnsiTheme="majorHAnsi" w:cstheme="majorHAnsi"/>
          <w:bCs/>
          <w:sz w:val="28"/>
          <w:szCs w:val="28"/>
          <w:lang w:val="ro-MD"/>
        </w:rPr>
        <w:t>Legii finanțelor publice și responsabilității bugetar-fiscale</w:t>
      </w:r>
      <w:r w:rsidRPr="00444A54">
        <w:rPr>
          <w:rFonts w:asciiTheme="majorHAnsi" w:hAnsiTheme="majorHAnsi" w:cstheme="majorHAnsi"/>
          <w:bCs/>
          <w:sz w:val="28"/>
          <w:szCs w:val="28"/>
          <w:vertAlign w:val="superscript"/>
          <w:lang w:val="ro-MD"/>
        </w:rPr>
        <w:footnoteReference w:id="24"/>
      </w:r>
      <w:r w:rsidRPr="00444A54">
        <w:rPr>
          <w:rFonts w:asciiTheme="majorHAnsi" w:eastAsia="Times New Roman" w:hAnsiTheme="majorHAnsi" w:cstheme="majorHAnsi"/>
          <w:bCs/>
          <w:sz w:val="28"/>
          <w:szCs w:val="28"/>
          <w:lang w:val="ro-MD"/>
        </w:rPr>
        <w:t xml:space="preserve"> </w:t>
      </w:r>
      <w:r w:rsidR="004E6648" w:rsidRPr="00444A54">
        <w:rPr>
          <w:rFonts w:asciiTheme="majorHAnsi" w:eastAsia="Times New Roman" w:hAnsiTheme="majorHAnsi" w:cstheme="majorHAnsi"/>
          <w:bCs/>
          <w:sz w:val="28"/>
          <w:szCs w:val="28"/>
          <w:lang w:val="ro-MD"/>
        </w:rPr>
        <w:t>ş</w:t>
      </w:r>
      <w:r w:rsidRPr="00444A54">
        <w:rPr>
          <w:rFonts w:asciiTheme="majorHAnsi" w:eastAsia="Times New Roman" w:hAnsiTheme="majorHAnsi" w:cstheme="majorHAnsi"/>
          <w:bCs/>
          <w:sz w:val="28"/>
          <w:szCs w:val="28"/>
          <w:lang w:val="ro-MD"/>
        </w:rPr>
        <w:t>i</w:t>
      </w:r>
      <w:r w:rsidR="00A726A8" w:rsidRPr="00444A54">
        <w:rPr>
          <w:rFonts w:asciiTheme="majorHAnsi" w:eastAsia="Times New Roman" w:hAnsiTheme="majorHAnsi" w:cstheme="majorHAnsi"/>
          <w:bCs/>
          <w:sz w:val="28"/>
          <w:szCs w:val="28"/>
          <w:lang w:val="ro-MD"/>
        </w:rPr>
        <w:t>,</w:t>
      </w:r>
      <w:r w:rsidRPr="00444A54">
        <w:rPr>
          <w:rFonts w:asciiTheme="majorHAnsi" w:eastAsia="Times New Roman" w:hAnsiTheme="majorHAnsi" w:cstheme="majorHAnsi"/>
          <w:bCs/>
          <w:sz w:val="28"/>
          <w:szCs w:val="28"/>
          <w:lang w:val="ro-MD"/>
        </w:rPr>
        <w:t xml:space="preserve"> respectiv</w:t>
      </w:r>
      <w:r w:rsidR="004E6648" w:rsidRPr="00444A54">
        <w:rPr>
          <w:rFonts w:asciiTheme="majorHAnsi" w:eastAsia="Times New Roman" w:hAnsiTheme="majorHAnsi" w:cstheme="majorHAnsi"/>
          <w:bCs/>
          <w:sz w:val="28"/>
          <w:szCs w:val="28"/>
          <w:lang w:val="ro-MD"/>
        </w:rPr>
        <w:t>,</w:t>
      </w:r>
      <w:r w:rsidR="008F61EC" w:rsidRPr="00444A54">
        <w:rPr>
          <w:rFonts w:asciiTheme="majorHAnsi" w:eastAsia="Times New Roman" w:hAnsiTheme="majorHAnsi" w:cstheme="majorHAnsi"/>
          <w:bCs/>
          <w:sz w:val="28"/>
          <w:szCs w:val="28"/>
          <w:lang w:val="ro-MD"/>
        </w:rPr>
        <w:t xml:space="preserve"> </w:t>
      </w:r>
      <w:r w:rsidR="004E6648" w:rsidRPr="00444A54">
        <w:rPr>
          <w:rFonts w:asciiTheme="majorHAnsi" w:eastAsia="Times New Roman" w:hAnsiTheme="majorHAnsi" w:cstheme="majorHAnsi"/>
          <w:bCs/>
          <w:sz w:val="28"/>
          <w:szCs w:val="28"/>
          <w:lang w:val="ro-MD"/>
        </w:rPr>
        <w:t>O</w:t>
      </w:r>
      <w:r w:rsidRPr="00444A54">
        <w:rPr>
          <w:rFonts w:asciiTheme="majorHAnsi" w:eastAsia="Times New Roman" w:hAnsiTheme="majorHAnsi" w:cstheme="majorHAnsi"/>
          <w:bCs/>
          <w:sz w:val="28"/>
          <w:szCs w:val="28"/>
          <w:lang w:val="ro-MD"/>
        </w:rPr>
        <w:t>rdinu</w:t>
      </w:r>
      <w:r w:rsidR="004E6648" w:rsidRPr="00444A54">
        <w:rPr>
          <w:rFonts w:asciiTheme="majorHAnsi" w:eastAsia="Times New Roman" w:hAnsiTheme="majorHAnsi" w:cstheme="majorHAnsi"/>
          <w:bCs/>
          <w:sz w:val="28"/>
          <w:szCs w:val="28"/>
          <w:lang w:val="ro-MD"/>
        </w:rPr>
        <w:t>l</w:t>
      </w:r>
      <w:r w:rsidRPr="00444A54">
        <w:rPr>
          <w:rFonts w:asciiTheme="majorHAnsi" w:eastAsia="Times New Roman" w:hAnsiTheme="majorHAnsi" w:cstheme="majorHAnsi"/>
          <w:bCs/>
          <w:sz w:val="28"/>
          <w:szCs w:val="28"/>
          <w:lang w:val="ro-MD"/>
        </w:rPr>
        <w:t xml:space="preserve">ui MF nr.215 din 28.12.2015 </w:t>
      </w:r>
      <w:r w:rsidR="00A726A8" w:rsidRPr="00444A54">
        <w:rPr>
          <w:rFonts w:asciiTheme="majorHAnsi" w:eastAsia="Times New Roman" w:hAnsiTheme="majorHAnsi" w:cstheme="majorHAnsi"/>
          <w:bCs/>
          <w:sz w:val="28"/>
          <w:szCs w:val="28"/>
          <w:lang w:val="ro-MD"/>
        </w:rPr>
        <w:t>„C</w:t>
      </w:r>
      <w:r w:rsidRPr="00444A54">
        <w:rPr>
          <w:rFonts w:asciiTheme="majorHAnsi" w:eastAsia="Times New Roman" w:hAnsiTheme="majorHAnsi" w:cstheme="majorHAnsi"/>
          <w:bCs/>
          <w:sz w:val="28"/>
          <w:szCs w:val="28"/>
          <w:lang w:val="ro-MD"/>
        </w:rPr>
        <w:t xml:space="preserve">u privire la aprobarea Normelor metodologice privind executarea de casă a bugetelor componente ale bugetului public </w:t>
      </w:r>
      <w:r w:rsidR="004E6648" w:rsidRPr="00444A54">
        <w:rPr>
          <w:rFonts w:asciiTheme="majorHAnsi" w:eastAsia="Times New Roman" w:hAnsiTheme="majorHAnsi" w:cstheme="majorHAnsi"/>
          <w:bCs/>
          <w:sz w:val="28"/>
          <w:szCs w:val="28"/>
          <w:lang w:val="ro-MD"/>
        </w:rPr>
        <w:t>național</w:t>
      </w:r>
      <w:r w:rsidR="008F28DF" w:rsidRPr="00444A54">
        <w:rPr>
          <w:rFonts w:asciiTheme="majorHAnsi" w:eastAsia="Times New Roman" w:hAnsiTheme="majorHAnsi" w:cstheme="majorHAnsi"/>
          <w:bCs/>
          <w:sz w:val="28"/>
          <w:szCs w:val="28"/>
          <w:lang w:val="ro-MD"/>
        </w:rPr>
        <w:t xml:space="preserve"> și a mijloacelor extrabugetare</w:t>
      </w:r>
      <w:r w:rsidRPr="00444A54">
        <w:rPr>
          <w:rFonts w:asciiTheme="majorHAnsi" w:eastAsia="Times New Roman" w:hAnsiTheme="majorHAnsi" w:cstheme="majorHAnsi"/>
          <w:bCs/>
          <w:sz w:val="28"/>
          <w:szCs w:val="28"/>
          <w:lang w:val="ro-MD"/>
        </w:rPr>
        <w:t xml:space="preserve"> prin sistemul trezorerial al </w:t>
      </w:r>
      <w:r w:rsidR="004E6648" w:rsidRPr="00444A54">
        <w:rPr>
          <w:rFonts w:asciiTheme="majorHAnsi" w:eastAsia="Times New Roman" w:hAnsiTheme="majorHAnsi" w:cstheme="majorHAnsi"/>
          <w:bCs/>
          <w:sz w:val="28"/>
          <w:szCs w:val="28"/>
          <w:lang w:val="ro-MD"/>
        </w:rPr>
        <w:t>MF</w:t>
      </w:r>
      <w:r w:rsidR="00A726A8" w:rsidRPr="00444A54">
        <w:rPr>
          <w:rFonts w:asciiTheme="majorHAnsi" w:eastAsia="Times New Roman" w:hAnsiTheme="majorHAnsi" w:cstheme="majorHAnsi"/>
          <w:bCs/>
          <w:sz w:val="28"/>
          <w:szCs w:val="28"/>
          <w:lang w:val="ro-MD"/>
        </w:rPr>
        <w:t>”</w:t>
      </w:r>
      <w:r w:rsidRPr="00444A54">
        <w:rPr>
          <w:rFonts w:asciiTheme="majorHAnsi" w:hAnsiTheme="majorHAnsi" w:cstheme="majorHAnsi"/>
          <w:bCs/>
          <w:sz w:val="28"/>
          <w:szCs w:val="28"/>
          <w:lang w:val="ro-MD"/>
        </w:rPr>
        <w:t>. Tot în acest context</w:t>
      </w:r>
      <w:r w:rsidR="004E6648" w:rsidRPr="00444A54">
        <w:rPr>
          <w:rFonts w:asciiTheme="majorHAnsi" w:hAnsiTheme="majorHAnsi" w:cstheme="majorHAnsi"/>
          <w:bCs/>
          <w:sz w:val="28"/>
          <w:szCs w:val="28"/>
          <w:lang w:val="ro-MD"/>
        </w:rPr>
        <w:t>, urmare a schimbării regulilor</w:t>
      </w:r>
      <w:r w:rsidRPr="00444A54">
        <w:rPr>
          <w:rFonts w:asciiTheme="majorHAnsi" w:hAnsiTheme="majorHAnsi" w:cstheme="majorHAnsi"/>
          <w:bCs/>
          <w:sz w:val="28"/>
          <w:szCs w:val="28"/>
          <w:lang w:val="ro-MD"/>
        </w:rPr>
        <w:t xml:space="preserve"> de gestionare</w:t>
      </w:r>
      <w:r w:rsidRPr="002751FC">
        <w:rPr>
          <w:rFonts w:asciiTheme="majorHAnsi" w:hAnsiTheme="majorHAnsi" w:cstheme="majorHAnsi"/>
          <w:bCs/>
          <w:sz w:val="28"/>
          <w:szCs w:val="28"/>
          <w:lang w:val="ro-MD"/>
        </w:rPr>
        <w:t xml:space="preserve"> a mijloacelor FVV prin sistemul trezorerial </w:t>
      </w:r>
      <w:r w:rsidR="004E6648" w:rsidRPr="002751FC">
        <w:rPr>
          <w:rFonts w:asciiTheme="majorHAnsi" w:hAnsiTheme="majorHAnsi" w:cstheme="majorHAnsi"/>
          <w:bCs/>
          <w:sz w:val="28"/>
          <w:szCs w:val="28"/>
          <w:lang w:val="ro-MD"/>
        </w:rPr>
        <w:t>începând</w:t>
      </w:r>
      <w:r w:rsidRPr="002751FC">
        <w:rPr>
          <w:rFonts w:asciiTheme="majorHAnsi" w:hAnsiTheme="majorHAnsi" w:cstheme="majorHAnsi"/>
          <w:bCs/>
          <w:sz w:val="28"/>
          <w:szCs w:val="28"/>
          <w:lang w:val="ro-MD"/>
        </w:rPr>
        <w:t xml:space="preserve"> cu anul 2016</w:t>
      </w:r>
      <w:r w:rsidRPr="00FB3337">
        <w:rPr>
          <w:rStyle w:val="ab"/>
          <w:rFonts w:asciiTheme="majorHAnsi" w:hAnsiTheme="majorHAnsi" w:cstheme="majorHAnsi"/>
          <w:bCs/>
          <w:sz w:val="28"/>
          <w:szCs w:val="28"/>
          <w:lang w:val="ro-MD"/>
        </w:rPr>
        <w:footnoteReference w:id="25"/>
      </w:r>
      <w:r w:rsidR="004E6648" w:rsidRPr="00395E01">
        <w:rPr>
          <w:rFonts w:asciiTheme="majorHAnsi" w:hAnsiTheme="majorHAnsi" w:cstheme="majorHAnsi"/>
          <w:bCs/>
          <w:sz w:val="28"/>
          <w:szCs w:val="28"/>
          <w:lang w:val="ro-MD"/>
        </w:rPr>
        <w:t xml:space="preserve">, </w:t>
      </w:r>
      <w:r w:rsidRPr="00395E01">
        <w:rPr>
          <w:rFonts w:asciiTheme="majorHAnsi" w:hAnsiTheme="majorHAnsi" w:cstheme="majorHAnsi"/>
          <w:bCs/>
          <w:sz w:val="28"/>
          <w:szCs w:val="28"/>
          <w:lang w:val="ro-MD"/>
        </w:rPr>
        <w:t xml:space="preserve">contribuțiilor în FVV </w:t>
      </w:r>
      <w:r w:rsidR="00A726A8" w:rsidRPr="00395E01">
        <w:rPr>
          <w:rFonts w:asciiTheme="majorHAnsi" w:hAnsiTheme="majorHAnsi" w:cstheme="majorHAnsi"/>
          <w:bCs/>
          <w:sz w:val="28"/>
          <w:szCs w:val="28"/>
          <w:lang w:val="ro-MD"/>
        </w:rPr>
        <w:t>le-</w:t>
      </w:r>
      <w:r w:rsidRPr="00395E01">
        <w:rPr>
          <w:rFonts w:asciiTheme="majorHAnsi" w:hAnsiTheme="majorHAnsi" w:cstheme="majorHAnsi"/>
          <w:bCs/>
          <w:sz w:val="28"/>
          <w:szCs w:val="28"/>
          <w:lang w:val="ro-MD"/>
        </w:rPr>
        <w:t>a fost stabilit neregulamentar statutul de venituri colectate</w:t>
      </w:r>
      <w:r w:rsidRPr="00FB3337">
        <w:rPr>
          <w:rStyle w:val="ab"/>
          <w:rFonts w:asciiTheme="majorHAnsi" w:hAnsiTheme="majorHAnsi" w:cstheme="majorHAnsi"/>
          <w:bCs/>
          <w:sz w:val="28"/>
          <w:szCs w:val="28"/>
          <w:lang w:val="ro-MD"/>
        </w:rPr>
        <w:footnoteReference w:id="26"/>
      </w:r>
      <w:r w:rsidR="00A726A8" w:rsidRPr="00395E01">
        <w:rPr>
          <w:rFonts w:asciiTheme="majorHAnsi" w:hAnsiTheme="majorHAnsi" w:cstheme="majorHAnsi"/>
          <w:bCs/>
          <w:sz w:val="28"/>
          <w:szCs w:val="28"/>
          <w:lang w:val="ro-MD"/>
        </w:rPr>
        <w:t>,</w:t>
      </w:r>
      <w:r w:rsidRPr="00395E01">
        <w:rPr>
          <w:rFonts w:asciiTheme="majorHAnsi" w:hAnsiTheme="majorHAnsi" w:cstheme="majorHAnsi"/>
          <w:bCs/>
          <w:sz w:val="28"/>
          <w:szCs w:val="28"/>
          <w:lang w:val="ro-MD"/>
        </w:rPr>
        <w:t xml:space="preserve"> deși acestea nu se încadrează în noțiunea respectivă.</w:t>
      </w:r>
    </w:p>
    <w:p w:rsidR="00A44ED0" w:rsidRPr="002751FC" w:rsidRDefault="00A44ED0" w:rsidP="00243401">
      <w:pPr>
        <w:pStyle w:val="a3"/>
        <w:ind w:firstLine="0"/>
        <w:rPr>
          <w:rFonts w:asciiTheme="majorHAnsi" w:eastAsia="Times New Roman" w:hAnsiTheme="majorHAnsi" w:cstheme="majorHAnsi"/>
          <w:sz w:val="28"/>
          <w:szCs w:val="28"/>
          <w:lang w:val="ro-MD"/>
        </w:rPr>
      </w:pPr>
    </w:p>
    <w:p w:rsidR="002B0C1F" w:rsidRPr="00395E01" w:rsidRDefault="002B0C1F" w:rsidP="00243401">
      <w:pPr>
        <w:pStyle w:val="a3"/>
        <w:ind w:firstLine="0"/>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Toate cele </w:t>
      </w:r>
      <w:r w:rsidRPr="00395E01">
        <w:rPr>
          <w:rFonts w:asciiTheme="majorHAnsi" w:eastAsia="Times New Roman" w:hAnsiTheme="majorHAnsi" w:cstheme="majorHAnsi"/>
          <w:sz w:val="28"/>
          <w:szCs w:val="28"/>
          <w:lang w:val="ro-MD"/>
        </w:rPr>
        <w:t>constatate (prezența în cadrul regulator aferent FVV a prevederilor privitor la contul trezorerial</w:t>
      </w:r>
      <w:r w:rsidRPr="00FB3337">
        <w:rPr>
          <w:rStyle w:val="ab"/>
          <w:rFonts w:asciiTheme="majorHAnsi" w:hAnsiTheme="majorHAnsi" w:cstheme="majorHAnsi"/>
          <w:sz w:val="28"/>
          <w:szCs w:val="28"/>
          <w:lang w:val="ro-MD"/>
        </w:rPr>
        <w:footnoteReference w:id="27"/>
      </w:r>
      <w:r w:rsidRPr="00395E01">
        <w:rPr>
          <w:rFonts w:asciiTheme="majorHAnsi" w:eastAsia="Times New Roman" w:hAnsiTheme="majorHAnsi" w:cstheme="majorHAnsi"/>
          <w:sz w:val="28"/>
          <w:szCs w:val="28"/>
          <w:lang w:val="ro-MD"/>
        </w:rPr>
        <w:t xml:space="preserve">, precum și atribuirea contribuțiilor în FVV a statutului de venituri colectate) sunt </w:t>
      </w:r>
      <w:r w:rsidR="00307BFD" w:rsidRPr="00395E01">
        <w:rPr>
          <w:rFonts w:asciiTheme="majorHAnsi" w:eastAsia="Times New Roman" w:hAnsiTheme="majorHAnsi" w:cstheme="majorHAnsi"/>
          <w:sz w:val="28"/>
          <w:szCs w:val="28"/>
          <w:lang w:val="ro-MD"/>
        </w:rPr>
        <w:t>consecinț</w:t>
      </w:r>
      <w:r w:rsidR="00A726A8" w:rsidRPr="00395E01">
        <w:rPr>
          <w:rFonts w:asciiTheme="majorHAnsi" w:eastAsia="Times New Roman" w:hAnsiTheme="majorHAnsi" w:cstheme="majorHAnsi"/>
          <w:sz w:val="28"/>
          <w:szCs w:val="28"/>
          <w:lang w:val="ro-MD"/>
        </w:rPr>
        <w:t>e</w:t>
      </w:r>
      <w:r w:rsidRPr="00395E01">
        <w:rPr>
          <w:rFonts w:asciiTheme="majorHAnsi" w:eastAsia="Times New Roman" w:hAnsiTheme="majorHAnsi" w:cstheme="majorHAnsi"/>
          <w:sz w:val="28"/>
          <w:szCs w:val="28"/>
          <w:lang w:val="ro-MD"/>
        </w:rPr>
        <w:t xml:space="preserve"> a</w:t>
      </w:r>
      <w:r w:rsidR="00A726A8" w:rsidRPr="00395E01">
        <w:rPr>
          <w:rFonts w:asciiTheme="majorHAnsi" w:eastAsia="Times New Roman" w:hAnsiTheme="majorHAnsi" w:cstheme="majorHAnsi"/>
          <w:sz w:val="28"/>
          <w:szCs w:val="28"/>
          <w:lang w:val="ro-MD"/>
        </w:rPr>
        <w:t>le</w:t>
      </w:r>
      <w:r w:rsidRPr="00395E01">
        <w:rPr>
          <w:rFonts w:asciiTheme="majorHAnsi" w:eastAsia="Times New Roman" w:hAnsiTheme="majorHAnsi" w:cstheme="majorHAnsi"/>
          <w:sz w:val="28"/>
          <w:szCs w:val="28"/>
          <w:lang w:val="ro-MD"/>
        </w:rPr>
        <w:t xml:space="preserve"> faptului că </w:t>
      </w:r>
      <w:r w:rsidRPr="00395E01">
        <w:rPr>
          <w:rFonts w:asciiTheme="majorHAnsi" w:hAnsiTheme="majorHAnsi" w:cstheme="majorHAnsi"/>
          <w:bCs/>
          <w:sz w:val="28"/>
          <w:szCs w:val="28"/>
          <w:lang w:val="ro-MD"/>
        </w:rPr>
        <w:t>nici MF</w:t>
      </w:r>
      <w:r w:rsidR="00307BFD" w:rsidRPr="00395E01">
        <w:rPr>
          <w:rFonts w:asciiTheme="majorHAnsi" w:hAnsiTheme="majorHAnsi" w:cstheme="majorHAnsi"/>
          <w:bCs/>
          <w:sz w:val="28"/>
          <w:szCs w:val="28"/>
          <w:lang w:val="ro-MD"/>
        </w:rPr>
        <w:t>, nici ONVV nu a</w:t>
      </w:r>
      <w:r w:rsidR="00A726A8" w:rsidRPr="00395E01">
        <w:rPr>
          <w:rFonts w:asciiTheme="majorHAnsi" w:hAnsiTheme="majorHAnsi" w:cstheme="majorHAnsi"/>
          <w:bCs/>
          <w:sz w:val="28"/>
          <w:szCs w:val="28"/>
          <w:lang w:val="ro-MD"/>
        </w:rPr>
        <w:t>u</w:t>
      </w:r>
      <w:r w:rsidR="00307BFD" w:rsidRPr="00395E01">
        <w:rPr>
          <w:rFonts w:asciiTheme="majorHAnsi" w:hAnsiTheme="majorHAnsi" w:cstheme="majorHAnsi"/>
          <w:bCs/>
          <w:sz w:val="28"/>
          <w:szCs w:val="28"/>
          <w:lang w:val="ro-MD"/>
        </w:rPr>
        <w:t xml:space="preserve"> </w:t>
      </w:r>
      <w:r w:rsidRPr="00395E01">
        <w:rPr>
          <w:rFonts w:asciiTheme="majorHAnsi" w:hAnsiTheme="majorHAnsi" w:cstheme="majorHAnsi"/>
          <w:bCs/>
          <w:sz w:val="28"/>
          <w:szCs w:val="28"/>
          <w:lang w:val="ro-MD"/>
        </w:rPr>
        <w:t xml:space="preserve">ținut cont de prevederile art.84 din Legea nr.181/2014, care </w:t>
      </w:r>
      <w:r w:rsidR="00307BFD" w:rsidRPr="00395E01">
        <w:rPr>
          <w:rFonts w:asciiTheme="majorHAnsi" w:hAnsiTheme="majorHAnsi" w:cstheme="majorHAnsi"/>
          <w:bCs/>
          <w:sz w:val="28"/>
          <w:szCs w:val="28"/>
          <w:lang w:val="ro-MD"/>
        </w:rPr>
        <w:t>stipulează</w:t>
      </w:r>
      <w:r w:rsidRPr="00395E01">
        <w:rPr>
          <w:rFonts w:asciiTheme="majorHAnsi" w:hAnsiTheme="majorHAnsi" w:cstheme="majorHAnsi"/>
          <w:bCs/>
          <w:sz w:val="28"/>
          <w:szCs w:val="28"/>
          <w:lang w:val="ro-MD"/>
        </w:rPr>
        <w:t xml:space="preserve"> expres că </w:t>
      </w:r>
      <w:r w:rsidRPr="00395E01">
        <w:rPr>
          <w:rFonts w:asciiTheme="majorHAnsi" w:hAnsiTheme="majorHAnsi" w:cstheme="majorHAnsi"/>
          <w:bCs/>
          <w:i/>
          <w:sz w:val="28"/>
          <w:szCs w:val="28"/>
          <w:lang w:val="ro-MD"/>
        </w:rPr>
        <w:t>„a</w:t>
      </w:r>
      <w:r w:rsidRPr="00395E01">
        <w:rPr>
          <w:rFonts w:asciiTheme="majorHAnsi" w:eastAsia="Times New Roman" w:hAnsiTheme="majorHAnsi" w:cstheme="majorHAnsi"/>
          <w:i/>
          <w:sz w:val="28"/>
          <w:szCs w:val="28"/>
          <w:lang w:val="ro-MD"/>
        </w:rPr>
        <w:t>ctele normative în vigoare se aplică în măsura în care nu contravin prevederilor prezentei legi</w:t>
      </w:r>
      <w:r w:rsidRPr="009A00F1">
        <w:rPr>
          <w:rFonts w:asciiTheme="majorHAnsi" w:eastAsia="Times New Roman" w:hAnsiTheme="majorHAnsi" w:cstheme="majorHAnsi"/>
          <w:sz w:val="28"/>
          <w:szCs w:val="28"/>
          <w:lang w:val="ro-MD"/>
        </w:rPr>
        <w:t xml:space="preserve">, precum și de prevederile art.85 din </w:t>
      </w:r>
      <w:r w:rsidR="00307BFD" w:rsidRPr="009A00F1">
        <w:rPr>
          <w:rFonts w:asciiTheme="majorHAnsi" w:eastAsia="Times New Roman" w:hAnsiTheme="majorHAnsi" w:cstheme="majorHAnsi"/>
          <w:sz w:val="28"/>
          <w:szCs w:val="28"/>
          <w:lang w:val="ro-MD"/>
        </w:rPr>
        <w:t>aceeași</w:t>
      </w:r>
      <w:r w:rsidRPr="009A00F1">
        <w:rPr>
          <w:rFonts w:asciiTheme="majorHAnsi" w:eastAsia="Times New Roman" w:hAnsiTheme="majorHAnsi" w:cstheme="majorHAnsi"/>
          <w:sz w:val="28"/>
          <w:szCs w:val="28"/>
          <w:lang w:val="ro-MD"/>
        </w:rPr>
        <w:t xml:space="preserve"> Lege, care stipulează că,</w:t>
      </w:r>
      <w:r w:rsidRPr="00395E01">
        <w:rPr>
          <w:rFonts w:asciiTheme="majorHAnsi" w:eastAsia="Times New Roman" w:hAnsiTheme="majorHAnsi" w:cstheme="majorHAnsi"/>
          <w:i/>
          <w:sz w:val="28"/>
          <w:szCs w:val="28"/>
          <w:lang w:val="ro-MD"/>
        </w:rPr>
        <w:t xml:space="preserve"> „Guvernul, în termen de un an de la data publicării prezentei legi: (a) va prezenta Parlamentului propuneri pentru aducerea actelor legislative în vigoare în </w:t>
      </w:r>
      <w:r w:rsidR="00307BFD" w:rsidRPr="00395E01">
        <w:rPr>
          <w:rFonts w:asciiTheme="majorHAnsi" w:eastAsia="Times New Roman" w:hAnsiTheme="majorHAnsi" w:cstheme="majorHAnsi"/>
          <w:i/>
          <w:sz w:val="28"/>
          <w:szCs w:val="28"/>
          <w:lang w:val="ro-MD"/>
        </w:rPr>
        <w:t>concordanță</w:t>
      </w:r>
      <w:r w:rsidRPr="00395E01">
        <w:rPr>
          <w:rFonts w:asciiTheme="majorHAnsi" w:eastAsia="Times New Roman" w:hAnsiTheme="majorHAnsi" w:cstheme="majorHAnsi"/>
          <w:i/>
          <w:sz w:val="28"/>
          <w:szCs w:val="28"/>
          <w:lang w:val="ro-MD"/>
        </w:rPr>
        <w:t xml:space="preserve"> cu prezenta lege; (b) va aduce actele sale normative în </w:t>
      </w:r>
      <w:r w:rsidR="00307BFD" w:rsidRPr="00395E01">
        <w:rPr>
          <w:rFonts w:asciiTheme="majorHAnsi" w:eastAsia="Times New Roman" w:hAnsiTheme="majorHAnsi" w:cstheme="majorHAnsi"/>
          <w:i/>
          <w:sz w:val="28"/>
          <w:szCs w:val="28"/>
          <w:lang w:val="ro-MD"/>
        </w:rPr>
        <w:t>concordanță</w:t>
      </w:r>
      <w:r w:rsidRPr="00395E01">
        <w:rPr>
          <w:rFonts w:asciiTheme="majorHAnsi" w:eastAsia="Times New Roman" w:hAnsiTheme="majorHAnsi" w:cstheme="majorHAnsi"/>
          <w:i/>
          <w:sz w:val="28"/>
          <w:szCs w:val="28"/>
          <w:lang w:val="ro-MD"/>
        </w:rPr>
        <w:t xml:space="preserve"> cu prezenta lege; (c) va asigura elaborarea şi aprobarea actelor normative pentru implementarea prezentei legi</w:t>
      </w:r>
      <w:r w:rsidR="00307BFD" w:rsidRPr="00395E01">
        <w:rPr>
          <w:rFonts w:asciiTheme="majorHAnsi" w:eastAsia="Times New Roman" w:hAnsiTheme="majorHAnsi" w:cstheme="majorHAnsi"/>
          <w:i/>
          <w:sz w:val="28"/>
          <w:szCs w:val="28"/>
          <w:lang w:val="ro-MD"/>
        </w:rPr>
        <w:t>”</w:t>
      </w:r>
      <w:r w:rsidR="00A726A8" w:rsidRPr="00395E01">
        <w:rPr>
          <w:rFonts w:asciiTheme="majorHAnsi" w:eastAsia="Times New Roman" w:hAnsiTheme="majorHAnsi" w:cstheme="majorHAnsi"/>
          <w:i/>
          <w:sz w:val="28"/>
          <w:szCs w:val="28"/>
          <w:lang w:val="ro-MD"/>
        </w:rPr>
        <w:t>”</w:t>
      </w:r>
      <w:r w:rsidRPr="00395E01">
        <w:rPr>
          <w:rFonts w:asciiTheme="majorHAnsi" w:eastAsia="Times New Roman" w:hAnsiTheme="majorHAnsi" w:cstheme="majorHAnsi"/>
          <w:i/>
          <w:sz w:val="28"/>
          <w:szCs w:val="28"/>
          <w:lang w:val="ro-MD"/>
        </w:rPr>
        <w:t>.</w:t>
      </w:r>
    </w:p>
    <w:p w:rsidR="002B0C1F" w:rsidRPr="002751FC" w:rsidRDefault="002B0C1F" w:rsidP="00243401">
      <w:pPr>
        <w:pStyle w:val="a3"/>
        <w:outlineLvl w:val="0"/>
        <w:rPr>
          <w:rFonts w:asciiTheme="majorHAnsi" w:hAnsiTheme="majorHAnsi" w:cstheme="majorHAnsi"/>
          <w:b/>
          <w:bCs/>
          <w:sz w:val="28"/>
          <w:szCs w:val="28"/>
          <w:lang w:val="ro-MD"/>
        </w:rPr>
      </w:pPr>
      <w:r w:rsidRPr="002751FC">
        <w:rPr>
          <w:rFonts w:asciiTheme="majorHAnsi" w:hAnsiTheme="majorHAnsi" w:cstheme="majorHAnsi"/>
          <w:sz w:val="18"/>
          <w:szCs w:val="18"/>
          <w:lang w:val="ro-MD"/>
        </w:rPr>
        <w:br/>
      </w:r>
      <w:bookmarkStart w:id="29" w:name="_Toc23259093"/>
      <w:r w:rsidRPr="002751FC">
        <w:rPr>
          <w:rFonts w:asciiTheme="majorHAnsi" w:hAnsiTheme="majorHAnsi" w:cstheme="majorHAnsi"/>
          <w:b/>
          <w:bCs/>
          <w:sz w:val="28"/>
          <w:szCs w:val="28"/>
          <w:lang w:val="ro-MD"/>
        </w:rPr>
        <w:t xml:space="preserve">4.1.3. Urmare a </w:t>
      </w:r>
      <w:r w:rsidR="008E75EB" w:rsidRPr="002751FC">
        <w:rPr>
          <w:rFonts w:asciiTheme="majorHAnsi" w:hAnsiTheme="majorHAnsi" w:cstheme="majorHAnsi"/>
          <w:b/>
          <w:bCs/>
          <w:sz w:val="28"/>
          <w:szCs w:val="28"/>
          <w:lang w:val="ro-MD"/>
        </w:rPr>
        <w:t>statutului</w:t>
      </w:r>
      <w:r w:rsidRPr="002751FC">
        <w:rPr>
          <w:rFonts w:asciiTheme="majorHAnsi" w:hAnsiTheme="majorHAnsi" w:cstheme="majorHAnsi"/>
          <w:b/>
          <w:bCs/>
          <w:sz w:val="28"/>
          <w:szCs w:val="28"/>
          <w:lang w:val="ro-MD"/>
        </w:rPr>
        <w:t xml:space="preserve"> dublu acordat ONVV, FVV are aprobate 2 bugete anuale diferite, unul aprobat prin Legea bugetului de stat pentru anul bug</w:t>
      </w:r>
      <w:r w:rsidR="008E75EB" w:rsidRPr="002751FC">
        <w:rPr>
          <w:rFonts w:asciiTheme="majorHAnsi" w:hAnsiTheme="majorHAnsi" w:cstheme="majorHAnsi"/>
          <w:b/>
          <w:bCs/>
          <w:sz w:val="28"/>
          <w:szCs w:val="28"/>
          <w:lang w:val="ro-MD"/>
        </w:rPr>
        <w:t>e</w:t>
      </w:r>
      <w:r w:rsidRPr="002751FC">
        <w:rPr>
          <w:rFonts w:asciiTheme="majorHAnsi" w:hAnsiTheme="majorHAnsi" w:cstheme="majorHAnsi"/>
          <w:b/>
          <w:bCs/>
          <w:sz w:val="28"/>
          <w:szCs w:val="28"/>
          <w:lang w:val="ro-MD"/>
        </w:rPr>
        <w:t>tar respectiv, altul, de Consiliul de coordonare</w:t>
      </w:r>
      <w:bookmarkEnd w:id="29"/>
    </w:p>
    <w:p w:rsidR="002B0C1F" w:rsidRPr="002751FC" w:rsidRDefault="002B0C1F" w:rsidP="00243401">
      <w:pPr>
        <w:pStyle w:val="cp"/>
        <w:jc w:val="both"/>
        <w:rPr>
          <w:rFonts w:asciiTheme="majorHAnsi" w:hAnsiTheme="majorHAnsi" w:cstheme="majorHAnsi"/>
          <w:bCs w:val="0"/>
          <w:sz w:val="28"/>
          <w:szCs w:val="28"/>
          <w:lang w:val="ro-MD" w:eastAsia="en-US"/>
        </w:rPr>
      </w:pPr>
    </w:p>
    <w:p w:rsidR="002B0C1F" w:rsidRPr="003412D3" w:rsidRDefault="002B0C1F" w:rsidP="00243401">
      <w:pPr>
        <w:spacing w:after="0"/>
        <w:jc w:val="both"/>
        <w:rPr>
          <w:rFonts w:asciiTheme="majorHAnsi" w:eastAsia="Times New Roman" w:hAnsiTheme="majorHAnsi" w:cstheme="majorHAnsi"/>
          <w:sz w:val="28"/>
          <w:szCs w:val="28"/>
          <w:lang w:val="ro-MD"/>
        </w:rPr>
      </w:pPr>
      <w:r w:rsidRPr="003412D3">
        <w:rPr>
          <w:rFonts w:asciiTheme="majorHAnsi" w:hAnsiTheme="majorHAnsi" w:cstheme="majorHAnsi"/>
          <w:bCs/>
          <w:sz w:val="28"/>
          <w:szCs w:val="28"/>
          <w:lang w:val="ro-MD"/>
        </w:rPr>
        <w:t>Deși conform prevederilor cadrului normativ</w:t>
      </w:r>
      <w:r w:rsidRPr="00FB3337">
        <w:rPr>
          <w:rStyle w:val="ab"/>
          <w:rFonts w:asciiTheme="majorHAnsi" w:hAnsiTheme="majorHAnsi" w:cstheme="majorHAnsi"/>
          <w:bCs/>
          <w:sz w:val="28"/>
          <w:szCs w:val="28"/>
          <w:lang w:val="ro-MD"/>
        </w:rPr>
        <w:footnoteReference w:id="28"/>
      </w:r>
      <w:r w:rsidRPr="003412D3">
        <w:rPr>
          <w:rFonts w:asciiTheme="majorHAnsi" w:hAnsiTheme="majorHAnsi" w:cstheme="majorHAnsi"/>
          <w:b/>
          <w:bCs/>
          <w:sz w:val="28"/>
          <w:szCs w:val="28"/>
          <w:lang w:val="ro-MD"/>
        </w:rPr>
        <w:t xml:space="preserve"> </w:t>
      </w:r>
      <w:r w:rsidRPr="003412D3">
        <w:rPr>
          <w:rFonts w:asciiTheme="majorHAnsi" w:eastAsia="Times New Roman" w:hAnsiTheme="majorHAnsi" w:cstheme="majorHAnsi"/>
          <w:sz w:val="28"/>
          <w:szCs w:val="28"/>
          <w:lang w:val="ro-MD"/>
        </w:rPr>
        <w:t xml:space="preserve">ONVV este instituţie publică pe </w:t>
      </w:r>
      <w:r w:rsidR="00D62DF0" w:rsidRPr="003412D3">
        <w:rPr>
          <w:rFonts w:asciiTheme="majorHAnsi" w:eastAsia="Times New Roman" w:hAnsiTheme="majorHAnsi" w:cstheme="majorHAnsi"/>
          <w:sz w:val="28"/>
          <w:szCs w:val="28"/>
          <w:lang w:val="ro-MD"/>
        </w:rPr>
        <w:t>lângă</w:t>
      </w:r>
      <w:r w:rsidRPr="003412D3">
        <w:rPr>
          <w:rFonts w:asciiTheme="majorHAnsi" w:eastAsia="Times New Roman" w:hAnsiTheme="majorHAnsi" w:cstheme="majorHAnsi"/>
          <w:sz w:val="28"/>
          <w:szCs w:val="28"/>
          <w:lang w:val="ro-MD"/>
        </w:rPr>
        <w:t xml:space="preserve"> MADRM, cu statut de persoană juridică şi autonomie financiară nonprofit, care</w:t>
      </w:r>
      <w:r w:rsidRPr="002751FC">
        <w:rPr>
          <w:rFonts w:asciiTheme="majorHAnsi" w:eastAsia="Times New Roman" w:hAnsiTheme="majorHAnsi" w:cstheme="majorHAnsi"/>
          <w:sz w:val="28"/>
          <w:szCs w:val="28"/>
          <w:lang w:val="ro-MD"/>
        </w:rPr>
        <w:t xml:space="preserve"> activează în </w:t>
      </w:r>
      <w:r w:rsidR="00D62DF0" w:rsidRPr="002751FC">
        <w:rPr>
          <w:rFonts w:asciiTheme="majorHAnsi" w:eastAsia="Times New Roman" w:hAnsiTheme="majorHAnsi" w:cstheme="majorHAnsi"/>
          <w:sz w:val="28"/>
          <w:szCs w:val="28"/>
          <w:lang w:val="ro-MD"/>
        </w:rPr>
        <w:t>condiții</w:t>
      </w:r>
      <w:r w:rsidRPr="002751FC">
        <w:rPr>
          <w:rFonts w:asciiTheme="majorHAnsi" w:eastAsia="Times New Roman" w:hAnsiTheme="majorHAnsi" w:cstheme="majorHAnsi"/>
          <w:sz w:val="28"/>
          <w:szCs w:val="28"/>
          <w:lang w:val="ro-MD"/>
        </w:rPr>
        <w:t xml:space="preserve"> de autogestiune, acesta deține și codul de </w:t>
      </w:r>
      <w:r w:rsidR="00D62DF0" w:rsidRPr="002751FC">
        <w:rPr>
          <w:rFonts w:asciiTheme="majorHAnsi" w:eastAsia="Times New Roman" w:hAnsiTheme="majorHAnsi" w:cstheme="majorHAnsi"/>
          <w:sz w:val="28"/>
          <w:szCs w:val="28"/>
          <w:lang w:val="ro-MD"/>
        </w:rPr>
        <w:t>instituţie</w:t>
      </w:r>
      <w:r w:rsidRPr="002751FC">
        <w:rPr>
          <w:rFonts w:asciiTheme="majorHAnsi" w:eastAsia="Times New Roman" w:hAnsiTheme="majorHAnsi" w:cstheme="majorHAnsi"/>
          <w:sz w:val="28"/>
          <w:szCs w:val="28"/>
          <w:lang w:val="ro-MD"/>
        </w:rPr>
        <w:t xml:space="preserve"> publică finanțată de la buget (Org.</w:t>
      </w:r>
      <w:r w:rsidRPr="003412D3">
        <w:rPr>
          <w:rFonts w:asciiTheme="majorHAnsi" w:eastAsia="Times New Roman" w:hAnsiTheme="majorHAnsi" w:cstheme="majorHAnsi"/>
          <w:sz w:val="28"/>
          <w:szCs w:val="28"/>
          <w:lang w:val="ro-MD"/>
        </w:rPr>
        <w:t>2)</w:t>
      </w:r>
      <w:r w:rsidRPr="00FB3337">
        <w:rPr>
          <w:rStyle w:val="ab"/>
          <w:rFonts w:asciiTheme="majorHAnsi" w:hAnsiTheme="majorHAnsi" w:cstheme="majorHAnsi"/>
          <w:sz w:val="28"/>
          <w:szCs w:val="28"/>
          <w:lang w:val="ro-MD"/>
        </w:rPr>
        <w:footnoteReference w:id="29"/>
      </w:r>
      <w:r w:rsidRPr="003412D3">
        <w:rPr>
          <w:rFonts w:asciiTheme="majorHAnsi" w:eastAsia="Times New Roman" w:hAnsiTheme="majorHAnsi" w:cstheme="majorHAnsi"/>
          <w:sz w:val="28"/>
          <w:szCs w:val="28"/>
          <w:lang w:val="ro-MD"/>
        </w:rPr>
        <w:t>, ceea ce contravine regulilor generale stabilite pentru sistemul bugetar.</w:t>
      </w:r>
    </w:p>
    <w:p w:rsidR="002B0C1F" w:rsidRPr="00CA7B68" w:rsidRDefault="002B0C1F" w:rsidP="00243401">
      <w:pPr>
        <w:pStyle w:val="cp"/>
        <w:jc w:val="both"/>
        <w:rPr>
          <w:rFonts w:asciiTheme="majorHAnsi" w:hAnsiTheme="majorHAnsi" w:cstheme="majorHAnsi"/>
          <w:b w:val="0"/>
          <w:bCs w:val="0"/>
          <w:sz w:val="28"/>
          <w:szCs w:val="28"/>
          <w:lang w:val="ro-MD" w:eastAsia="en-US"/>
        </w:rPr>
      </w:pPr>
      <w:r w:rsidRPr="00FB3337">
        <w:rPr>
          <w:rFonts w:asciiTheme="majorHAnsi" w:hAnsiTheme="majorHAnsi" w:cstheme="majorHAnsi"/>
          <w:b w:val="0"/>
          <w:bCs w:val="0"/>
          <w:sz w:val="28"/>
          <w:szCs w:val="28"/>
          <w:lang w:val="ro-MD" w:eastAsia="en-US"/>
        </w:rPr>
        <w:lastRenderedPageBreak/>
        <w:br/>
      </w:r>
      <w:r w:rsidRPr="003412D3">
        <w:rPr>
          <w:rFonts w:asciiTheme="majorHAnsi" w:hAnsiTheme="majorHAnsi" w:cstheme="majorHAnsi"/>
          <w:b w:val="0"/>
          <w:bCs w:val="0"/>
          <w:sz w:val="28"/>
          <w:szCs w:val="28"/>
          <w:lang w:val="ro-MD" w:eastAsia="en-US"/>
        </w:rPr>
        <w:t>În aceste condiții, FVV are aprobate bugete anuale și prin Legea anuală pentru bugetul de stat</w:t>
      </w:r>
      <w:r w:rsidR="00CA7B68">
        <w:rPr>
          <w:rFonts w:asciiTheme="majorHAnsi" w:hAnsiTheme="majorHAnsi" w:cstheme="majorHAnsi"/>
          <w:b w:val="0"/>
          <w:bCs w:val="0"/>
          <w:sz w:val="28"/>
          <w:szCs w:val="28"/>
          <w:lang w:val="ro-MD" w:eastAsia="en-US"/>
        </w:rPr>
        <w:t>,</w:t>
      </w:r>
      <w:r w:rsidRPr="003412D3">
        <w:rPr>
          <w:rFonts w:asciiTheme="majorHAnsi" w:hAnsiTheme="majorHAnsi" w:cstheme="majorHAnsi"/>
          <w:b w:val="0"/>
          <w:bCs w:val="0"/>
          <w:sz w:val="28"/>
          <w:szCs w:val="28"/>
          <w:lang w:val="ro-MD" w:eastAsia="en-US"/>
        </w:rPr>
        <w:t xml:space="preserve"> și de către </w:t>
      </w:r>
      <w:r w:rsidR="00D62DF0" w:rsidRPr="00CA7B68">
        <w:rPr>
          <w:rFonts w:asciiTheme="majorHAnsi" w:hAnsiTheme="majorHAnsi" w:cstheme="majorHAnsi"/>
          <w:b w:val="0"/>
          <w:bCs w:val="0"/>
          <w:sz w:val="28"/>
          <w:szCs w:val="28"/>
          <w:lang w:val="ro-MD" w:eastAsia="en-US"/>
        </w:rPr>
        <w:t>CC</w:t>
      </w:r>
      <w:r w:rsidRPr="00CA7B68">
        <w:rPr>
          <w:rFonts w:asciiTheme="majorHAnsi" w:hAnsiTheme="majorHAnsi" w:cstheme="majorHAnsi"/>
          <w:b w:val="0"/>
          <w:bCs w:val="0"/>
          <w:sz w:val="28"/>
          <w:szCs w:val="28"/>
          <w:lang w:val="ro-MD" w:eastAsia="en-US"/>
        </w:rPr>
        <w:t xml:space="preserve">, </w:t>
      </w:r>
      <w:r w:rsidR="00D4605C" w:rsidRPr="00CA7B68">
        <w:rPr>
          <w:rFonts w:asciiTheme="majorHAnsi" w:hAnsiTheme="majorHAnsi" w:cstheme="majorHAnsi"/>
          <w:b w:val="0"/>
          <w:bCs w:val="0"/>
          <w:sz w:val="28"/>
          <w:szCs w:val="28"/>
          <w:lang w:val="ro-MD" w:eastAsia="en-US"/>
        </w:rPr>
        <w:t xml:space="preserve">ale căror </w:t>
      </w:r>
      <w:r w:rsidRPr="00CA7B68">
        <w:rPr>
          <w:rFonts w:asciiTheme="majorHAnsi" w:hAnsiTheme="majorHAnsi" w:cstheme="majorHAnsi"/>
          <w:b w:val="0"/>
          <w:bCs w:val="0"/>
          <w:sz w:val="28"/>
          <w:szCs w:val="28"/>
          <w:lang w:val="ro-MD" w:eastAsia="en-US"/>
        </w:rPr>
        <w:t>volume de cheltuieli deviază semnificativ.</w:t>
      </w:r>
    </w:p>
    <w:p w:rsidR="002B0C1F" w:rsidRPr="003412D3" w:rsidRDefault="002B0C1F" w:rsidP="00243401">
      <w:pPr>
        <w:pStyle w:val="cp"/>
        <w:jc w:val="both"/>
        <w:rPr>
          <w:rFonts w:asciiTheme="majorHAnsi" w:hAnsiTheme="majorHAnsi" w:cstheme="majorHAnsi"/>
          <w:b w:val="0"/>
          <w:bCs w:val="0"/>
          <w:sz w:val="28"/>
          <w:szCs w:val="28"/>
          <w:lang w:val="ro-MD" w:eastAsia="en-US"/>
        </w:rPr>
      </w:pPr>
    </w:p>
    <w:p w:rsidR="002B0C1F" w:rsidRPr="003412D3" w:rsidRDefault="002B0C1F" w:rsidP="00243401">
      <w:pPr>
        <w:pStyle w:val="cp"/>
        <w:jc w:val="both"/>
        <w:rPr>
          <w:rFonts w:asciiTheme="majorHAnsi" w:hAnsiTheme="majorHAnsi" w:cstheme="majorHAnsi"/>
          <w:b w:val="0"/>
          <w:bCs w:val="0"/>
          <w:i/>
          <w:sz w:val="28"/>
          <w:szCs w:val="28"/>
          <w:lang w:val="ro-MD" w:eastAsia="en-US"/>
        </w:rPr>
      </w:pPr>
      <w:r w:rsidRPr="003412D3">
        <w:rPr>
          <w:rFonts w:asciiTheme="majorHAnsi" w:hAnsiTheme="majorHAnsi" w:cstheme="majorHAnsi"/>
          <w:b w:val="0"/>
          <w:bCs w:val="0"/>
          <w:sz w:val="28"/>
          <w:szCs w:val="28"/>
          <w:lang w:val="ro-MD" w:eastAsia="en-US"/>
        </w:rPr>
        <w:t>Astfel, analizele efectuate de audit au relevat că volumele de cheltuieli, aprobate de CC</w:t>
      </w:r>
      <w:r w:rsidR="00D4605C" w:rsidRPr="003412D3">
        <w:rPr>
          <w:rFonts w:asciiTheme="majorHAnsi" w:hAnsiTheme="majorHAnsi" w:cstheme="majorHAnsi"/>
          <w:b w:val="0"/>
          <w:bCs w:val="0"/>
          <w:sz w:val="28"/>
          <w:szCs w:val="28"/>
          <w:lang w:val="ro-MD" w:eastAsia="en-US"/>
        </w:rPr>
        <w:t>,</w:t>
      </w:r>
      <w:r w:rsidRPr="003412D3">
        <w:rPr>
          <w:rFonts w:asciiTheme="majorHAnsi" w:hAnsiTheme="majorHAnsi" w:cstheme="majorHAnsi"/>
          <w:b w:val="0"/>
          <w:bCs w:val="0"/>
          <w:sz w:val="28"/>
          <w:szCs w:val="28"/>
          <w:lang w:val="ro-MD" w:eastAsia="en-US"/>
        </w:rPr>
        <w:t xml:space="preserve"> sunt mai mari</w:t>
      </w:r>
      <w:r w:rsidR="00D62DF0" w:rsidRPr="003412D3">
        <w:rPr>
          <w:rFonts w:asciiTheme="majorHAnsi" w:hAnsiTheme="majorHAnsi" w:cstheme="majorHAnsi"/>
          <w:b w:val="0"/>
          <w:bCs w:val="0"/>
          <w:sz w:val="28"/>
          <w:szCs w:val="28"/>
          <w:lang w:val="ro-MD" w:eastAsia="en-US"/>
        </w:rPr>
        <w:t xml:space="preserve"> decât</w:t>
      </w:r>
      <w:r w:rsidRPr="003412D3">
        <w:rPr>
          <w:rFonts w:asciiTheme="majorHAnsi" w:hAnsiTheme="majorHAnsi" w:cstheme="majorHAnsi"/>
          <w:b w:val="0"/>
          <w:bCs w:val="0"/>
          <w:sz w:val="28"/>
          <w:szCs w:val="28"/>
          <w:lang w:val="ro-MD" w:eastAsia="en-US"/>
        </w:rPr>
        <w:t xml:space="preserve"> cele aprobate prin Legea bugetului de stat pentru anul bugetar respectiv, partea de cheltuieli fiind majorată din contul atragerii mijloacelor bănești formate la finele fiecărui an bugetar. </w:t>
      </w:r>
      <w:r w:rsidRPr="003412D3">
        <w:rPr>
          <w:rFonts w:asciiTheme="majorHAnsi" w:hAnsiTheme="majorHAnsi" w:cstheme="majorHAnsi"/>
          <w:b w:val="0"/>
          <w:bCs w:val="0"/>
          <w:i/>
          <w:sz w:val="28"/>
          <w:szCs w:val="28"/>
          <w:lang w:val="ro-MD" w:eastAsia="en-US"/>
        </w:rPr>
        <w:t>Sinteza devierilor între bugetele a</w:t>
      </w:r>
      <w:r w:rsidR="0050190A">
        <w:rPr>
          <w:rFonts w:asciiTheme="majorHAnsi" w:hAnsiTheme="majorHAnsi" w:cstheme="majorHAnsi"/>
          <w:b w:val="0"/>
          <w:bCs w:val="0"/>
          <w:i/>
          <w:sz w:val="28"/>
          <w:szCs w:val="28"/>
          <w:lang w:val="ro-MD" w:eastAsia="en-US"/>
        </w:rPr>
        <w:t>nuale aprobate în anii 2014-201</w:t>
      </w:r>
      <w:r w:rsidR="0050190A" w:rsidRPr="0050190A">
        <w:rPr>
          <w:rFonts w:asciiTheme="majorHAnsi" w:hAnsiTheme="majorHAnsi" w:cstheme="majorHAnsi"/>
          <w:b w:val="0"/>
          <w:bCs w:val="0"/>
          <w:i/>
          <w:sz w:val="28"/>
          <w:szCs w:val="28"/>
          <w:lang w:val="en-US" w:eastAsia="en-US"/>
        </w:rPr>
        <w:t>8</w:t>
      </w:r>
      <w:r w:rsidRPr="003412D3">
        <w:rPr>
          <w:rFonts w:asciiTheme="majorHAnsi" w:hAnsiTheme="majorHAnsi" w:cstheme="majorHAnsi"/>
          <w:b w:val="0"/>
          <w:bCs w:val="0"/>
          <w:i/>
          <w:sz w:val="28"/>
          <w:szCs w:val="28"/>
          <w:lang w:val="ro-MD" w:eastAsia="en-US"/>
        </w:rPr>
        <w:t xml:space="preserve"> se prezintă în </w:t>
      </w:r>
      <w:r w:rsidR="00D4605C" w:rsidRPr="003412D3">
        <w:rPr>
          <w:rFonts w:asciiTheme="majorHAnsi" w:hAnsiTheme="majorHAnsi" w:cstheme="majorHAnsi"/>
          <w:b w:val="0"/>
          <w:bCs w:val="0"/>
          <w:i/>
          <w:sz w:val="28"/>
          <w:szCs w:val="28"/>
          <w:lang w:val="ro-MD" w:eastAsia="en-US"/>
        </w:rPr>
        <w:t>T</w:t>
      </w:r>
      <w:r w:rsidRPr="003412D3">
        <w:rPr>
          <w:rFonts w:asciiTheme="majorHAnsi" w:hAnsiTheme="majorHAnsi" w:cstheme="majorHAnsi"/>
          <w:b w:val="0"/>
          <w:bCs w:val="0"/>
          <w:i/>
          <w:sz w:val="28"/>
          <w:szCs w:val="28"/>
          <w:lang w:val="ro-MD" w:eastAsia="en-US"/>
        </w:rPr>
        <w:t>abelul nr.5.</w:t>
      </w:r>
    </w:p>
    <w:p w:rsidR="00A44ED0" w:rsidRPr="002751FC" w:rsidRDefault="00A44ED0" w:rsidP="00243401">
      <w:pPr>
        <w:pStyle w:val="cp"/>
        <w:jc w:val="both"/>
        <w:rPr>
          <w:rFonts w:asciiTheme="majorHAnsi" w:hAnsiTheme="majorHAnsi" w:cstheme="majorHAnsi"/>
          <w:b w:val="0"/>
          <w:bCs w:val="0"/>
          <w:i/>
          <w:sz w:val="28"/>
          <w:szCs w:val="28"/>
          <w:lang w:val="ro-MD" w:eastAsia="en-US"/>
        </w:rPr>
      </w:pPr>
    </w:p>
    <w:p w:rsidR="00524A6B" w:rsidRPr="002751FC" w:rsidRDefault="002B0C1F" w:rsidP="00524A6B">
      <w:pPr>
        <w:pStyle w:val="cp"/>
        <w:jc w:val="right"/>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 xml:space="preserve">Tabelul nr.5 </w:t>
      </w:r>
    </w:p>
    <w:p w:rsidR="002B0C1F" w:rsidRPr="002751FC" w:rsidRDefault="002B0C1F" w:rsidP="00F34040">
      <w:pPr>
        <w:pStyle w:val="cp"/>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 xml:space="preserve">Sinteza devierilor între bugetele anuale aprobate în anii 2014-2018, </w:t>
      </w:r>
      <w:proofErr w:type="spellStart"/>
      <w:r w:rsidRPr="002751FC">
        <w:rPr>
          <w:rFonts w:asciiTheme="majorHAnsi" w:hAnsiTheme="majorHAnsi" w:cstheme="majorHAnsi"/>
          <w:bCs w:val="0"/>
          <w:sz w:val="20"/>
          <w:szCs w:val="20"/>
          <w:lang w:val="ro-MD" w:eastAsia="en-US"/>
        </w:rPr>
        <w:t>mil.MDL</w:t>
      </w:r>
      <w:proofErr w:type="spellEnd"/>
    </w:p>
    <w:tbl>
      <w:tblPr>
        <w:tblStyle w:val="ae"/>
        <w:tblW w:w="9621" w:type="dxa"/>
        <w:tblLook w:val="04A0" w:firstRow="1" w:lastRow="0" w:firstColumn="1" w:lastColumn="0" w:noHBand="0" w:noVBand="1"/>
      </w:tblPr>
      <w:tblGrid>
        <w:gridCol w:w="2959"/>
        <w:gridCol w:w="990"/>
        <w:gridCol w:w="825"/>
        <w:gridCol w:w="781"/>
        <w:gridCol w:w="842"/>
        <w:gridCol w:w="969"/>
        <w:gridCol w:w="573"/>
        <w:gridCol w:w="871"/>
        <w:gridCol w:w="811"/>
      </w:tblGrid>
      <w:tr w:rsidR="002B0C1F" w:rsidRPr="002751FC" w:rsidTr="001C537A">
        <w:trPr>
          <w:trHeight w:val="309"/>
        </w:trPr>
        <w:tc>
          <w:tcPr>
            <w:tcW w:w="2972" w:type="dxa"/>
            <w:vMerge w:val="restart"/>
            <w:shd w:val="clear" w:color="auto" w:fill="DEEAF6" w:themeFill="accent1" w:themeFillTint="33"/>
            <w:vAlign w:val="center"/>
          </w:tcPr>
          <w:p w:rsidR="002B0C1F" w:rsidRPr="002751FC" w:rsidRDefault="002B0C1F" w:rsidP="001C537A">
            <w:pPr>
              <w:pStyle w:val="cp"/>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Anii</w:t>
            </w:r>
          </w:p>
        </w:tc>
        <w:tc>
          <w:tcPr>
            <w:tcW w:w="3424" w:type="dxa"/>
            <w:gridSpan w:val="4"/>
            <w:shd w:val="clear" w:color="auto" w:fill="DEEAF6" w:themeFill="accent1" w:themeFillTint="33"/>
            <w:vAlign w:val="center"/>
          </w:tcPr>
          <w:p w:rsidR="002B0C1F" w:rsidRPr="002751FC" w:rsidRDefault="002B0C1F" w:rsidP="001C537A">
            <w:pPr>
              <w:pStyle w:val="cp"/>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Venituri aprobate pentru FVV</w:t>
            </w:r>
          </w:p>
        </w:tc>
        <w:tc>
          <w:tcPr>
            <w:tcW w:w="3225" w:type="dxa"/>
            <w:gridSpan w:val="4"/>
            <w:shd w:val="clear" w:color="auto" w:fill="DEEAF6" w:themeFill="accent1" w:themeFillTint="33"/>
            <w:vAlign w:val="center"/>
          </w:tcPr>
          <w:p w:rsidR="002B0C1F" w:rsidRPr="002751FC" w:rsidRDefault="002B0C1F" w:rsidP="001C537A">
            <w:pPr>
              <w:pStyle w:val="cp"/>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Cheltuieli aprobate pentru FVV</w:t>
            </w:r>
          </w:p>
        </w:tc>
      </w:tr>
      <w:tr w:rsidR="002B0C1F" w:rsidRPr="002751FC" w:rsidTr="001C537A">
        <w:trPr>
          <w:trHeight w:val="258"/>
        </w:trPr>
        <w:tc>
          <w:tcPr>
            <w:tcW w:w="2972" w:type="dxa"/>
            <w:vMerge/>
            <w:shd w:val="clear" w:color="auto" w:fill="DEEAF6" w:themeFill="accent1" w:themeFillTint="33"/>
            <w:vAlign w:val="center"/>
          </w:tcPr>
          <w:p w:rsidR="002B0C1F" w:rsidRPr="002751FC" w:rsidRDefault="002B0C1F" w:rsidP="001C537A">
            <w:pPr>
              <w:pStyle w:val="cp"/>
              <w:rPr>
                <w:rFonts w:asciiTheme="majorHAnsi" w:hAnsiTheme="majorHAnsi" w:cstheme="majorHAnsi"/>
                <w:bCs w:val="0"/>
                <w:sz w:val="20"/>
                <w:szCs w:val="20"/>
                <w:lang w:val="ro-MD" w:eastAsia="en-US"/>
              </w:rPr>
            </w:pPr>
          </w:p>
        </w:tc>
        <w:tc>
          <w:tcPr>
            <w:tcW w:w="992" w:type="dxa"/>
            <w:shd w:val="clear" w:color="auto" w:fill="DEEAF6" w:themeFill="accent1" w:themeFillTint="33"/>
            <w:vAlign w:val="center"/>
          </w:tcPr>
          <w:p w:rsidR="002B0C1F" w:rsidRPr="002751FC" w:rsidRDefault="002B0C1F" w:rsidP="001C537A">
            <w:pPr>
              <w:pStyle w:val="cp"/>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Legea BS</w:t>
            </w:r>
          </w:p>
        </w:tc>
        <w:tc>
          <w:tcPr>
            <w:tcW w:w="826" w:type="dxa"/>
            <w:shd w:val="clear" w:color="auto" w:fill="DEEAF6" w:themeFill="accent1" w:themeFillTint="33"/>
            <w:vAlign w:val="center"/>
          </w:tcPr>
          <w:p w:rsidR="002B0C1F" w:rsidRPr="002751FC" w:rsidRDefault="002B0C1F" w:rsidP="001C537A">
            <w:pPr>
              <w:pStyle w:val="cp"/>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CC</w:t>
            </w:r>
          </w:p>
        </w:tc>
        <w:tc>
          <w:tcPr>
            <w:tcW w:w="764" w:type="dxa"/>
            <w:shd w:val="clear" w:color="auto" w:fill="DEEAF6" w:themeFill="accent1" w:themeFillTint="33"/>
            <w:vAlign w:val="center"/>
          </w:tcPr>
          <w:p w:rsidR="002B0C1F" w:rsidRPr="002751FC" w:rsidRDefault="003D415C" w:rsidP="001C537A">
            <w:pPr>
              <w:pStyle w:val="cp"/>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D</w:t>
            </w:r>
            <w:r w:rsidR="002B0C1F" w:rsidRPr="002751FC">
              <w:rPr>
                <w:rFonts w:asciiTheme="majorHAnsi" w:hAnsiTheme="majorHAnsi" w:cstheme="majorHAnsi"/>
                <w:bCs w:val="0"/>
                <w:sz w:val="20"/>
                <w:szCs w:val="20"/>
                <w:lang w:val="ro-MD" w:eastAsia="en-US"/>
              </w:rPr>
              <w:t>evieri</w:t>
            </w:r>
          </w:p>
        </w:tc>
        <w:tc>
          <w:tcPr>
            <w:tcW w:w="842" w:type="dxa"/>
            <w:shd w:val="clear" w:color="auto" w:fill="DEEAF6" w:themeFill="accent1" w:themeFillTint="33"/>
            <w:vAlign w:val="center"/>
          </w:tcPr>
          <w:p w:rsidR="002B0C1F" w:rsidRPr="002751FC" w:rsidRDefault="002B0C1F" w:rsidP="001C537A">
            <w:pPr>
              <w:pStyle w:val="cp"/>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w:t>
            </w:r>
          </w:p>
        </w:tc>
        <w:tc>
          <w:tcPr>
            <w:tcW w:w="970" w:type="dxa"/>
            <w:shd w:val="clear" w:color="auto" w:fill="DEEAF6" w:themeFill="accent1" w:themeFillTint="33"/>
            <w:vAlign w:val="center"/>
          </w:tcPr>
          <w:p w:rsidR="002B0C1F" w:rsidRPr="002751FC" w:rsidRDefault="002B0C1F" w:rsidP="001C537A">
            <w:pPr>
              <w:pStyle w:val="cp"/>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Legea BS</w:t>
            </w:r>
          </w:p>
        </w:tc>
        <w:tc>
          <w:tcPr>
            <w:tcW w:w="573" w:type="dxa"/>
            <w:shd w:val="clear" w:color="auto" w:fill="DEEAF6" w:themeFill="accent1" w:themeFillTint="33"/>
            <w:vAlign w:val="center"/>
          </w:tcPr>
          <w:p w:rsidR="002B0C1F" w:rsidRPr="002751FC" w:rsidRDefault="002B0C1F" w:rsidP="001C537A">
            <w:pPr>
              <w:pStyle w:val="cp"/>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CC</w:t>
            </w:r>
          </w:p>
        </w:tc>
        <w:tc>
          <w:tcPr>
            <w:tcW w:w="871" w:type="dxa"/>
            <w:shd w:val="clear" w:color="auto" w:fill="DEEAF6" w:themeFill="accent1" w:themeFillTint="33"/>
            <w:vAlign w:val="center"/>
          </w:tcPr>
          <w:p w:rsidR="002B0C1F" w:rsidRPr="002751FC" w:rsidRDefault="003D415C" w:rsidP="001C537A">
            <w:pPr>
              <w:pStyle w:val="cp"/>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D</w:t>
            </w:r>
            <w:r w:rsidR="002B0C1F" w:rsidRPr="002751FC">
              <w:rPr>
                <w:rFonts w:asciiTheme="majorHAnsi" w:hAnsiTheme="majorHAnsi" w:cstheme="majorHAnsi"/>
                <w:bCs w:val="0"/>
                <w:sz w:val="20"/>
                <w:szCs w:val="20"/>
                <w:lang w:val="ro-MD" w:eastAsia="en-US"/>
              </w:rPr>
              <w:t>evieri</w:t>
            </w:r>
          </w:p>
        </w:tc>
        <w:tc>
          <w:tcPr>
            <w:tcW w:w="811" w:type="dxa"/>
            <w:shd w:val="clear" w:color="auto" w:fill="DEEAF6" w:themeFill="accent1" w:themeFillTint="33"/>
            <w:vAlign w:val="center"/>
          </w:tcPr>
          <w:p w:rsidR="002B0C1F" w:rsidRPr="002751FC" w:rsidRDefault="002B0C1F" w:rsidP="001C537A">
            <w:pPr>
              <w:pStyle w:val="cp"/>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w:t>
            </w:r>
          </w:p>
        </w:tc>
      </w:tr>
      <w:tr w:rsidR="002B0C1F" w:rsidRPr="002751FC" w:rsidTr="008E6A80">
        <w:trPr>
          <w:trHeight w:val="187"/>
        </w:trPr>
        <w:tc>
          <w:tcPr>
            <w:tcW w:w="2972" w:type="dxa"/>
          </w:tcPr>
          <w:p w:rsidR="002B0C1F" w:rsidRPr="002751FC" w:rsidRDefault="002B0C1F" w:rsidP="00243401">
            <w:pPr>
              <w:pStyle w:val="cp"/>
              <w:jc w:val="both"/>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2014</w:t>
            </w:r>
          </w:p>
        </w:tc>
        <w:tc>
          <w:tcPr>
            <w:tcW w:w="992" w:type="dxa"/>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sz w:val="20"/>
                <w:szCs w:val="20"/>
                <w:lang w:val="ro-MD"/>
              </w:rPr>
              <w:t>59,0</w:t>
            </w:r>
          </w:p>
        </w:tc>
        <w:tc>
          <w:tcPr>
            <w:tcW w:w="826"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46,0</w:t>
            </w:r>
          </w:p>
        </w:tc>
        <w:tc>
          <w:tcPr>
            <w:tcW w:w="764"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-13,0</w:t>
            </w:r>
          </w:p>
        </w:tc>
        <w:tc>
          <w:tcPr>
            <w:tcW w:w="842"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-22,0%</w:t>
            </w:r>
          </w:p>
        </w:tc>
        <w:tc>
          <w:tcPr>
            <w:tcW w:w="970"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sz w:val="20"/>
                <w:szCs w:val="20"/>
                <w:lang w:val="ro-MD"/>
              </w:rPr>
              <w:t>59,0</w:t>
            </w:r>
          </w:p>
        </w:tc>
        <w:tc>
          <w:tcPr>
            <w:tcW w:w="573"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46,0</w:t>
            </w:r>
          </w:p>
        </w:tc>
        <w:tc>
          <w:tcPr>
            <w:tcW w:w="871"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-13,0</w:t>
            </w:r>
          </w:p>
        </w:tc>
        <w:tc>
          <w:tcPr>
            <w:tcW w:w="811"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-22,0%</w:t>
            </w:r>
          </w:p>
        </w:tc>
      </w:tr>
      <w:tr w:rsidR="002B0C1F" w:rsidRPr="002751FC" w:rsidTr="008E6A80">
        <w:trPr>
          <w:trHeight w:val="77"/>
        </w:trPr>
        <w:tc>
          <w:tcPr>
            <w:tcW w:w="2972" w:type="dxa"/>
          </w:tcPr>
          <w:p w:rsidR="002B0C1F" w:rsidRPr="002751FC" w:rsidRDefault="002B0C1F" w:rsidP="00243401">
            <w:pPr>
              <w:pStyle w:val="cp"/>
              <w:jc w:val="both"/>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2015</w:t>
            </w:r>
          </w:p>
        </w:tc>
        <w:tc>
          <w:tcPr>
            <w:tcW w:w="992" w:type="dxa"/>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sz w:val="20"/>
                <w:szCs w:val="20"/>
                <w:lang w:val="ro-MD"/>
              </w:rPr>
              <w:t>26,6</w:t>
            </w:r>
          </w:p>
        </w:tc>
        <w:tc>
          <w:tcPr>
            <w:tcW w:w="826"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30,0</w:t>
            </w:r>
          </w:p>
        </w:tc>
        <w:tc>
          <w:tcPr>
            <w:tcW w:w="764"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+3,4</w:t>
            </w:r>
          </w:p>
        </w:tc>
        <w:tc>
          <w:tcPr>
            <w:tcW w:w="842"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+12,8%</w:t>
            </w:r>
          </w:p>
        </w:tc>
        <w:tc>
          <w:tcPr>
            <w:tcW w:w="970"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sz w:val="20"/>
                <w:szCs w:val="20"/>
                <w:lang w:val="ro-MD"/>
              </w:rPr>
              <w:t>26,6</w:t>
            </w:r>
          </w:p>
        </w:tc>
        <w:tc>
          <w:tcPr>
            <w:tcW w:w="573"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30,0</w:t>
            </w:r>
          </w:p>
        </w:tc>
        <w:tc>
          <w:tcPr>
            <w:tcW w:w="871"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+3,4</w:t>
            </w:r>
          </w:p>
        </w:tc>
        <w:tc>
          <w:tcPr>
            <w:tcW w:w="811"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+12,8%</w:t>
            </w:r>
          </w:p>
        </w:tc>
      </w:tr>
      <w:tr w:rsidR="002B0C1F" w:rsidRPr="002751FC" w:rsidTr="008E6A80">
        <w:trPr>
          <w:trHeight w:val="110"/>
        </w:trPr>
        <w:tc>
          <w:tcPr>
            <w:tcW w:w="2972" w:type="dxa"/>
          </w:tcPr>
          <w:p w:rsidR="002B0C1F" w:rsidRPr="002751FC" w:rsidRDefault="002B0C1F" w:rsidP="00243401">
            <w:pPr>
              <w:pStyle w:val="cp"/>
              <w:jc w:val="both"/>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2016</w:t>
            </w:r>
          </w:p>
        </w:tc>
        <w:tc>
          <w:tcPr>
            <w:tcW w:w="992" w:type="dxa"/>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sz w:val="20"/>
                <w:szCs w:val="20"/>
                <w:lang w:val="ro-MD"/>
              </w:rPr>
              <w:t>30,0</w:t>
            </w:r>
          </w:p>
        </w:tc>
        <w:tc>
          <w:tcPr>
            <w:tcW w:w="826"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26,7</w:t>
            </w:r>
          </w:p>
        </w:tc>
        <w:tc>
          <w:tcPr>
            <w:tcW w:w="764"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-3,3</w:t>
            </w:r>
          </w:p>
        </w:tc>
        <w:tc>
          <w:tcPr>
            <w:tcW w:w="842"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-11,0%</w:t>
            </w:r>
          </w:p>
        </w:tc>
        <w:tc>
          <w:tcPr>
            <w:tcW w:w="970"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sz w:val="20"/>
                <w:szCs w:val="20"/>
                <w:lang w:val="ro-MD"/>
              </w:rPr>
              <w:t>30,0</w:t>
            </w:r>
          </w:p>
        </w:tc>
        <w:tc>
          <w:tcPr>
            <w:tcW w:w="573"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26,7</w:t>
            </w:r>
          </w:p>
        </w:tc>
        <w:tc>
          <w:tcPr>
            <w:tcW w:w="871"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-3,3</w:t>
            </w:r>
          </w:p>
        </w:tc>
        <w:tc>
          <w:tcPr>
            <w:tcW w:w="811"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-11,0%</w:t>
            </w:r>
          </w:p>
        </w:tc>
      </w:tr>
      <w:tr w:rsidR="002B0C1F" w:rsidRPr="002751FC" w:rsidTr="008E6A80">
        <w:trPr>
          <w:trHeight w:val="43"/>
        </w:trPr>
        <w:tc>
          <w:tcPr>
            <w:tcW w:w="2972" w:type="dxa"/>
          </w:tcPr>
          <w:p w:rsidR="002B0C1F" w:rsidRPr="002751FC" w:rsidRDefault="002B0C1F" w:rsidP="00243401">
            <w:pPr>
              <w:pStyle w:val="cp"/>
              <w:jc w:val="both"/>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2017</w:t>
            </w:r>
          </w:p>
        </w:tc>
        <w:tc>
          <w:tcPr>
            <w:tcW w:w="992" w:type="dxa"/>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sz w:val="20"/>
                <w:szCs w:val="20"/>
                <w:lang w:val="ro-MD"/>
              </w:rPr>
              <w:t>53,7</w:t>
            </w:r>
          </w:p>
        </w:tc>
        <w:tc>
          <w:tcPr>
            <w:tcW w:w="826"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42,3</w:t>
            </w:r>
          </w:p>
        </w:tc>
        <w:tc>
          <w:tcPr>
            <w:tcW w:w="764"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-11,4</w:t>
            </w:r>
          </w:p>
        </w:tc>
        <w:tc>
          <w:tcPr>
            <w:tcW w:w="842"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-21,2</w:t>
            </w:r>
          </w:p>
        </w:tc>
        <w:tc>
          <w:tcPr>
            <w:tcW w:w="970"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sz w:val="20"/>
                <w:szCs w:val="20"/>
                <w:lang w:val="ro-MD"/>
              </w:rPr>
              <w:t>53,7</w:t>
            </w:r>
          </w:p>
        </w:tc>
        <w:tc>
          <w:tcPr>
            <w:tcW w:w="573"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52,9</w:t>
            </w:r>
          </w:p>
        </w:tc>
        <w:tc>
          <w:tcPr>
            <w:tcW w:w="871"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-0,8</w:t>
            </w:r>
          </w:p>
        </w:tc>
        <w:tc>
          <w:tcPr>
            <w:tcW w:w="811" w:type="dxa"/>
            <w:shd w:val="clear" w:color="auto" w:fill="auto"/>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-1,5%</w:t>
            </w:r>
          </w:p>
        </w:tc>
      </w:tr>
      <w:tr w:rsidR="002B0C1F" w:rsidRPr="002751FC" w:rsidTr="008E6A80">
        <w:trPr>
          <w:trHeight w:val="43"/>
        </w:trPr>
        <w:tc>
          <w:tcPr>
            <w:tcW w:w="2972" w:type="dxa"/>
          </w:tcPr>
          <w:p w:rsidR="002B0C1F" w:rsidRPr="002751FC" w:rsidRDefault="002B0C1F" w:rsidP="00243401">
            <w:pPr>
              <w:pStyle w:val="cp"/>
              <w:jc w:val="both"/>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2018</w:t>
            </w:r>
          </w:p>
        </w:tc>
        <w:tc>
          <w:tcPr>
            <w:tcW w:w="992" w:type="dxa"/>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sz w:val="20"/>
                <w:szCs w:val="20"/>
                <w:lang w:val="ro-MD"/>
              </w:rPr>
              <w:t>45,8</w:t>
            </w:r>
          </w:p>
        </w:tc>
        <w:tc>
          <w:tcPr>
            <w:tcW w:w="826" w:type="dxa"/>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38,7</w:t>
            </w:r>
          </w:p>
        </w:tc>
        <w:tc>
          <w:tcPr>
            <w:tcW w:w="764" w:type="dxa"/>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-7,0</w:t>
            </w:r>
          </w:p>
        </w:tc>
        <w:tc>
          <w:tcPr>
            <w:tcW w:w="842" w:type="dxa"/>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-15,3%</w:t>
            </w:r>
          </w:p>
        </w:tc>
        <w:tc>
          <w:tcPr>
            <w:tcW w:w="970" w:type="dxa"/>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sz w:val="20"/>
                <w:szCs w:val="20"/>
                <w:lang w:val="ro-MD"/>
              </w:rPr>
              <w:t>45,8</w:t>
            </w:r>
          </w:p>
        </w:tc>
        <w:tc>
          <w:tcPr>
            <w:tcW w:w="573" w:type="dxa"/>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64,7</w:t>
            </w:r>
          </w:p>
        </w:tc>
        <w:tc>
          <w:tcPr>
            <w:tcW w:w="871" w:type="dxa"/>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+18,9</w:t>
            </w:r>
          </w:p>
        </w:tc>
        <w:tc>
          <w:tcPr>
            <w:tcW w:w="811" w:type="dxa"/>
          </w:tcPr>
          <w:p w:rsidR="002B0C1F" w:rsidRPr="002751FC" w:rsidRDefault="002B0C1F" w:rsidP="00C80B0C">
            <w:pPr>
              <w:pStyle w:val="cp"/>
              <w:jc w:val="right"/>
              <w:rPr>
                <w:rFonts w:asciiTheme="majorHAnsi" w:hAnsiTheme="majorHAnsi" w:cstheme="majorHAnsi"/>
                <w:b w:val="0"/>
                <w:bCs w:val="0"/>
                <w:sz w:val="20"/>
                <w:szCs w:val="20"/>
                <w:lang w:val="ro-MD" w:eastAsia="en-US"/>
              </w:rPr>
            </w:pPr>
            <w:r w:rsidRPr="002751FC">
              <w:rPr>
                <w:rFonts w:asciiTheme="majorHAnsi" w:hAnsiTheme="majorHAnsi" w:cstheme="majorHAnsi"/>
                <w:b w:val="0"/>
                <w:bCs w:val="0"/>
                <w:sz w:val="20"/>
                <w:szCs w:val="20"/>
                <w:lang w:val="ro-MD" w:eastAsia="en-US"/>
              </w:rPr>
              <w:t>+41,3%</w:t>
            </w:r>
          </w:p>
        </w:tc>
      </w:tr>
    </w:tbl>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Cs w:val="0"/>
          <w:sz w:val="16"/>
          <w:szCs w:val="16"/>
          <w:lang w:val="ro-MD" w:eastAsia="en-US"/>
        </w:rPr>
        <w:t>Sursa:</w:t>
      </w:r>
      <w:r w:rsidR="007B4236" w:rsidRPr="002751FC">
        <w:rPr>
          <w:rFonts w:asciiTheme="majorHAnsi" w:hAnsiTheme="majorHAnsi" w:cstheme="majorHAnsi"/>
          <w:b w:val="0"/>
          <w:bCs w:val="0"/>
          <w:sz w:val="16"/>
          <w:szCs w:val="16"/>
          <w:lang w:val="ro-MD" w:eastAsia="en-US"/>
        </w:rPr>
        <w:t xml:space="preserve"> Datele ON</w:t>
      </w:r>
      <w:r w:rsidRPr="002751FC">
        <w:rPr>
          <w:rFonts w:asciiTheme="majorHAnsi" w:hAnsiTheme="majorHAnsi" w:cstheme="majorHAnsi"/>
          <w:b w:val="0"/>
          <w:bCs w:val="0"/>
          <w:sz w:val="16"/>
          <w:szCs w:val="16"/>
          <w:lang w:val="ro-MD" w:eastAsia="en-US"/>
        </w:rPr>
        <w:t>VV.</w:t>
      </w:r>
    </w:p>
    <w:p w:rsidR="002B0C1F" w:rsidRPr="002751FC" w:rsidRDefault="002B0C1F" w:rsidP="00243401">
      <w:pPr>
        <w:pStyle w:val="cp"/>
        <w:jc w:val="both"/>
        <w:rPr>
          <w:rFonts w:asciiTheme="majorHAnsi" w:hAnsiTheme="majorHAnsi" w:cstheme="majorHAnsi"/>
          <w:b w:val="0"/>
          <w:bCs w:val="0"/>
          <w:sz w:val="20"/>
          <w:szCs w:val="20"/>
          <w:lang w:val="ro-MD" w:eastAsia="en-US"/>
        </w:rPr>
      </w:pPr>
    </w:p>
    <w:p w:rsidR="002B0C1F" w:rsidRPr="002751FC" w:rsidRDefault="002B0C1F" w:rsidP="00243401">
      <w:pPr>
        <w:pStyle w:val="cp"/>
        <w:jc w:val="both"/>
        <w:rPr>
          <w:rFonts w:asciiTheme="majorHAnsi" w:hAnsiTheme="majorHAnsi" w:cstheme="majorHAnsi"/>
          <w:b w:val="0"/>
          <w:bCs w:val="0"/>
          <w:sz w:val="28"/>
          <w:szCs w:val="28"/>
          <w:lang w:val="ro-MD" w:eastAsia="en-US"/>
        </w:rPr>
      </w:pPr>
      <w:r w:rsidRPr="002751FC">
        <w:rPr>
          <w:rFonts w:asciiTheme="majorHAnsi" w:hAnsiTheme="majorHAnsi" w:cstheme="majorHAnsi"/>
          <w:b w:val="0"/>
          <w:bCs w:val="0"/>
          <w:sz w:val="28"/>
          <w:szCs w:val="28"/>
          <w:lang w:val="ro-MD" w:eastAsia="en-US"/>
        </w:rPr>
        <w:t xml:space="preserve">Astfel, pe </w:t>
      </w:r>
      <w:r w:rsidR="00400A15" w:rsidRPr="002751FC">
        <w:rPr>
          <w:rFonts w:asciiTheme="majorHAnsi" w:hAnsiTheme="majorHAnsi" w:cstheme="majorHAnsi"/>
          <w:b w:val="0"/>
          <w:bCs w:val="0"/>
          <w:sz w:val="28"/>
          <w:szCs w:val="28"/>
          <w:lang w:val="ro-MD" w:eastAsia="en-US"/>
        </w:rPr>
        <w:t>parcursul</w:t>
      </w:r>
      <w:r w:rsidRPr="002751FC">
        <w:rPr>
          <w:rFonts w:asciiTheme="majorHAnsi" w:hAnsiTheme="majorHAnsi" w:cstheme="majorHAnsi"/>
          <w:b w:val="0"/>
          <w:bCs w:val="0"/>
          <w:sz w:val="28"/>
          <w:szCs w:val="28"/>
          <w:lang w:val="ro-MD" w:eastAsia="en-US"/>
        </w:rPr>
        <w:t xml:space="preserve"> ultim</w:t>
      </w:r>
      <w:r w:rsidR="00D4605C" w:rsidRPr="002751FC">
        <w:rPr>
          <w:rFonts w:asciiTheme="majorHAnsi" w:hAnsiTheme="majorHAnsi" w:cstheme="majorHAnsi"/>
          <w:b w:val="0"/>
          <w:bCs w:val="0"/>
          <w:sz w:val="28"/>
          <w:szCs w:val="28"/>
          <w:lang w:val="ro-MD" w:eastAsia="en-US"/>
        </w:rPr>
        <w:t>i</w:t>
      </w:r>
      <w:r w:rsidRPr="002751FC">
        <w:rPr>
          <w:rFonts w:asciiTheme="majorHAnsi" w:hAnsiTheme="majorHAnsi" w:cstheme="majorHAnsi"/>
          <w:b w:val="0"/>
          <w:bCs w:val="0"/>
          <w:sz w:val="28"/>
          <w:szCs w:val="28"/>
          <w:lang w:val="ro-MD" w:eastAsia="en-US"/>
        </w:rPr>
        <w:t>lor 3 ani, CC a depășit atribuțiile delegate și a aprobat pentru FVV bugete anuale în sume se deviază semnificativ față de cele aprobate în Legea bugetului de stat pentru anii bugetari respectiv</w:t>
      </w:r>
      <w:r w:rsidR="00400A15" w:rsidRPr="002751FC">
        <w:rPr>
          <w:rFonts w:asciiTheme="majorHAnsi" w:hAnsiTheme="majorHAnsi" w:cstheme="majorHAnsi"/>
          <w:b w:val="0"/>
          <w:bCs w:val="0"/>
          <w:sz w:val="28"/>
          <w:szCs w:val="28"/>
          <w:lang w:val="ro-MD" w:eastAsia="en-US"/>
        </w:rPr>
        <w:t>i</w:t>
      </w:r>
      <w:r w:rsidRPr="002751FC">
        <w:rPr>
          <w:rFonts w:asciiTheme="majorHAnsi" w:hAnsiTheme="majorHAnsi" w:cstheme="majorHAnsi"/>
          <w:b w:val="0"/>
          <w:bCs w:val="0"/>
          <w:sz w:val="28"/>
          <w:szCs w:val="28"/>
          <w:lang w:val="ro-MD" w:eastAsia="en-US"/>
        </w:rPr>
        <w:t xml:space="preserve"> (2014-2018), fiind înregistrate </w:t>
      </w:r>
      <w:r w:rsidR="00400A15" w:rsidRPr="002751FC">
        <w:rPr>
          <w:rFonts w:asciiTheme="majorHAnsi" w:hAnsiTheme="majorHAnsi" w:cstheme="majorHAnsi"/>
          <w:b w:val="0"/>
          <w:bCs w:val="0"/>
          <w:sz w:val="28"/>
          <w:szCs w:val="28"/>
          <w:lang w:val="ro-MD" w:eastAsia="en-US"/>
        </w:rPr>
        <w:t>atât</w:t>
      </w:r>
      <w:r w:rsidRPr="002751FC">
        <w:rPr>
          <w:rFonts w:asciiTheme="majorHAnsi" w:hAnsiTheme="majorHAnsi" w:cstheme="majorHAnsi"/>
          <w:b w:val="0"/>
          <w:bCs w:val="0"/>
          <w:sz w:val="28"/>
          <w:szCs w:val="28"/>
          <w:lang w:val="ro-MD" w:eastAsia="en-US"/>
        </w:rPr>
        <w:t xml:space="preserve"> diminuări</w:t>
      </w:r>
      <w:r w:rsidR="00D4605C" w:rsidRPr="002751FC">
        <w:rPr>
          <w:rFonts w:asciiTheme="majorHAnsi" w:hAnsiTheme="majorHAnsi" w:cstheme="majorHAnsi"/>
          <w:b w:val="0"/>
          <w:bCs w:val="0"/>
          <w:sz w:val="28"/>
          <w:szCs w:val="28"/>
          <w:lang w:val="ro-MD" w:eastAsia="en-US"/>
        </w:rPr>
        <w:t>,</w:t>
      </w:r>
      <w:r w:rsidRPr="002751FC">
        <w:rPr>
          <w:rFonts w:asciiTheme="majorHAnsi" w:hAnsiTheme="majorHAnsi" w:cstheme="majorHAnsi"/>
          <w:b w:val="0"/>
          <w:bCs w:val="0"/>
          <w:sz w:val="28"/>
          <w:szCs w:val="28"/>
          <w:lang w:val="ro-MD" w:eastAsia="en-US"/>
        </w:rPr>
        <w:t xml:space="preserve"> </w:t>
      </w:r>
      <w:r w:rsidR="00400A15" w:rsidRPr="002751FC">
        <w:rPr>
          <w:rFonts w:asciiTheme="majorHAnsi" w:hAnsiTheme="majorHAnsi" w:cstheme="majorHAnsi"/>
          <w:b w:val="0"/>
          <w:bCs w:val="0"/>
          <w:sz w:val="28"/>
          <w:szCs w:val="28"/>
          <w:lang w:val="ro-MD" w:eastAsia="en-US"/>
        </w:rPr>
        <w:t>cât</w:t>
      </w:r>
      <w:r w:rsidRPr="002751FC">
        <w:rPr>
          <w:rFonts w:asciiTheme="majorHAnsi" w:hAnsiTheme="majorHAnsi" w:cstheme="majorHAnsi"/>
          <w:b w:val="0"/>
          <w:bCs w:val="0"/>
          <w:sz w:val="28"/>
          <w:szCs w:val="28"/>
          <w:lang w:val="ro-MD" w:eastAsia="en-US"/>
        </w:rPr>
        <w:t xml:space="preserve"> și majorări față de limitele stabilite prin Legea bugetului de stat. Situațiile consta</w:t>
      </w:r>
      <w:r w:rsidR="00400A15" w:rsidRPr="002751FC">
        <w:rPr>
          <w:rFonts w:asciiTheme="majorHAnsi" w:hAnsiTheme="majorHAnsi" w:cstheme="majorHAnsi"/>
          <w:b w:val="0"/>
          <w:bCs w:val="0"/>
          <w:sz w:val="28"/>
          <w:szCs w:val="28"/>
          <w:lang w:val="ro-MD" w:eastAsia="en-US"/>
        </w:rPr>
        <w:t xml:space="preserve">tate denotă lipsa unui control </w:t>
      </w:r>
      <w:r w:rsidRPr="002751FC">
        <w:rPr>
          <w:rFonts w:asciiTheme="majorHAnsi" w:hAnsiTheme="majorHAnsi" w:cstheme="majorHAnsi"/>
          <w:b w:val="0"/>
          <w:bCs w:val="0"/>
          <w:sz w:val="28"/>
          <w:szCs w:val="28"/>
          <w:lang w:val="ro-MD" w:eastAsia="en-US"/>
        </w:rPr>
        <w:t>intern managerial instituit în cadrul ONVV, CC fiind</w:t>
      </w:r>
      <w:r w:rsidR="00D4605C" w:rsidRPr="002751FC">
        <w:rPr>
          <w:rFonts w:asciiTheme="majorHAnsi" w:hAnsiTheme="majorHAnsi" w:cstheme="majorHAnsi"/>
          <w:b w:val="0"/>
          <w:bCs w:val="0"/>
          <w:sz w:val="28"/>
          <w:szCs w:val="28"/>
          <w:lang w:val="ro-MD" w:eastAsia="en-US"/>
        </w:rPr>
        <w:t>u-i</w:t>
      </w:r>
      <w:r w:rsidRPr="002751FC">
        <w:rPr>
          <w:rFonts w:asciiTheme="majorHAnsi" w:hAnsiTheme="majorHAnsi" w:cstheme="majorHAnsi"/>
          <w:b w:val="0"/>
          <w:bCs w:val="0"/>
          <w:sz w:val="28"/>
          <w:szCs w:val="28"/>
          <w:lang w:val="ro-MD" w:eastAsia="en-US"/>
        </w:rPr>
        <w:t xml:space="preserve"> propuse </w:t>
      </w:r>
      <w:r w:rsidR="00D4605C" w:rsidRPr="002751FC">
        <w:rPr>
          <w:rFonts w:asciiTheme="majorHAnsi" w:hAnsiTheme="majorHAnsi" w:cstheme="majorHAnsi"/>
          <w:b w:val="0"/>
          <w:bCs w:val="0"/>
          <w:sz w:val="28"/>
          <w:szCs w:val="28"/>
          <w:lang w:val="ro-MD" w:eastAsia="en-US"/>
        </w:rPr>
        <w:t xml:space="preserve">spre aprobare </w:t>
      </w:r>
      <w:r w:rsidRPr="002751FC">
        <w:rPr>
          <w:rFonts w:asciiTheme="majorHAnsi" w:hAnsiTheme="majorHAnsi" w:cstheme="majorHAnsi"/>
          <w:b w:val="0"/>
          <w:bCs w:val="0"/>
          <w:sz w:val="28"/>
          <w:szCs w:val="28"/>
          <w:lang w:val="ro-MD" w:eastAsia="en-US"/>
        </w:rPr>
        <w:t xml:space="preserve">bugete cu sume ce deviază semnificativ față de limitele legale. </w:t>
      </w:r>
    </w:p>
    <w:p w:rsidR="002B0C1F" w:rsidRPr="002751FC" w:rsidRDefault="002B0C1F" w:rsidP="00243401">
      <w:pPr>
        <w:pStyle w:val="cp"/>
        <w:jc w:val="both"/>
        <w:rPr>
          <w:rFonts w:asciiTheme="majorHAnsi" w:hAnsiTheme="majorHAnsi" w:cstheme="majorHAnsi"/>
          <w:b w:val="0"/>
          <w:bCs w:val="0"/>
          <w:sz w:val="28"/>
          <w:szCs w:val="28"/>
          <w:lang w:val="ro-MD" w:eastAsia="en-US"/>
        </w:rPr>
      </w:pPr>
    </w:p>
    <w:p w:rsidR="002B0C1F" w:rsidRPr="002751FC" w:rsidRDefault="002B0C1F" w:rsidP="00243401">
      <w:pPr>
        <w:pStyle w:val="cp"/>
        <w:jc w:val="both"/>
        <w:rPr>
          <w:rFonts w:asciiTheme="majorHAnsi" w:hAnsiTheme="majorHAnsi" w:cstheme="majorHAnsi"/>
          <w:b w:val="0"/>
          <w:bCs w:val="0"/>
          <w:sz w:val="28"/>
          <w:szCs w:val="28"/>
          <w:lang w:val="ro-MD" w:eastAsia="en-US"/>
        </w:rPr>
      </w:pPr>
      <w:r w:rsidRPr="002751FC">
        <w:rPr>
          <w:rFonts w:asciiTheme="majorHAnsi" w:hAnsiTheme="majorHAnsi" w:cstheme="majorHAnsi"/>
          <w:b w:val="0"/>
          <w:bCs w:val="0"/>
          <w:sz w:val="28"/>
          <w:szCs w:val="28"/>
          <w:lang w:val="ro-MD" w:eastAsia="en-US"/>
        </w:rPr>
        <w:t>Deviațiile de la limitele aprobate în bug</w:t>
      </w:r>
      <w:r w:rsidR="00400A15" w:rsidRPr="002751FC">
        <w:rPr>
          <w:rFonts w:asciiTheme="majorHAnsi" w:hAnsiTheme="majorHAnsi" w:cstheme="majorHAnsi"/>
          <w:b w:val="0"/>
          <w:bCs w:val="0"/>
          <w:sz w:val="28"/>
          <w:szCs w:val="28"/>
          <w:lang w:val="ro-MD" w:eastAsia="en-US"/>
        </w:rPr>
        <w:t>e</w:t>
      </w:r>
      <w:r w:rsidRPr="002751FC">
        <w:rPr>
          <w:rFonts w:asciiTheme="majorHAnsi" w:hAnsiTheme="majorHAnsi" w:cstheme="majorHAnsi"/>
          <w:b w:val="0"/>
          <w:bCs w:val="0"/>
          <w:sz w:val="28"/>
          <w:szCs w:val="28"/>
          <w:lang w:val="ro-MD" w:eastAsia="en-US"/>
        </w:rPr>
        <w:t xml:space="preserve">tul de stat </w:t>
      </w:r>
      <w:r w:rsidR="00D4605C" w:rsidRPr="002751FC">
        <w:rPr>
          <w:rFonts w:asciiTheme="majorHAnsi" w:hAnsiTheme="majorHAnsi" w:cstheme="majorHAnsi"/>
          <w:b w:val="0"/>
          <w:bCs w:val="0"/>
          <w:sz w:val="28"/>
          <w:szCs w:val="28"/>
          <w:lang w:val="ro-MD" w:eastAsia="en-US"/>
        </w:rPr>
        <w:t>sunt</w:t>
      </w:r>
      <w:r w:rsidRPr="002751FC">
        <w:rPr>
          <w:rFonts w:asciiTheme="majorHAnsi" w:hAnsiTheme="majorHAnsi" w:cstheme="majorHAnsi"/>
          <w:b w:val="0"/>
          <w:bCs w:val="0"/>
          <w:sz w:val="28"/>
          <w:szCs w:val="28"/>
          <w:lang w:val="ro-MD" w:eastAsia="en-US"/>
        </w:rPr>
        <w:t xml:space="preserve"> explic</w:t>
      </w:r>
      <w:r w:rsidR="00D4605C" w:rsidRPr="002751FC">
        <w:rPr>
          <w:rFonts w:asciiTheme="majorHAnsi" w:hAnsiTheme="majorHAnsi" w:cstheme="majorHAnsi"/>
          <w:b w:val="0"/>
          <w:bCs w:val="0"/>
          <w:sz w:val="28"/>
          <w:szCs w:val="28"/>
          <w:lang w:val="ro-MD" w:eastAsia="en-US"/>
        </w:rPr>
        <w:t>ate</w:t>
      </w:r>
      <w:r w:rsidRPr="002751FC">
        <w:rPr>
          <w:rFonts w:asciiTheme="majorHAnsi" w:hAnsiTheme="majorHAnsi" w:cstheme="majorHAnsi"/>
          <w:b w:val="0"/>
          <w:bCs w:val="0"/>
          <w:sz w:val="28"/>
          <w:szCs w:val="28"/>
          <w:lang w:val="ro-MD" w:eastAsia="en-US"/>
        </w:rPr>
        <w:t xml:space="preserve"> de ONVV prin aplicarea prevederilor art.32</w:t>
      </w:r>
      <w:r w:rsidRPr="002751FC">
        <w:rPr>
          <w:rFonts w:asciiTheme="majorHAnsi" w:hAnsiTheme="majorHAnsi" w:cstheme="majorHAnsi"/>
          <w:b w:val="0"/>
          <w:bCs w:val="0"/>
          <w:sz w:val="28"/>
          <w:szCs w:val="28"/>
          <w:vertAlign w:val="superscript"/>
          <w:lang w:val="ro-MD" w:eastAsia="en-US"/>
        </w:rPr>
        <w:t>3</w:t>
      </w:r>
      <w:r w:rsidRPr="002751FC">
        <w:rPr>
          <w:rFonts w:asciiTheme="majorHAnsi" w:hAnsiTheme="majorHAnsi" w:cstheme="majorHAnsi"/>
          <w:b w:val="0"/>
          <w:bCs w:val="0"/>
          <w:sz w:val="28"/>
          <w:szCs w:val="28"/>
          <w:lang w:val="ro-MD" w:eastAsia="en-US"/>
        </w:rPr>
        <w:t xml:space="preserve"> alin.(15) din L</w:t>
      </w:r>
      <w:r w:rsidR="00D4605C" w:rsidRPr="002751FC">
        <w:rPr>
          <w:rFonts w:asciiTheme="majorHAnsi" w:hAnsiTheme="majorHAnsi" w:cstheme="majorHAnsi"/>
          <w:b w:val="0"/>
          <w:bCs w:val="0"/>
          <w:sz w:val="28"/>
          <w:szCs w:val="28"/>
          <w:lang w:val="ro-MD" w:eastAsia="en-US"/>
        </w:rPr>
        <w:t>egea viei și vinului</w:t>
      </w:r>
      <w:r w:rsidRPr="002751FC">
        <w:rPr>
          <w:rFonts w:asciiTheme="majorHAnsi" w:hAnsiTheme="majorHAnsi" w:cstheme="majorHAnsi"/>
          <w:b w:val="0"/>
          <w:bCs w:val="0"/>
          <w:sz w:val="28"/>
          <w:szCs w:val="28"/>
          <w:lang w:val="ro-MD" w:eastAsia="en-US"/>
        </w:rPr>
        <w:t>, care stipulează că excedentele financiare neutilizate de către Oficiu pe parcursul anului nu pot fi supuse prelevării şi se transferă în contul anului următor în scop de realizare a sarcinilor Oficiului.</w:t>
      </w:r>
    </w:p>
    <w:p w:rsidR="002B0C1F" w:rsidRPr="002751FC" w:rsidRDefault="002B0C1F" w:rsidP="00243401">
      <w:pPr>
        <w:pStyle w:val="cp"/>
        <w:jc w:val="both"/>
        <w:rPr>
          <w:rFonts w:asciiTheme="majorHAnsi" w:hAnsiTheme="majorHAnsi" w:cstheme="majorHAnsi"/>
          <w:b w:val="0"/>
          <w:bCs w:val="0"/>
          <w:sz w:val="28"/>
          <w:szCs w:val="28"/>
          <w:lang w:val="ro-MD" w:eastAsia="en-US"/>
        </w:rPr>
      </w:pPr>
    </w:p>
    <w:p w:rsidR="002B0C1F" w:rsidRPr="002751FC" w:rsidRDefault="002B0C1F" w:rsidP="00243401">
      <w:pPr>
        <w:pStyle w:val="cp"/>
        <w:jc w:val="both"/>
        <w:outlineLvl w:val="0"/>
        <w:rPr>
          <w:rFonts w:asciiTheme="majorHAnsi" w:hAnsiTheme="majorHAnsi" w:cstheme="majorHAnsi"/>
          <w:bCs w:val="0"/>
          <w:sz w:val="28"/>
          <w:szCs w:val="28"/>
          <w:lang w:val="ro-MD" w:eastAsia="en-US"/>
        </w:rPr>
      </w:pPr>
      <w:bookmarkStart w:id="30" w:name="_Toc23259094"/>
      <w:r w:rsidRPr="002751FC">
        <w:rPr>
          <w:rFonts w:asciiTheme="majorHAnsi" w:hAnsiTheme="majorHAnsi" w:cstheme="majorHAnsi"/>
          <w:bCs w:val="0"/>
          <w:sz w:val="28"/>
          <w:szCs w:val="28"/>
          <w:lang w:val="ro-MD" w:eastAsia="en-US"/>
        </w:rPr>
        <w:t>4.1.4</w:t>
      </w:r>
      <w:r w:rsidRPr="002751FC">
        <w:rPr>
          <w:rFonts w:asciiTheme="majorHAnsi" w:hAnsiTheme="majorHAnsi" w:cstheme="majorHAnsi"/>
          <w:b w:val="0"/>
          <w:bCs w:val="0"/>
          <w:sz w:val="28"/>
          <w:szCs w:val="28"/>
          <w:lang w:val="ro-MD" w:eastAsia="en-US"/>
        </w:rPr>
        <w:t xml:space="preserve">. </w:t>
      </w:r>
      <w:r w:rsidRPr="002751FC">
        <w:rPr>
          <w:rFonts w:asciiTheme="majorHAnsi" w:hAnsiTheme="majorHAnsi" w:cstheme="majorHAnsi"/>
          <w:bCs w:val="0"/>
          <w:sz w:val="28"/>
          <w:szCs w:val="28"/>
          <w:lang w:val="ro-MD" w:eastAsia="en-US"/>
        </w:rPr>
        <w:t xml:space="preserve">Lipsa unor </w:t>
      </w:r>
      <w:r w:rsidR="00400A15" w:rsidRPr="002751FC">
        <w:rPr>
          <w:rFonts w:asciiTheme="majorHAnsi" w:hAnsiTheme="majorHAnsi" w:cstheme="majorHAnsi"/>
          <w:bCs w:val="0"/>
          <w:sz w:val="28"/>
          <w:szCs w:val="28"/>
          <w:lang w:val="ro-MD" w:eastAsia="en-US"/>
        </w:rPr>
        <w:t>proceduri</w:t>
      </w:r>
      <w:r w:rsidRPr="002751FC">
        <w:rPr>
          <w:rFonts w:asciiTheme="majorHAnsi" w:hAnsiTheme="majorHAnsi" w:cstheme="majorHAnsi"/>
          <w:bCs w:val="0"/>
          <w:sz w:val="28"/>
          <w:szCs w:val="28"/>
          <w:lang w:val="ro-MD" w:eastAsia="en-US"/>
        </w:rPr>
        <w:t xml:space="preserve"> formalizate privind rectificarea bugetului aprobat de </w:t>
      </w:r>
      <w:r w:rsidR="00400A15" w:rsidRPr="002751FC">
        <w:rPr>
          <w:rFonts w:asciiTheme="majorHAnsi" w:hAnsiTheme="majorHAnsi" w:cstheme="majorHAnsi"/>
          <w:bCs w:val="0"/>
          <w:sz w:val="28"/>
          <w:szCs w:val="28"/>
          <w:lang w:val="ro-MD" w:eastAsia="en-US"/>
        </w:rPr>
        <w:t>CC</w:t>
      </w:r>
      <w:r w:rsidRPr="002751FC">
        <w:rPr>
          <w:rFonts w:asciiTheme="majorHAnsi" w:hAnsiTheme="majorHAnsi" w:cstheme="majorHAnsi"/>
          <w:bCs w:val="0"/>
          <w:sz w:val="28"/>
          <w:szCs w:val="28"/>
          <w:lang w:val="ro-MD" w:eastAsia="en-US"/>
        </w:rPr>
        <w:t xml:space="preserve"> a permis finanțarea unor măsuri fără identificarea surselor de acoperire a măsurilor aprobate suplimentar de acesta, efectuarea cheltuielilor neprevăzute în bug</w:t>
      </w:r>
      <w:r w:rsidR="00400A15" w:rsidRPr="002751FC">
        <w:rPr>
          <w:rFonts w:asciiTheme="majorHAnsi" w:hAnsiTheme="majorHAnsi" w:cstheme="majorHAnsi"/>
          <w:bCs w:val="0"/>
          <w:sz w:val="28"/>
          <w:szCs w:val="28"/>
          <w:lang w:val="ro-MD" w:eastAsia="en-US"/>
        </w:rPr>
        <w:t>e</w:t>
      </w:r>
      <w:r w:rsidRPr="002751FC">
        <w:rPr>
          <w:rFonts w:asciiTheme="majorHAnsi" w:hAnsiTheme="majorHAnsi" w:cstheme="majorHAnsi"/>
          <w:bCs w:val="0"/>
          <w:sz w:val="28"/>
          <w:szCs w:val="28"/>
          <w:lang w:val="ro-MD" w:eastAsia="en-US"/>
        </w:rPr>
        <w:t>t fără aprobarea de către CC, precum și efectuarea cheltuielilor cu depășirea limitelor de cheltuieli aprobate pentru activitățile respective</w:t>
      </w:r>
      <w:bookmarkEnd w:id="30"/>
    </w:p>
    <w:p w:rsidR="002B0C1F" w:rsidRPr="002751FC" w:rsidRDefault="002B0C1F" w:rsidP="00243401">
      <w:pPr>
        <w:pStyle w:val="cp"/>
        <w:jc w:val="both"/>
        <w:outlineLvl w:val="0"/>
        <w:rPr>
          <w:rFonts w:asciiTheme="majorHAnsi" w:hAnsiTheme="majorHAnsi" w:cstheme="majorHAnsi"/>
          <w:b w:val="0"/>
          <w:bCs w:val="0"/>
          <w:sz w:val="28"/>
          <w:szCs w:val="28"/>
          <w:lang w:val="ro-MD" w:eastAsia="en-US"/>
        </w:rPr>
      </w:pPr>
    </w:p>
    <w:p w:rsidR="002B0C1F" w:rsidRPr="002751FC" w:rsidRDefault="00400A15" w:rsidP="00243401">
      <w:pPr>
        <w:pStyle w:val="cp"/>
        <w:jc w:val="both"/>
        <w:rPr>
          <w:rFonts w:asciiTheme="majorHAnsi" w:hAnsiTheme="majorHAnsi" w:cstheme="majorHAnsi"/>
          <w:b w:val="0"/>
          <w:bCs w:val="0"/>
          <w:sz w:val="28"/>
          <w:szCs w:val="28"/>
          <w:lang w:val="ro-MD" w:eastAsia="en-US"/>
        </w:rPr>
      </w:pPr>
      <w:r w:rsidRPr="002751FC">
        <w:rPr>
          <w:rFonts w:asciiTheme="majorHAnsi" w:hAnsiTheme="majorHAnsi" w:cstheme="majorHAnsi"/>
          <w:b w:val="0"/>
          <w:bCs w:val="0"/>
          <w:sz w:val="28"/>
          <w:szCs w:val="28"/>
          <w:lang w:val="ro-MD" w:eastAsia="en-US"/>
        </w:rPr>
        <w:lastRenderedPageBreak/>
        <w:t>Probele a</w:t>
      </w:r>
      <w:r w:rsidR="002B0C1F" w:rsidRPr="002751FC">
        <w:rPr>
          <w:rFonts w:asciiTheme="majorHAnsi" w:hAnsiTheme="majorHAnsi" w:cstheme="majorHAnsi"/>
          <w:b w:val="0"/>
          <w:bCs w:val="0"/>
          <w:sz w:val="28"/>
          <w:szCs w:val="28"/>
          <w:lang w:val="ro-MD" w:eastAsia="en-US"/>
        </w:rPr>
        <w:t xml:space="preserve">cumulate de audit au relevat că rectificarea bugetului FVV de către </w:t>
      </w:r>
      <w:r w:rsidRPr="002751FC">
        <w:rPr>
          <w:rFonts w:asciiTheme="majorHAnsi" w:hAnsiTheme="majorHAnsi" w:cstheme="majorHAnsi"/>
          <w:b w:val="0"/>
          <w:bCs w:val="0"/>
          <w:sz w:val="28"/>
          <w:szCs w:val="28"/>
          <w:lang w:val="ro-MD" w:eastAsia="en-US"/>
        </w:rPr>
        <w:t>CC</w:t>
      </w:r>
      <w:r w:rsidR="002B0C1F" w:rsidRPr="002751FC">
        <w:rPr>
          <w:rFonts w:asciiTheme="majorHAnsi" w:hAnsiTheme="majorHAnsi" w:cstheme="majorHAnsi"/>
          <w:b w:val="0"/>
          <w:bCs w:val="0"/>
          <w:sz w:val="28"/>
          <w:szCs w:val="28"/>
          <w:lang w:val="ro-MD" w:eastAsia="en-US"/>
        </w:rPr>
        <w:t xml:space="preserve"> se </w:t>
      </w:r>
      <w:r w:rsidRPr="002751FC">
        <w:rPr>
          <w:rFonts w:asciiTheme="majorHAnsi" w:hAnsiTheme="majorHAnsi" w:cstheme="majorHAnsi"/>
          <w:b w:val="0"/>
          <w:bCs w:val="0"/>
          <w:sz w:val="28"/>
          <w:szCs w:val="28"/>
          <w:lang w:val="ro-MD" w:eastAsia="en-US"/>
        </w:rPr>
        <w:t>efectuează</w:t>
      </w:r>
      <w:r w:rsidR="002B0C1F" w:rsidRPr="002751FC">
        <w:rPr>
          <w:rFonts w:asciiTheme="majorHAnsi" w:hAnsiTheme="majorHAnsi" w:cstheme="majorHAnsi"/>
          <w:b w:val="0"/>
          <w:bCs w:val="0"/>
          <w:sz w:val="28"/>
          <w:szCs w:val="28"/>
          <w:lang w:val="ro-MD" w:eastAsia="en-US"/>
        </w:rPr>
        <w:t xml:space="preserve"> în lipsa unor prevederi exhaustive privitor la modificarea/rectificarea bugetului FVV pe </w:t>
      </w:r>
      <w:r w:rsidRPr="002751FC">
        <w:rPr>
          <w:rFonts w:asciiTheme="majorHAnsi" w:hAnsiTheme="majorHAnsi" w:cstheme="majorHAnsi"/>
          <w:b w:val="0"/>
          <w:bCs w:val="0"/>
          <w:sz w:val="28"/>
          <w:szCs w:val="28"/>
          <w:lang w:val="ro-MD" w:eastAsia="en-US"/>
        </w:rPr>
        <w:t>parcursul</w:t>
      </w:r>
      <w:r w:rsidR="002B0C1F" w:rsidRPr="002751FC">
        <w:rPr>
          <w:rFonts w:asciiTheme="majorHAnsi" w:hAnsiTheme="majorHAnsi" w:cstheme="majorHAnsi"/>
          <w:b w:val="0"/>
          <w:bCs w:val="0"/>
          <w:sz w:val="28"/>
          <w:szCs w:val="28"/>
          <w:lang w:val="ro-MD" w:eastAsia="en-US"/>
        </w:rPr>
        <w:t xml:space="preserve"> anului bugetar.</w:t>
      </w:r>
    </w:p>
    <w:p w:rsidR="002B0C1F" w:rsidRPr="002751FC" w:rsidRDefault="002B0C1F" w:rsidP="00243401">
      <w:pPr>
        <w:pStyle w:val="cp"/>
        <w:numPr>
          <w:ilvl w:val="0"/>
          <w:numId w:val="8"/>
        </w:numPr>
        <w:ind w:left="0" w:firstLine="567"/>
        <w:jc w:val="both"/>
        <w:rPr>
          <w:rFonts w:asciiTheme="majorHAnsi" w:hAnsiTheme="majorHAnsi" w:cstheme="majorHAnsi"/>
          <w:b w:val="0"/>
          <w:bCs w:val="0"/>
          <w:sz w:val="28"/>
          <w:szCs w:val="28"/>
          <w:lang w:val="ro-MD" w:eastAsia="en-US"/>
        </w:rPr>
      </w:pPr>
      <w:r w:rsidRPr="002751FC">
        <w:rPr>
          <w:rFonts w:asciiTheme="majorHAnsi" w:hAnsiTheme="majorHAnsi" w:cstheme="majorHAnsi"/>
          <w:b w:val="0"/>
          <w:bCs w:val="0"/>
          <w:sz w:val="28"/>
          <w:szCs w:val="28"/>
          <w:lang w:val="ro-MD" w:eastAsia="en-US"/>
        </w:rPr>
        <w:t xml:space="preserve">Astfel, </w:t>
      </w:r>
      <w:r w:rsidR="00400A15" w:rsidRPr="002751FC">
        <w:rPr>
          <w:rFonts w:asciiTheme="majorHAnsi" w:hAnsiTheme="majorHAnsi" w:cstheme="majorHAnsi"/>
          <w:b w:val="0"/>
          <w:bCs w:val="0"/>
          <w:sz w:val="28"/>
          <w:szCs w:val="28"/>
          <w:lang w:val="ro-MD" w:eastAsia="en-US"/>
        </w:rPr>
        <w:t>deşi</w:t>
      </w:r>
      <w:r w:rsidRPr="002751FC">
        <w:rPr>
          <w:rFonts w:asciiTheme="majorHAnsi" w:hAnsiTheme="majorHAnsi" w:cstheme="majorHAnsi"/>
          <w:b w:val="0"/>
          <w:bCs w:val="0"/>
          <w:sz w:val="28"/>
          <w:szCs w:val="28"/>
          <w:lang w:val="ro-MD" w:eastAsia="en-US"/>
        </w:rPr>
        <w:t xml:space="preserve"> ONVV la acțiunea „Promovarea imaginii produselor vi</w:t>
      </w:r>
      <w:r w:rsidR="00400A15" w:rsidRPr="002751FC">
        <w:rPr>
          <w:rFonts w:asciiTheme="majorHAnsi" w:hAnsiTheme="majorHAnsi" w:cstheme="majorHAnsi"/>
          <w:b w:val="0"/>
          <w:bCs w:val="0"/>
          <w:sz w:val="28"/>
          <w:szCs w:val="28"/>
          <w:lang w:val="ro-MD" w:eastAsia="en-US"/>
        </w:rPr>
        <w:t>t</w:t>
      </w:r>
      <w:r w:rsidRPr="002751FC">
        <w:rPr>
          <w:rFonts w:asciiTheme="majorHAnsi" w:hAnsiTheme="majorHAnsi" w:cstheme="majorHAnsi"/>
          <w:b w:val="0"/>
          <w:bCs w:val="0"/>
          <w:sz w:val="28"/>
          <w:szCs w:val="28"/>
          <w:lang w:val="ro-MD" w:eastAsia="en-US"/>
        </w:rPr>
        <w:t xml:space="preserve">ivinicole pe piața internă și la export” a efectuat 4 măsuri suplimentare (1,8 </w:t>
      </w:r>
      <w:proofErr w:type="spellStart"/>
      <w:r w:rsidRPr="002751FC">
        <w:rPr>
          <w:rFonts w:asciiTheme="majorHAnsi" w:hAnsiTheme="majorHAnsi" w:cstheme="majorHAnsi"/>
          <w:b w:val="0"/>
          <w:bCs w:val="0"/>
          <w:sz w:val="28"/>
          <w:szCs w:val="28"/>
          <w:lang w:val="ro-MD" w:eastAsia="en-US"/>
        </w:rPr>
        <w:t>mil.MDL</w:t>
      </w:r>
      <w:proofErr w:type="spellEnd"/>
      <w:r w:rsidRPr="002751FC">
        <w:rPr>
          <w:rFonts w:asciiTheme="majorHAnsi" w:hAnsiTheme="majorHAnsi" w:cstheme="majorHAnsi"/>
          <w:b w:val="0"/>
          <w:bCs w:val="0"/>
          <w:sz w:val="28"/>
          <w:szCs w:val="28"/>
          <w:lang w:val="ro-MD" w:eastAsia="en-US"/>
        </w:rPr>
        <w:t>)</w:t>
      </w:r>
      <w:r w:rsidRPr="002751FC">
        <w:rPr>
          <w:rStyle w:val="ab"/>
          <w:rFonts w:asciiTheme="majorHAnsi" w:hAnsiTheme="majorHAnsi" w:cstheme="majorHAnsi"/>
          <w:b w:val="0"/>
          <w:bCs w:val="0"/>
          <w:sz w:val="28"/>
          <w:szCs w:val="28"/>
          <w:lang w:val="ro-MD" w:eastAsia="en-US"/>
        </w:rPr>
        <w:footnoteReference w:id="30"/>
      </w:r>
      <w:r w:rsidRPr="002751FC">
        <w:rPr>
          <w:rFonts w:asciiTheme="majorHAnsi" w:hAnsiTheme="majorHAnsi" w:cstheme="majorHAnsi"/>
          <w:b w:val="0"/>
          <w:bCs w:val="0"/>
          <w:sz w:val="28"/>
          <w:szCs w:val="28"/>
          <w:lang w:val="ro-MD" w:eastAsia="en-US"/>
        </w:rPr>
        <w:t xml:space="preserve"> cu aprobare de către Consiliu, pentru acestea nu au fost identificate sursele de acoperire, alocațiile </w:t>
      </w:r>
      <w:r w:rsidR="00FE4C63" w:rsidRPr="002751FC">
        <w:rPr>
          <w:rFonts w:asciiTheme="majorHAnsi" w:hAnsiTheme="majorHAnsi" w:cstheme="majorHAnsi"/>
          <w:b w:val="0"/>
          <w:bCs w:val="0"/>
          <w:sz w:val="28"/>
          <w:szCs w:val="28"/>
          <w:lang w:val="ro-MD" w:eastAsia="en-US"/>
        </w:rPr>
        <w:t>prevăzute</w:t>
      </w:r>
      <w:r w:rsidRPr="002751FC">
        <w:rPr>
          <w:rFonts w:asciiTheme="majorHAnsi" w:hAnsiTheme="majorHAnsi" w:cstheme="majorHAnsi"/>
          <w:b w:val="0"/>
          <w:bCs w:val="0"/>
          <w:sz w:val="28"/>
          <w:szCs w:val="28"/>
          <w:lang w:val="ro-MD" w:eastAsia="en-US"/>
        </w:rPr>
        <w:t xml:space="preserve"> nefiind redistribuite</w:t>
      </w:r>
      <w:r w:rsidR="00D4605C" w:rsidRPr="002751FC">
        <w:rPr>
          <w:rFonts w:asciiTheme="majorHAnsi" w:hAnsiTheme="majorHAnsi" w:cstheme="majorHAnsi"/>
          <w:b w:val="0"/>
          <w:bCs w:val="0"/>
          <w:sz w:val="28"/>
          <w:szCs w:val="28"/>
          <w:lang w:val="ro-MD" w:eastAsia="en-US"/>
        </w:rPr>
        <w:t>.</w:t>
      </w:r>
      <w:r w:rsidRPr="002751FC">
        <w:rPr>
          <w:rFonts w:asciiTheme="majorHAnsi" w:hAnsiTheme="majorHAnsi" w:cstheme="majorHAnsi"/>
          <w:b w:val="0"/>
          <w:bCs w:val="0"/>
          <w:sz w:val="28"/>
          <w:szCs w:val="28"/>
          <w:lang w:val="ro-MD" w:eastAsia="en-US"/>
        </w:rPr>
        <w:t xml:space="preserve"> </w:t>
      </w:r>
      <w:r w:rsidR="00D4605C" w:rsidRPr="002751FC">
        <w:rPr>
          <w:rFonts w:asciiTheme="majorHAnsi" w:hAnsiTheme="majorHAnsi" w:cstheme="majorHAnsi"/>
          <w:b w:val="0"/>
          <w:bCs w:val="0"/>
          <w:sz w:val="28"/>
          <w:szCs w:val="28"/>
          <w:lang w:val="ro-MD" w:eastAsia="en-US"/>
        </w:rPr>
        <w:t>T</w:t>
      </w:r>
      <w:r w:rsidRPr="002751FC">
        <w:rPr>
          <w:rFonts w:asciiTheme="majorHAnsi" w:hAnsiTheme="majorHAnsi" w:cstheme="majorHAnsi"/>
          <w:b w:val="0"/>
          <w:bCs w:val="0"/>
          <w:sz w:val="28"/>
          <w:szCs w:val="28"/>
          <w:lang w:val="ro-MD" w:eastAsia="en-US"/>
        </w:rPr>
        <w:t>otodată</w:t>
      </w:r>
      <w:r w:rsidR="00D4605C" w:rsidRPr="002751FC">
        <w:rPr>
          <w:rFonts w:asciiTheme="majorHAnsi" w:hAnsiTheme="majorHAnsi" w:cstheme="majorHAnsi"/>
          <w:b w:val="0"/>
          <w:bCs w:val="0"/>
          <w:sz w:val="28"/>
          <w:szCs w:val="28"/>
          <w:lang w:val="ro-MD" w:eastAsia="en-US"/>
        </w:rPr>
        <w:t>,</w:t>
      </w:r>
      <w:r w:rsidRPr="002751FC">
        <w:rPr>
          <w:rFonts w:asciiTheme="majorHAnsi" w:hAnsiTheme="majorHAnsi" w:cstheme="majorHAnsi"/>
          <w:b w:val="0"/>
          <w:bCs w:val="0"/>
          <w:sz w:val="28"/>
          <w:szCs w:val="28"/>
          <w:lang w:val="ro-MD" w:eastAsia="en-US"/>
        </w:rPr>
        <w:t xml:space="preserve"> la 2 măsuri din cele 4</w:t>
      </w:r>
      <w:r w:rsidR="00FE4C63" w:rsidRPr="002751FC">
        <w:rPr>
          <w:rFonts w:asciiTheme="majorHAnsi" w:hAnsiTheme="majorHAnsi" w:cstheme="majorHAnsi"/>
          <w:b w:val="0"/>
          <w:bCs w:val="0"/>
          <w:sz w:val="28"/>
          <w:szCs w:val="28"/>
          <w:lang w:val="ro-MD" w:eastAsia="en-US"/>
        </w:rPr>
        <w:t>,</w:t>
      </w:r>
      <w:r w:rsidRPr="002751FC">
        <w:rPr>
          <w:rFonts w:asciiTheme="majorHAnsi" w:hAnsiTheme="majorHAnsi" w:cstheme="majorHAnsi"/>
          <w:b w:val="0"/>
          <w:bCs w:val="0"/>
          <w:sz w:val="28"/>
          <w:szCs w:val="28"/>
          <w:lang w:val="ro-MD" w:eastAsia="en-US"/>
        </w:rPr>
        <w:t xml:space="preserve"> bugetul aprobat a fost depășit cu 50,2 mii </w:t>
      </w:r>
      <w:r w:rsidR="00FE4C63" w:rsidRPr="002751FC">
        <w:rPr>
          <w:rFonts w:asciiTheme="majorHAnsi" w:hAnsiTheme="majorHAnsi" w:cstheme="majorHAnsi"/>
          <w:b w:val="0"/>
          <w:bCs w:val="0"/>
          <w:sz w:val="28"/>
          <w:szCs w:val="28"/>
          <w:lang w:val="ro-MD" w:eastAsia="en-US"/>
        </w:rPr>
        <w:t>MDL</w:t>
      </w:r>
      <w:r w:rsidRPr="002751FC">
        <w:rPr>
          <w:rStyle w:val="ab"/>
          <w:rFonts w:asciiTheme="majorHAnsi" w:hAnsiTheme="majorHAnsi" w:cstheme="majorHAnsi"/>
          <w:b w:val="0"/>
          <w:bCs w:val="0"/>
          <w:sz w:val="28"/>
          <w:szCs w:val="28"/>
          <w:lang w:val="ro-MD" w:eastAsia="en-US"/>
        </w:rPr>
        <w:footnoteReference w:id="31"/>
      </w:r>
      <w:r w:rsidRPr="002751FC">
        <w:rPr>
          <w:rFonts w:asciiTheme="majorHAnsi" w:hAnsiTheme="majorHAnsi" w:cstheme="majorHAnsi"/>
          <w:b w:val="0"/>
          <w:bCs w:val="0"/>
          <w:sz w:val="28"/>
          <w:szCs w:val="28"/>
          <w:lang w:val="ro-MD" w:eastAsia="en-US"/>
        </w:rPr>
        <w:t xml:space="preserve">. </w:t>
      </w:r>
    </w:p>
    <w:p w:rsidR="002B0C1F" w:rsidRPr="002751FC" w:rsidRDefault="002B0C1F" w:rsidP="00243401">
      <w:pPr>
        <w:pStyle w:val="cp"/>
        <w:numPr>
          <w:ilvl w:val="0"/>
          <w:numId w:val="8"/>
        </w:numPr>
        <w:ind w:left="0" w:firstLine="567"/>
        <w:jc w:val="both"/>
        <w:rPr>
          <w:rFonts w:asciiTheme="majorHAnsi" w:hAnsiTheme="majorHAnsi" w:cstheme="majorHAnsi"/>
          <w:b w:val="0"/>
          <w:bCs w:val="0"/>
          <w:i/>
          <w:sz w:val="28"/>
          <w:szCs w:val="28"/>
          <w:lang w:val="ro-MD" w:eastAsia="en-US"/>
        </w:rPr>
      </w:pPr>
      <w:r w:rsidRPr="002751FC">
        <w:rPr>
          <w:rFonts w:asciiTheme="majorHAnsi" w:hAnsiTheme="majorHAnsi" w:cstheme="majorHAnsi"/>
          <w:b w:val="0"/>
          <w:bCs w:val="0"/>
          <w:sz w:val="28"/>
          <w:szCs w:val="28"/>
          <w:lang w:val="ro-MD" w:eastAsia="en-US"/>
        </w:rPr>
        <w:t xml:space="preserve">Situații similare se atestă și la realizarea </w:t>
      </w:r>
      <w:r w:rsidR="00FE4C63" w:rsidRPr="002751FC">
        <w:rPr>
          <w:rFonts w:asciiTheme="majorHAnsi" w:hAnsiTheme="majorHAnsi" w:cstheme="majorHAnsi"/>
          <w:b w:val="0"/>
          <w:bCs w:val="0"/>
          <w:sz w:val="28"/>
          <w:szCs w:val="28"/>
          <w:lang w:val="ro-MD" w:eastAsia="en-US"/>
        </w:rPr>
        <w:t>activităților</w:t>
      </w:r>
      <w:r w:rsidRPr="002751FC">
        <w:rPr>
          <w:rFonts w:asciiTheme="majorHAnsi" w:hAnsiTheme="majorHAnsi" w:cstheme="majorHAnsi"/>
          <w:b w:val="0"/>
          <w:bCs w:val="0"/>
          <w:sz w:val="28"/>
          <w:szCs w:val="28"/>
          <w:lang w:val="ro-MD" w:eastAsia="en-US"/>
        </w:rPr>
        <w:t xml:space="preserve"> în domeniul viticulturii. În cadrul </w:t>
      </w:r>
      <w:r w:rsidR="00FE4C63" w:rsidRPr="002751FC">
        <w:rPr>
          <w:rFonts w:asciiTheme="majorHAnsi" w:hAnsiTheme="majorHAnsi" w:cstheme="majorHAnsi"/>
          <w:b w:val="0"/>
          <w:bCs w:val="0"/>
          <w:sz w:val="28"/>
          <w:szCs w:val="28"/>
          <w:lang w:val="ro-MD" w:eastAsia="en-US"/>
        </w:rPr>
        <w:t>acestei</w:t>
      </w:r>
      <w:r w:rsidRPr="002751FC">
        <w:rPr>
          <w:rFonts w:asciiTheme="majorHAnsi" w:hAnsiTheme="majorHAnsi" w:cstheme="majorHAnsi"/>
          <w:b w:val="0"/>
          <w:bCs w:val="0"/>
          <w:sz w:val="28"/>
          <w:szCs w:val="28"/>
          <w:lang w:val="ro-MD" w:eastAsia="en-US"/>
        </w:rPr>
        <w:t xml:space="preserve"> activități sunt finanțate 3 proiecte </w:t>
      </w:r>
      <w:r w:rsidR="00CA4BDF" w:rsidRPr="002751FC">
        <w:rPr>
          <w:rFonts w:asciiTheme="majorHAnsi" w:hAnsiTheme="majorHAnsi" w:cstheme="majorHAnsi"/>
          <w:b w:val="0"/>
          <w:bCs w:val="0"/>
          <w:sz w:val="28"/>
          <w:szCs w:val="28"/>
          <w:lang w:val="ro-MD" w:eastAsia="en-US"/>
        </w:rPr>
        <w:t xml:space="preserve">inițiate </w:t>
      </w:r>
      <w:r w:rsidRPr="002751FC">
        <w:rPr>
          <w:rFonts w:asciiTheme="majorHAnsi" w:hAnsiTheme="majorHAnsi" w:cstheme="majorHAnsi"/>
          <w:b w:val="0"/>
          <w:bCs w:val="0"/>
          <w:sz w:val="28"/>
          <w:szCs w:val="28"/>
          <w:lang w:val="ro-MD" w:eastAsia="en-US"/>
        </w:rPr>
        <w:t xml:space="preserve">de ONVV: </w:t>
      </w:r>
      <w:r w:rsidRPr="002751FC">
        <w:rPr>
          <w:rFonts w:asciiTheme="majorHAnsi" w:hAnsiTheme="majorHAnsi" w:cstheme="majorHAnsi"/>
          <w:bCs w:val="0"/>
          <w:sz w:val="28"/>
          <w:szCs w:val="28"/>
          <w:lang w:val="ro-MD" w:eastAsia="en-US"/>
        </w:rPr>
        <w:t>(i)</w:t>
      </w:r>
      <w:r w:rsidRPr="002751FC">
        <w:rPr>
          <w:rFonts w:asciiTheme="majorHAnsi" w:hAnsiTheme="majorHAnsi" w:cstheme="majorHAnsi"/>
          <w:b w:val="0"/>
          <w:bCs w:val="0"/>
          <w:sz w:val="28"/>
          <w:szCs w:val="28"/>
          <w:lang w:val="ro-MD" w:eastAsia="en-US"/>
        </w:rPr>
        <w:t xml:space="preserve"> proiectul „</w:t>
      </w:r>
      <w:proofErr w:type="spellStart"/>
      <w:r w:rsidRPr="002751FC">
        <w:rPr>
          <w:rFonts w:asciiTheme="majorHAnsi" w:hAnsiTheme="majorHAnsi" w:cstheme="majorHAnsi"/>
          <w:b w:val="0"/>
          <w:bCs w:val="0"/>
          <w:sz w:val="28"/>
          <w:szCs w:val="28"/>
          <w:lang w:val="ro-MD" w:eastAsia="en-US"/>
        </w:rPr>
        <w:t>FlaveDor</w:t>
      </w:r>
      <w:proofErr w:type="spellEnd"/>
      <w:r w:rsidRPr="002751FC">
        <w:rPr>
          <w:rFonts w:asciiTheme="majorHAnsi" w:hAnsiTheme="majorHAnsi" w:cstheme="majorHAnsi"/>
          <w:b w:val="0"/>
          <w:bCs w:val="0"/>
          <w:sz w:val="28"/>
          <w:szCs w:val="28"/>
          <w:lang w:val="ro-MD" w:eastAsia="en-US"/>
        </w:rPr>
        <w:t>”, care include 11 m</w:t>
      </w:r>
      <w:r w:rsidR="00CA4BDF" w:rsidRPr="002751FC">
        <w:rPr>
          <w:rFonts w:asciiTheme="majorHAnsi" w:hAnsiTheme="majorHAnsi" w:cstheme="majorHAnsi"/>
          <w:b w:val="0"/>
          <w:bCs w:val="0"/>
          <w:sz w:val="28"/>
          <w:szCs w:val="28"/>
          <w:lang w:val="ro-MD" w:eastAsia="en-US"/>
        </w:rPr>
        <w:t>ă</w:t>
      </w:r>
      <w:r w:rsidRPr="002751FC">
        <w:rPr>
          <w:rFonts w:asciiTheme="majorHAnsi" w:hAnsiTheme="majorHAnsi" w:cstheme="majorHAnsi"/>
          <w:b w:val="0"/>
          <w:bCs w:val="0"/>
          <w:sz w:val="28"/>
          <w:szCs w:val="28"/>
          <w:lang w:val="ro-MD" w:eastAsia="en-US"/>
        </w:rPr>
        <w:t>suri de realizare</w:t>
      </w:r>
      <w:r w:rsidRPr="002751FC">
        <w:rPr>
          <w:rStyle w:val="ab"/>
          <w:rFonts w:asciiTheme="majorHAnsi" w:hAnsiTheme="majorHAnsi" w:cstheme="majorHAnsi"/>
          <w:b w:val="0"/>
          <w:bCs w:val="0"/>
          <w:sz w:val="28"/>
          <w:szCs w:val="28"/>
          <w:lang w:val="ro-MD" w:eastAsia="en-US"/>
        </w:rPr>
        <w:footnoteReference w:id="32"/>
      </w:r>
      <w:r w:rsidRPr="002751FC">
        <w:rPr>
          <w:rFonts w:asciiTheme="majorHAnsi" w:hAnsiTheme="majorHAnsi" w:cstheme="majorHAnsi"/>
          <w:b w:val="0"/>
          <w:bCs w:val="0"/>
          <w:sz w:val="28"/>
          <w:szCs w:val="28"/>
          <w:lang w:val="ro-MD" w:eastAsia="en-US"/>
        </w:rPr>
        <w:t xml:space="preserve"> în </w:t>
      </w:r>
      <w:r w:rsidR="00FE4C63" w:rsidRPr="002751FC">
        <w:rPr>
          <w:rFonts w:asciiTheme="majorHAnsi" w:hAnsiTheme="majorHAnsi" w:cstheme="majorHAnsi"/>
          <w:b w:val="0"/>
          <w:bCs w:val="0"/>
          <w:sz w:val="28"/>
          <w:szCs w:val="28"/>
          <w:lang w:val="ro-MD" w:eastAsia="en-US"/>
        </w:rPr>
        <w:t>valoare</w:t>
      </w:r>
      <w:r w:rsidR="00CA4BDF" w:rsidRPr="002751FC">
        <w:rPr>
          <w:rFonts w:asciiTheme="majorHAnsi" w:hAnsiTheme="majorHAnsi" w:cstheme="majorHAnsi"/>
          <w:b w:val="0"/>
          <w:bCs w:val="0"/>
          <w:sz w:val="28"/>
          <w:szCs w:val="28"/>
          <w:lang w:val="ro-MD" w:eastAsia="en-US"/>
        </w:rPr>
        <w:t>a</w:t>
      </w:r>
      <w:r w:rsidRPr="002751FC">
        <w:rPr>
          <w:rFonts w:asciiTheme="majorHAnsi" w:hAnsiTheme="majorHAnsi" w:cstheme="majorHAnsi"/>
          <w:b w:val="0"/>
          <w:bCs w:val="0"/>
          <w:sz w:val="28"/>
          <w:szCs w:val="28"/>
          <w:lang w:val="ro-MD" w:eastAsia="en-US"/>
        </w:rPr>
        <w:t xml:space="preserve"> totală a alocațiilor aprobate de 1,7 </w:t>
      </w:r>
      <w:proofErr w:type="spellStart"/>
      <w:r w:rsidRPr="002751FC">
        <w:rPr>
          <w:rFonts w:asciiTheme="majorHAnsi" w:hAnsiTheme="majorHAnsi" w:cstheme="majorHAnsi"/>
          <w:b w:val="0"/>
          <w:bCs w:val="0"/>
          <w:sz w:val="28"/>
          <w:szCs w:val="28"/>
          <w:lang w:val="ro-MD" w:eastAsia="en-US"/>
        </w:rPr>
        <w:t>mil.MDL</w:t>
      </w:r>
      <w:proofErr w:type="spellEnd"/>
      <w:r w:rsidRPr="002751FC">
        <w:rPr>
          <w:rFonts w:asciiTheme="majorHAnsi" w:hAnsiTheme="majorHAnsi" w:cstheme="majorHAnsi"/>
          <w:b w:val="0"/>
          <w:bCs w:val="0"/>
          <w:sz w:val="28"/>
          <w:szCs w:val="28"/>
          <w:lang w:val="ro-MD" w:eastAsia="en-US"/>
        </w:rPr>
        <w:t xml:space="preserve">, </w:t>
      </w:r>
      <w:r w:rsidRPr="002751FC">
        <w:rPr>
          <w:rFonts w:asciiTheme="majorHAnsi" w:hAnsiTheme="majorHAnsi" w:cstheme="majorHAnsi"/>
          <w:bCs w:val="0"/>
          <w:sz w:val="28"/>
          <w:szCs w:val="28"/>
          <w:lang w:val="ro-MD" w:eastAsia="en-US"/>
        </w:rPr>
        <w:t>(ii)</w:t>
      </w:r>
      <w:r w:rsidRPr="002751FC">
        <w:rPr>
          <w:rFonts w:asciiTheme="majorHAnsi" w:hAnsiTheme="majorHAnsi" w:cstheme="majorHAnsi"/>
          <w:b w:val="0"/>
          <w:bCs w:val="0"/>
          <w:sz w:val="28"/>
          <w:szCs w:val="28"/>
          <w:lang w:val="ro-MD" w:eastAsia="en-US"/>
        </w:rPr>
        <w:t xml:space="preserve"> proiectul „</w:t>
      </w:r>
      <w:r w:rsidR="00FE4C63" w:rsidRPr="002751FC">
        <w:rPr>
          <w:rFonts w:asciiTheme="majorHAnsi" w:hAnsiTheme="majorHAnsi" w:cstheme="majorHAnsi"/>
          <w:b w:val="0"/>
          <w:bCs w:val="0"/>
          <w:sz w:val="28"/>
          <w:szCs w:val="28"/>
          <w:lang w:val="ro-MD" w:eastAsia="en-US"/>
        </w:rPr>
        <w:t>Struguri</w:t>
      </w:r>
      <w:r w:rsidRPr="002751FC">
        <w:rPr>
          <w:rFonts w:asciiTheme="majorHAnsi" w:hAnsiTheme="majorHAnsi" w:cstheme="majorHAnsi"/>
          <w:b w:val="0"/>
          <w:bCs w:val="0"/>
          <w:sz w:val="28"/>
          <w:szCs w:val="28"/>
          <w:lang w:val="ro-MD" w:eastAsia="en-US"/>
        </w:rPr>
        <w:t xml:space="preserve"> de calitate”, care include 12 măsuri de realizare</w:t>
      </w:r>
      <w:r w:rsidRPr="002751FC">
        <w:rPr>
          <w:rStyle w:val="ab"/>
          <w:rFonts w:asciiTheme="majorHAnsi" w:hAnsiTheme="majorHAnsi" w:cstheme="majorHAnsi"/>
          <w:b w:val="0"/>
          <w:bCs w:val="0"/>
          <w:sz w:val="28"/>
          <w:szCs w:val="28"/>
          <w:lang w:val="ro-MD" w:eastAsia="en-US"/>
        </w:rPr>
        <w:footnoteReference w:id="33"/>
      </w:r>
      <w:r w:rsidRPr="002751FC">
        <w:rPr>
          <w:rFonts w:asciiTheme="majorHAnsi" w:hAnsiTheme="majorHAnsi" w:cstheme="majorHAnsi"/>
          <w:b w:val="0"/>
          <w:bCs w:val="0"/>
          <w:sz w:val="28"/>
          <w:szCs w:val="28"/>
          <w:lang w:val="ro-MD" w:eastAsia="en-US"/>
        </w:rPr>
        <w:t xml:space="preserve"> în </w:t>
      </w:r>
      <w:r w:rsidR="00FE4C63" w:rsidRPr="002751FC">
        <w:rPr>
          <w:rFonts w:asciiTheme="majorHAnsi" w:hAnsiTheme="majorHAnsi" w:cstheme="majorHAnsi"/>
          <w:b w:val="0"/>
          <w:bCs w:val="0"/>
          <w:sz w:val="28"/>
          <w:szCs w:val="28"/>
          <w:lang w:val="ro-MD" w:eastAsia="en-US"/>
        </w:rPr>
        <w:t>valoare</w:t>
      </w:r>
      <w:r w:rsidR="00CA4BDF" w:rsidRPr="002751FC">
        <w:rPr>
          <w:rFonts w:asciiTheme="majorHAnsi" w:hAnsiTheme="majorHAnsi" w:cstheme="majorHAnsi"/>
          <w:b w:val="0"/>
          <w:bCs w:val="0"/>
          <w:sz w:val="28"/>
          <w:szCs w:val="28"/>
          <w:lang w:val="ro-MD" w:eastAsia="en-US"/>
        </w:rPr>
        <w:t>a</w:t>
      </w:r>
      <w:r w:rsidRPr="002751FC">
        <w:rPr>
          <w:rFonts w:asciiTheme="majorHAnsi" w:hAnsiTheme="majorHAnsi" w:cstheme="majorHAnsi"/>
          <w:b w:val="0"/>
          <w:bCs w:val="0"/>
          <w:sz w:val="28"/>
          <w:szCs w:val="28"/>
          <w:lang w:val="ro-MD" w:eastAsia="en-US"/>
        </w:rPr>
        <w:t xml:space="preserve"> totală a alocațiilor aprobate de 1,3 </w:t>
      </w:r>
      <w:proofErr w:type="spellStart"/>
      <w:r w:rsidRPr="002751FC">
        <w:rPr>
          <w:rFonts w:asciiTheme="majorHAnsi" w:hAnsiTheme="majorHAnsi" w:cstheme="majorHAnsi"/>
          <w:b w:val="0"/>
          <w:bCs w:val="0"/>
          <w:sz w:val="28"/>
          <w:szCs w:val="28"/>
          <w:lang w:val="ro-MD" w:eastAsia="en-US"/>
        </w:rPr>
        <w:t>mil.MDL</w:t>
      </w:r>
      <w:proofErr w:type="spellEnd"/>
      <w:r w:rsidRPr="002751FC">
        <w:rPr>
          <w:rFonts w:asciiTheme="majorHAnsi" w:hAnsiTheme="majorHAnsi" w:cstheme="majorHAnsi"/>
          <w:b w:val="0"/>
          <w:bCs w:val="0"/>
          <w:sz w:val="28"/>
          <w:szCs w:val="28"/>
          <w:lang w:val="ro-MD" w:eastAsia="en-US"/>
        </w:rPr>
        <w:t xml:space="preserve">, </w:t>
      </w:r>
      <w:r w:rsidRPr="002751FC">
        <w:rPr>
          <w:rFonts w:asciiTheme="majorHAnsi" w:hAnsiTheme="majorHAnsi" w:cstheme="majorHAnsi"/>
          <w:bCs w:val="0"/>
          <w:sz w:val="28"/>
          <w:szCs w:val="28"/>
          <w:lang w:val="ro-MD" w:eastAsia="en-US"/>
        </w:rPr>
        <w:t>(iii)</w:t>
      </w:r>
      <w:r w:rsidRPr="002751FC">
        <w:rPr>
          <w:rFonts w:asciiTheme="majorHAnsi" w:hAnsiTheme="majorHAnsi" w:cstheme="majorHAnsi"/>
          <w:b w:val="0"/>
          <w:bCs w:val="0"/>
          <w:sz w:val="28"/>
          <w:szCs w:val="28"/>
          <w:lang w:val="ro-MD" w:eastAsia="en-US"/>
        </w:rPr>
        <w:t xml:space="preserve"> pro</w:t>
      </w:r>
      <w:r w:rsidR="00FE4C63" w:rsidRPr="002751FC">
        <w:rPr>
          <w:rFonts w:asciiTheme="majorHAnsi" w:hAnsiTheme="majorHAnsi" w:cstheme="majorHAnsi"/>
          <w:b w:val="0"/>
          <w:bCs w:val="0"/>
          <w:sz w:val="28"/>
          <w:szCs w:val="28"/>
          <w:lang w:val="ro-MD" w:eastAsia="en-US"/>
        </w:rPr>
        <w:t xml:space="preserve">iectul „Academia vitivinicolă”, </w:t>
      </w:r>
      <w:r w:rsidRPr="002751FC">
        <w:rPr>
          <w:rFonts w:asciiTheme="majorHAnsi" w:hAnsiTheme="majorHAnsi" w:cstheme="majorHAnsi"/>
          <w:b w:val="0"/>
          <w:bCs w:val="0"/>
          <w:sz w:val="28"/>
          <w:szCs w:val="28"/>
          <w:lang w:val="ro-MD" w:eastAsia="en-US"/>
        </w:rPr>
        <w:t>care include 10 m</w:t>
      </w:r>
      <w:r w:rsidR="00FE4C63" w:rsidRPr="002751FC">
        <w:rPr>
          <w:rFonts w:asciiTheme="majorHAnsi" w:hAnsiTheme="majorHAnsi" w:cstheme="majorHAnsi"/>
          <w:b w:val="0"/>
          <w:bCs w:val="0"/>
          <w:sz w:val="28"/>
          <w:szCs w:val="28"/>
          <w:lang w:val="ro-MD" w:eastAsia="en-US"/>
        </w:rPr>
        <w:t>ăsuri de realizare</w:t>
      </w:r>
      <w:r w:rsidRPr="002751FC">
        <w:rPr>
          <w:rStyle w:val="ab"/>
          <w:rFonts w:asciiTheme="majorHAnsi" w:hAnsiTheme="majorHAnsi" w:cstheme="majorHAnsi"/>
          <w:b w:val="0"/>
          <w:bCs w:val="0"/>
          <w:sz w:val="28"/>
          <w:szCs w:val="28"/>
          <w:lang w:val="ro-MD" w:eastAsia="en-US"/>
        </w:rPr>
        <w:footnoteReference w:id="34"/>
      </w:r>
      <w:r w:rsidRPr="002751FC">
        <w:rPr>
          <w:rFonts w:asciiTheme="majorHAnsi" w:hAnsiTheme="majorHAnsi" w:cstheme="majorHAnsi"/>
          <w:b w:val="0"/>
          <w:bCs w:val="0"/>
          <w:sz w:val="28"/>
          <w:szCs w:val="28"/>
          <w:lang w:val="ro-MD" w:eastAsia="en-US"/>
        </w:rPr>
        <w:t xml:space="preserve"> în </w:t>
      </w:r>
      <w:r w:rsidR="00FE4C63" w:rsidRPr="002751FC">
        <w:rPr>
          <w:rFonts w:asciiTheme="majorHAnsi" w:hAnsiTheme="majorHAnsi" w:cstheme="majorHAnsi"/>
          <w:b w:val="0"/>
          <w:bCs w:val="0"/>
          <w:sz w:val="28"/>
          <w:szCs w:val="28"/>
          <w:lang w:val="ro-MD" w:eastAsia="en-US"/>
        </w:rPr>
        <w:t>valoare</w:t>
      </w:r>
      <w:r w:rsidR="00CA4BDF" w:rsidRPr="002751FC">
        <w:rPr>
          <w:rFonts w:asciiTheme="majorHAnsi" w:hAnsiTheme="majorHAnsi" w:cstheme="majorHAnsi"/>
          <w:b w:val="0"/>
          <w:bCs w:val="0"/>
          <w:sz w:val="28"/>
          <w:szCs w:val="28"/>
          <w:lang w:val="ro-MD" w:eastAsia="en-US"/>
        </w:rPr>
        <w:t>a</w:t>
      </w:r>
      <w:r w:rsidRPr="002751FC">
        <w:rPr>
          <w:rFonts w:asciiTheme="majorHAnsi" w:hAnsiTheme="majorHAnsi" w:cstheme="majorHAnsi"/>
          <w:b w:val="0"/>
          <w:bCs w:val="0"/>
          <w:sz w:val="28"/>
          <w:szCs w:val="28"/>
          <w:lang w:val="ro-MD" w:eastAsia="en-US"/>
        </w:rPr>
        <w:t xml:space="preserve"> totală a alocațiilor aprobate de 0,7 </w:t>
      </w:r>
      <w:proofErr w:type="spellStart"/>
      <w:r w:rsidRPr="002751FC">
        <w:rPr>
          <w:rFonts w:asciiTheme="majorHAnsi" w:hAnsiTheme="majorHAnsi" w:cstheme="majorHAnsi"/>
          <w:b w:val="0"/>
          <w:bCs w:val="0"/>
          <w:sz w:val="28"/>
          <w:szCs w:val="28"/>
          <w:lang w:val="ro-MD" w:eastAsia="en-US"/>
        </w:rPr>
        <w:t>mil.MDL</w:t>
      </w:r>
      <w:proofErr w:type="spellEnd"/>
      <w:r w:rsidRPr="002751FC">
        <w:rPr>
          <w:rFonts w:asciiTheme="majorHAnsi" w:hAnsiTheme="majorHAnsi" w:cstheme="majorHAnsi"/>
          <w:b w:val="0"/>
          <w:bCs w:val="0"/>
          <w:sz w:val="28"/>
          <w:szCs w:val="28"/>
          <w:lang w:val="ro-MD" w:eastAsia="en-US"/>
        </w:rPr>
        <w:t xml:space="preserve">. </w:t>
      </w:r>
    </w:p>
    <w:p w:rsidR="002B0C1F" w:rsidRPr="002751FC" w:rsidRDefault="002B0C1F" w:rsidP="00243401">
      <w:pPr>
        <w:pStyle w:val="cp"/>
        <w:ind w:left="567"/>
        <w:jc w:val="both"/>
        <w:rPr>
          <w:rFonts w:asciiTheme="majorHAnsi" w:hAnsiTheme="majorHAnsi" w:cstheme="majorHAnsi"/>
          <w:highlight w:val="yellow"/>
          <w:lang w:val="ro-MD"/>
        </w:rPr>
      </w:pPr>
    </w:p>
    <w:p w:rsidR="002B0C1F" w:rsidRPr="002751FC" w:rsidRDefault="002B0C1F" w:rsidP="00243401">
      <w:pPr>
        <w:pStyle w:val="cp"/>
        <w:jc w:val="both"/>
        <w:rPr>
          <w:rFonts w:asciiTheme="majorHAnsi" w:hAnsiTheme="majorHAnsi" w:cstheme="majorHAnsi"/>
          <w:b w:val="0"/>
          <w:bCs w:val="0"/>
          <w:i/>
          <w:sz w:val="28"/>
          <w:szCs w:val="28"/>
          <w:lang w:val="ro-MD" w:eastAsia="en-US"/>
        </w:rPr>
      </w:pPr>
      <w:r w:rsidRPr="002751FC">
        <w:rPr>
          <w:rFonts w:asciiTheme="majorHAnsi" w:hAnsiTheme="majorHAnsi" w:cstheme="majorHAnsi"/>
          <w:b w:val="0"/>
          <w:bCs w:val="0"/>
          <w:sz w:val="28"/>
          <w:szCs w:val="28"/>
          <w:lang w:val="ro-MD" w:eastAsia="en-US"/>
        </w:rPr>
        <w:t>Analiza nivelului de realizare a submăsurilor din cadrul proiectelor respective a relatat că</w:t>
      </w:r>
      <w:r w:rsidR="00CA4BDF" w:rsidRPr="002751FC">
        <w:rPr>
          <w:rFonts w:asciiTheme="majorHAnsi" w:hAnsiTheme="majorHAnsi" w:cstheme="majorHAnsi"/>
          <w:b w:val="0"/>
          <w:bCs w:val="0"/>
          <w:sz w:val="28"/>
          <w:szCs w:val="28"/>
          <w:lang w:val="ro-MD" w:eastAsia="en-US"/>
        </w:rPr>
        <w:t>,</w:t>
      </w:r>
      <w:r w:rsidRPr="002751FC">
        <w:rPr>
          <w:rFonts w:asciiTheme="majorHAnsi" w:hAnsiTheme="majorHAnsi" w:cstheme="majorHAnsi"/>
          <w:b w:val="0"/>
          <w:bCs w:val="0"/>
          <w:sz w:val="28"/>
          <w:szCs w:val="28"/>
          <w:lang w:val="ro-MD" w:eastAsia="en-US"/>
        </w:rPr>
        <w:t xml:space="preserve"> din totalul submăsurilor aferente </w:t>
      </w:r>
      <w:r w:rsidR="004E5DD3" w:rsidRPr="002751FC">
        <w:rPr>
          <w:rFonts w:asciiTheme="majorHAnsi" w:hAnsiTheme="majorHAnsi" w:cstheme="majorHAnsi"/>
          <w:b w:val="0"/>
          <w:bCs w:val="0"/>
          <w:sz w:val="28"/>
          <w:szCs w:val="28"/>
          <w:lang w:val="ro-MD" w:eastAsia="en-US"/>
        </w:rPr>
        <w:t xml:space="preserve">acestei </w:t>
      </w:r>
      <w:r w:rsidRPr="002751FC">
        <w:rPr>
          <w:rFonts w:asciiTheme="majorHAnsi" w:hAnsiTheme="majorHAnsi" w:cstheme="majorHAnsi"/>
          <w:b w:val="0"/>
          <w:bCs w:val="0"/>
          <w:sz w:val="28"/>
          <w:szCs w:val="28"/>
          <w:lang w:val="ro-MD" w:eastAsia="en-US"/>
        </w:rPr>
        <w:t xml:space="preserve">componente (127), nu au fost realizate 28 </w:t>
      </w:r>
      <w:r w:rsidR="00CA4BDF" w:rsidRPr="002751FC">
        <w:rPr>
          <w:rFonts w:asciiTheme="majorHAnsi" w:hAnsiTheme="majorHAnsi" w:cstheme="majorHAnsi"/>
          <w:b w:val="0"/>
          <w:bCs w:val="0"/>
          <w:sz w:val="28"/>
          <w:szCs w:val="28"/>
          <w:lang w:val="ro-MD" w:eastAsia="en-US"/>
        </w:rPr>
        <w:t xml:space="preserve">de </w:t>
      </w:r>
      <w:r w:rsidRPr="002751FC">
        <w:rPr>
          <w:rFonts w:asciiTheme="majorHAnsi" w:hAnsiTheme="majorHAnsi" w:cstheme="majorHAnsi"/>
          <w:b w:val="0"/>
          <w:bCs w:val="0"/>
          <w:sz w:val="28"/>
          <w:szCs w:val="28"/>
          <w:lang w:val="ro-MD" w:eastAsia="en-US"/>
        </w:rPr>
        <w:t>subm</w:t>
      </w:r>
      <w:r w:rsidR="004E5DD3" w:rsidRPr="002751FC">
        <w:rPr>
          <w:rFonts w:asciiTheme="majorHAnsi" w:hAnsiTheme="majorHAnsi" w:cstheme="majorHAnsi"/>
          <w:b w:val="0"/>
          <w:bCs w:val="0"/>
          <w:sz w:val="28"/>
          <w:szCs w:val="28"/>
          <w:lang w:val="ro-MD" w:eastAsia="en-US"/>
        </w:rPr>
        <w:t>ă</w:t>
      </w:r>
      <w:r w:rsidRPr="002751FC">
        <w:rPr>
          <w:rFonts w:asciiTheme="majorHAnsi" w:hAnsiTheme="majorHAnsi" w:cstheme="majorHAnsi"/>
          <w:b w:val="0"/>
          <w:bCs w:val="0"/>
          <w:sz w:val="28"/>
          <w:szCs w:val="28"/>
          <w:lang w:val="ro-MD" w:eastAsia="en-US"/>
        </w:rPr>
        <w:t xml:space="preserve">suri (1,73 </w:t>
      </w:r>
      <w:proofErr w:type="spellStart"/>
      <w:r w:rsidRPr="002751FC">
        <w:rPr>
          <w:rFonts w:asciiTheme="majorHAnsi" w:hAnsiTheme="majorHAnsi" w:cstheme="majorHAnsi"/>
          <w:b w:val="0"/>
          <w:bCs w:val="0"/>
          <w:sz w:val="28"/>
          <w:szCs w:val="28"/>
          <w:lang w:val="ro-MD" w:eastAsia="en-US"/>
        </w:rPr>
        <w:t>mil.MDL</w:t>
      </w:r>
      <w:proofErr w:type="spellEnd"/>
      <w:r w:rsidRPr="002751FC">
        <w:rPr>
          <w:rFonts w:asciiTheme="majorHAnsi" w:hAnsiTheme="majorHAnsi" w:cstheme="majorHAnsi"/>
          <w:b w:val="0"/>
          <w:bCs w:val="0"/>
          <w:sz w:val="28"/>
          <w:szCs w:val="28"/>
          <w:lang w:val="ro-MD" w:eastAsia="en-US"/>
        </w:rPr>
        <w:t>), realizate suplimentar, fără identificarea surselor de finanțare –</w:t>
      </w:r>
      <w:r w:rsidR="00E033B9">
        <w:rPr>
          <w:rFonts w:asciiTheme="majorHAnsi" w:hAnsiTheme="majorHAnsi" w:cstheme="majorHAnsi"/>
          <w:b w:val="0"/>
          <w:bCs w:val="0"/>
          <w:sz w:val="28"/>
          <w:szCs w:val="28"/>
          <w:lang w:val="ro-MD" w:eastAsia="en-US"/>
        </w:rPr>
        <w:t xml:space="preserve"> </w:t>
      </w:r>
      <w:r w:rsidRPr="002751FC">
        <w:rPr>
          <w:rFonts w:asciiTheme="majorHAnsi" w:hAnsiTheme="majorHAnsi" w:cstheme="majorHAnsi"/>
          <w:b w:val="0"/>
          <w:bCs w:val="0"/>
          <w:sz w:val="28"/>
          <w:szCs w:val="28"/>
          <w:lang w:val="ro-MD" w:eastAsia="en-US"/>
        </w:rPr>
        <w:t xml:space="preserve">41 </w:t>
      </w:r>
      <w:r w:rsidR="00CA4BDF" w:rsidRPr="002751FC">
        <w:rPr>
          <w:rFonts w:asciiTheme="majorHAnsi" w:hAnsiTheme="majorHAnsi" w:cstheme="majorHAnsi"/>
          <w:b w:val="0"/>
          <w:bCs w:val="0"/>
          <w:sz w:val="28"/>
          <w:szCs w:val="28"/>
          <w:lang w:val="ro-MD" w:eastAsia="en-US"/>
        </w:rPr>
        <w:t xml:space="preserve">de </w:t>
      </w:r>
      <w:r w:rsidRPr="002751FC">
        <w:rPr>
          <w:rFonts w:asciiTheme="majorHAnsi" w:hAnsiTheme="majorHAnsi" w:cstheme="majorHAnsi"/>
          <w:b w:val="0"/>
          <w:bCs w:val="0"/>
          <w:sz w:val="28"/>
          <w:szCs w:val="28"/>
          <w:lang w:val="ro-MD" w:eastAsia="en-US"/>
        </w:rPr>
        <w:t xml:space="preserve">măsuri (0,62 </w:t>
      </w:r>
      <w:proofErr w:type="spellStart"/>
      <w:r w:rsidRPr="002751FC">
        <w:rPr>
          <w:rFonts w:asciiTheme="majorHAnsi" w:hAnsiTheme="majorHAnsi" w:cstheme="majorHAnsi"/>
          <w:b w:val="0"/>
          <w:bCs w:val="0"/>
          <w:sz w:val="28"/>
          <w:szCs w:val="28"/>
          <w:lang w:val="ro-MD" w:eastAsia="en-US"/>
        </w:rPr>
        <w:t>mil.MDL</w:t>
      </w:r>
      <w:proofErr w:type="spellEnd"/>
      <w:r w:rsidRPr="002751FC">
        <w:rPr>
          <w:rFonts w:asciiTheme="majorHAnsi" w:hAnsiTheme="majorHAnsi" w:cstheme="majorHAnsi"/>
          <w:b w:val="0"/>
          <w:bCs w:val="0"/>
          <w:sz w:val="28"/>
          <w:szCs w:val="28"/>
          <w:lang w:val="ro-MD" w:eastAsia="en-US"/>
        </w:rPr>
        <w:t xml:space="preserve">), iar 12 submăsuri au fost realizate cu </w:t>
      </w:r>
      <w:r w:rsidR="004E5DD3" w:rsidRPr="002751FC">
        <w:rPr>
          <w:rFonts w:asciiTheme="majorHAnsi" w:hAnsiTheme="majorHAnsi" w:cstheme="majorHAnsi"/>
          <w:b w:val="0"/>
          <w:bCs w:val="0"/>
          <w:sz w:val="28"/>
          <w:szCs w:val="28"/>
          <w:lang w:val="ro-MD" w:eastAsia="en-US"/>
        </w:rPr>
        <w:t>depășirea</w:t>
      </w:r>
      <w:r w:rsidRPr="002751FC">
        <w:rPr>
          <w:rFonts w:asciiTheme="majorHAnsi" w:hAnsiTheme="majorHAnsi" w:cstheme="majorHAnsi"/>
          <w:b w:val="0"/>
          <w:bCs w:val="0"/>
          <w:sz w:val="28"/>
          <w:szCs w:val="28"/>
          <w:lang w:val="ro-MD" w:eastAsia="en-US"/>
        </w:rPr>
        <w:t xml:space="preserve"> limitelor de cheltuieli aprobate, </w:t>
      </w:r>
      <w:r w:rsidR="004E5DD3" w:rsidRPr="002751FC">
        <w:rPr>
          <w:rFonts w:asciiTheme="majorHAnsi" w:hAnsiTheme="majorHAnsi" w:cstheme="majorHAnsi"/>
          <w:b w:val="0"/>
          <w:bCs w:val="0"/>
          <w:sz w:val="28"/>
          <w:szCs w:val="28"/>
          <w:lang w:val="ro-MD" w:eastAsia="en-US"/>
        </w:rPr>
        <w:t>depășirea</w:t>
      </w:r>
      <w:r w:rsidRPr="002751FC">
        <w:rPr>
          <w:rFonts w:asciiTheme="majorHAnsi" w:hAnsiTheme="majorHAnsi" w:cstheme="majorHAnsi"/>
          <w:b w:val="0"/>
          <w:bCs w:val="0"/>
          <w:sz w:val="28"/>
          <w:szCs w:val="28"/>
          <w:lang w:val="ro-MD" w:eastAsia="en-US"/>
        </w:rPr>
        <w:t xml:space="preserve"> constituind 0,21 </w:t>
      </w:r>
      <w:proofErr w:type="spellStart"/>
      <w:r w:rsidRPr="002751FC">
        <w:rPr>
          <w:rFonts w:asciiTheme="majorHAnsi" w:hAnsiTheme="majorHAnsi" w:cstheme="majorHAnsi"/>
          <w:b w:val="0"/>
          <w:bCs w:val="0"/>
          <w:sz w:val="28"/>
          <w:szCs w:val="28"/>
          <w:lang w:val="ro-MD" w:eastAsia="en-US"/>
        </w:rPr>
        <w:t>mil.MDL</w:t>
      </w:r>
      <w:proofErr w:type="spellEnd"/>
      <w:r w:rsidRPr="002751FC">
        <w:rPr>
          <w:rFonts w:asciiTheme="majorHAnsi" w:hAnsiTheme="majorHAnsi" w:cstheme="majorHAnsi"/>
          <w:b w:val="0"/>
          <w:bCs w:val="0"/>
          <w:i/>
          <w:sz w:val="28"/>
          <w:szCs w:val="28"/>
          <w:lang w:val="ro-MD" w:eastAsia="en-US"/>
        </w:rPr>
        <w:t>. Situația constatată se prezintă în Anexa nr.7 la prezentul Raport de audit.</w:t>
      </w:r>
    </w:p>
    <w:p w:rsidR="002B0C1F" w:rsidRPr="002751FC" w:rsidRDefault="002B0C1F" w:rsidP="00243401">
      <w:pPr>
        <w:pStyle w:val="cp"/>
        <w:ind w:left="567"/>
        <w:jc w:val="both"/>
        <w:rPr>
          <w:rFonts w:asciiTheme="majorHAnsi" w:hAnsiTheme="majorHAnsi" w:cstheme="majorHAnsi"/>
          <w:b w:val="0"/>
          <w:bCs w:val="0"/>
          <w:i/>
          <w:sz w:val="28"/>
          <w:szCs w:val="28"/>
          <w:lang w:val="ro-MD" w:eastAsia="en-US"/>
        </w:rPr>
      </w:pPr>
    </w:p>
    <w:p w:rsidR="002B0C1F" w:rsidRPr="002751FC" w:rsidRDefault="002B0C1F" w:rsidP="00243401">
      <w:pPr>
        <w:pStyle w:val="cp"/>
        <w:jc w:val="both"/>
        <w:rPr>
          <w:rFonts w:asciiTheme="majorHAnsi" w:hAnsiTheme="majorHAnsi" w:cstheme="majorHAnsi"/>
          <w:b w:val="0"/>
          <w:bCs w:val="0"/>
          <w:sz w:val="28"/>
          <w:szCs w:val="28"/>
          <w:lang w:val="ro-MD" w:eastAsia="en-US"/>
        </w:rPr>
      </w:pPr>
      <w:r w:rsidRPr="002751FC">
        <w:rPr>
          <w:rFonts w:asciiTheme="majorHAnsi" w:hAnsiTheme="majorHAnsi" w:cstheme="majorHAnsi"/>
          <w:b w:val="0"/>
          <w:bCs w:val="0"/>
          <w:sz w:val="28"/>
          <w:szCs w:val="28"/>
          <w:lang w:val="ro-MD" w:eastAsia="en-US"/>
        </w:rPr>
        <w:t>Conform explicațiilor responsabililor de la ONVV, nerealizarea unor mă</w:t>
      </w:r>
      <w:r w:rsidR="00CA4BDF" w:rsidRPr="002751FC">
        <w:rPr>
          <w:rFonts w:asciiTheme="majorHAnsi" w:hAnsiTheme="majorHAnsi" w:cstheme="majorHAnsi"/>
          <w:b w:val="0"/>
          <w:bCs w:val="0"/>
          <w:sz w:val="28"/>
          <w:szCs w:val="28"/>
          <w:lang w:val="ro-MD" w:eastAsia="en-US"/>
        </w:rPr>
        <w:t>su</w:t>
      </w:r>
      <w:r w:rsidRPr="002751FC">
        <w:rPr>
          <w:rFonts w:asciiTheme="majorHAnsi" w:hAnsiTheme="majorHAnsi" w:cstheme="majorHAnsi"/>
          <w:b w:val="0"/>
          <w:bCs w:val="0"/>
          <w:sz w:val="28"/>
          <w:szCs w:val="28"/>
          <w:lang w:val="ro-MD" w:eastAsia="en-US"/>
        </w:rPr>
        <w:t xml:space="preserve">ri în anul de gestiune a fost condiționată de transferul unor măsuri pentru realizare în anul 2019, </w:t>
      </w:r>
      <w:r w:rsidR="00EA5D10" w:rsidRPr="002751FC">
        <w:rPr>
          <w:rFonts w:asciiTheme="majorHAnsi" w:hAnsiTheme="majorHAnsi" w:cstheme="majorHAnsi"/>
          <w:b w:val="0"/>
          <w:bCs w:val="0"/>
          <w:sz w:val="28"/>
          <w:szCs w:val="28"/>
          <w:lang w:val="ro-MD" w:eastAsia="en-US"/>
        </w:rPr>
        <w:t xml:space="preserve">iar </w:t>
      </w:r>
      <w:r w:rsidRPr="002751FC">
        <w:rPr>
          <w:rFonts w:asciiTheme="majorHAnsi" w:hAnsiTheme="majorHAnsi" w:cstheme="majorHAnsi"/>
          <w:b w:val="0"/>
          <w:bCs w:val="0"/>
          <w:sz w:val="28"/>
          <w:szCs w:val="28"/>
          <w:lang w:val="ro-MD" w:eastAsia="en-US"/>
        </w:rPr>
        <w:t xml:space="preserve">11 măsuri în </w:t>
      </w:r>
      <w:r w:rsidR="004E5DD3" w:rsidRPr="002751FC">
        <w:rPr>
          <w:rFonts w:asciiTheme="majorHAnsi" w:hAnsiTheme="majorHAnsi" w:cstheme="majorHAnsi"/>
          <w:b w:val="0"/>
          <w:bCs w:val="0"/>
          <w:sz w:val="28"/>
          <w:szCs w:val="28"/>
          <w:lang w:val="ro-MD" w:eastAsia="en-US"/>
        </w:rPr>
        <w:t>valoare</w:t>
      </w:r>
      <w:r w:rsidRPr="002751FC">
        <w:rPr>
          <w:rFonts w:asciiTheme="majorHAnsi" w:hAnsiTheme="majorHAnsi" w:cstheme="majorHAnsi"/>
          <w:b w:val="0"/>
          <w:bCs w:val="0"/>
          <w:sz w:val="28"/>
          <w:szCs w:val="28"/>
          <w:lang w:val="ro-MD" w:eastAsia="en-US"/>
        </w:rPr>
        <w:t xml:space="preserve"> totală de 0,1 </w:t>
      </w:r>
      <w:proofErr w:type="spellStart"/>
      <w:r w:rsidRPr="002751FC">
        <w:rPr>
          <w:rFonts w:asciiTheme="majorHAnsi" w:hAnsiTheme="majorHAnsi" w:cstheme="majorHAnsi"/>
          <w:b w:val="0"/>
          <w:bCs w:val="0"/>
          <w:sz w:val="28"/>
          <w:szCs w:val="28"/>
          <w:lang w:val="ro-MD" w:eastAsia="en-US"/>
        </w:rPr>
        <w:t>mil.MDL</w:t>
      </w:r>
      <w:proofErr w:type="spellEnd"/>
      <w:r w:rsidRPr="002751FC">
        <w:rPr>
          <w:rFonts w:asciiTheme="majorHAnsi" w:hAnsiTheme="majorHAnsi" w:cstheme="majorHAnsi"/>
          <w:b w:val="0"/>
          <w:bCs w:val="0"/>
          <w:sz w:val="28"/>
          <w:szCs w:val="28"/>
          <w:lang w:val="ro-MD" w:eastAsia="en-US"/>
        </w:rPr>
        <w:t xml:space="preserve"> nu au fost incluse din </w:t>
      </w:r>
      <w:r w:rsidR="00EA5D10" w:rsidRPr="002751FC">
        <w:rPr>
          <w:rFonts w:asciiTheme="majorHAnsi" w:hAnsiTheme="majorHAnsi" w:cstheme="majorHAnsi"/>
          <w:b w:val="0"/>
          <w:bCs w:val="0"/>
          <w:sz w:val="28"/>
          <w:szCs w:val="28"/>
          <w:lang w:val="ro-MD" w:eastAsia="en-US"/>
        </w:rPr>
        <w:t>eroare</w:t>
      </w:r>
      <w:r w:rsidRPr="002751FC">
        <w:rPr>
          <w:rFonts w:asciiTheme="majorHAnsi" w:hAnsiTheme="majorHAnsi" w:cstheme="majorHAnsi"/>
          <w:b w:val="0"/>
          <w:bCs w:val="0"/>
          <w:sz w:val="28"/>
          <w:szCs w:val="28"/>
          <w:lang w:val="ro-MD" w:eastAsia="en-US"/>
        </w:rPr>
        <w:t xml:space="preserve"> (factor</w:t>
      </w:r>
      <w:r w:rsidR="00240B65">
        <w:rPr>
          <w:rFonts w:asciiTheme="majorHAnsi" w:hAnsiTheme="majorHAnsi" w:cstheme="majorHAnsi"/>
          <w:b w:val="0"/>
          <w:bCs w:val="0"/>
          <w:sz w:val="28"/>
          <w:szCs w:val="28"/>
          <w:lang w:val="ro-MD" w:eastAsia="en-US"/>
        </w:rPr>
        <w:t>ul</w:t>
      </w:r>
      <w:r w:rsidRPr="002751FC">
        <w:rPr>
          <w:rFonts w:asciiTheme="majorHAnsi" w:hAnsiTheme="majorHAnsi" w:cstheme="majorHAnsi"/>
          <w:b w:val="0"/>
          <w:bCs w:val="0"/>
          <w:sz w:val="28"/>
          <w:szCs w:val="28"/>
          <w:lang w:val="ro-MD" w:eastAsia="en-US"/>
        </w:rPr>
        <w:t xml:space="preserve"> uman). Totodată, 2 măsuri planificate nu au fost realizate urmare a neadaptării vii</w:t>
      </w:r>
      <w:r w:rsidR="004E5DD3" w:rsidRPr="002751FC">
        <w:rPr>
          <w:rFonts w:asciiTheme="majorHAnsi" w:hAnsiTheme="majorHAnsi" w:cstheme="majorHAnsi"/>
          <w:b w:val="0"/>
          <w:bCs w:val="0"/>
          <w:sz w:val="28"/>
          <w:szCs w:val="28"/>
          <w:lang w:val="ro-MD" w:eastAsia="en-US"/>
        </w:rPr>
        <w:t>lor din</w:t>
      </w:r>
      <w:r w:rsidRPr="002751FC">
        <w:rPr>
          <w:rFonts w:asciiTheme="majorHAnsi" w:hAnsiTheme="majorHAnsi" w:cstheme="majorHAnsi"/>
          <w:b w:val="0"/>
          <w:bCs w:val="0"/>
          <w:sz w:val="28"/>
          <w:szCs w:val="28"/>
          <w:lang w:val="ro-MD" w:eastAsia="en-US"/>
        </w:rPr>
        <w:t xml:space="preserve"> RM la metoda de evaluare/inventariere a plantațiilor viticole afecta</w:t>
      </w:r>
      <w:r w:rsidR="00ED5183" w:rsidRPr="002751FC">
        <w:rPr>
          <w:rFonts w:asciiTheme="majorHAnsi" w:hAnsiTheme="majorHAnsi" w:cstheme="majorHAnsi"/>
          <w:b w:val="0"/>
          <w:bCs w:val="0"/>
          <w:sz w:val="28"/>
          <w:szCs w:val="28"/>
          <w:lang w:val="ro-MD" w:eastAsia="en-US"/>
        </w:rPr>
        <w:t>te</w:t>
      </w:r>
      <w:r w:rsidRPr="002751FC">
        <w:rPr>
          <w:rFonts w:asciiTheme="majorHAnsi" w:hAnsiTheme="majorHAnsi" w:cstheme="majorHAnsi"/>
          <w:b w:val="0"/>
          <w:bCs w:val="0"/>
          <w:sz w:val="28"/>
          <w:szCs w:val="28"/>
          <w:lang w:val="ro-MD" w:eastAsia="en-US"/>
        </w:rPr>
        <w:t xml:space="preserve"> de </w:t>
      </w:r>
      <w:r w:rsidR="004E5DD3" w:rsidRPr="002751FC">
        <w:rPr>
          <w:rFonts w:asciiTheme="majorHAnsi" w:hAnsiTheme="majorHAnsi" w:cstheme="majorHAnsi"/>
          <w:b w:val="0"/>
          <w:bCs w:val="0"/>
          <w:sz w:val="28"/>
          <w:szCs w:val="28"/>
          <w:lang w:val="ro-MD" w:eastAsia="en-US"/>
        </w:rPr>
        <w:t xml:space="preserve">maladiile </w:t>
      </w:r>
      <w:proofErr w:type="spellStart"/>
      <w:r w:rsidR="004E5DD3" w:rsidRPr="002751FC">
        <w:rPr>
          <w:rFonts w:asciiTheme="majorHAnsi" w:hAnsiTheme="majorHAnsi" w:cstheme="majorHAnsi"/>
          <w:b w:val="0"/>
          <w:bCs w:val="0"/>
          <w:sz w:val="28"/>
          <w:szCs w:val="28"/>
          <w:lang w:val="ro-MD" w:eastAsia="en-US"/>
        </w:rPr>
        <w:t>fitoplasmatice</w:t>
      </w:r>
      <w:proofErr w:type="spellEnd"/>
      <w:r w:rsidR="004E5DD3" w:rsidRPr="002751FC">
        <w:rPr>
          <w:rStyle w:val="ab"/>
          <w:rFonts w:asciiTheme="majorHAnsi" w:hAnsiTheme="majorHAnsi" w:cstheme="majorHAnsi"/>
          <w:b w:val="0"/>
          <w:bCs w:val="0"/>
          <w:sz w:val="28"/>
          <w:szCs w:val="28"/>
          <w:lang w:val="ro-MD" w:eastAsia="en-US"/>
        </w:rPr>
        <w:footnoteReference w:id="35"/>
      </w:r>
      <w:r w:rsidR="004E5DD3" w:rsidRPr="002751FC">
        <w:rPr>
          <w:rFonts w:asciiTheme="majorHAnsi" w:hAnsiTheme="majorHAnsi" w:cstheme="majorHAnsi"/>
          <w:b w:val="0"/>
          <w:bCs w:val="0"/>
          <w:sz w:val="28"/>
          <w:szCs w:val="28"/>
          <w:lang w:val="ro-MD" w:eastAsia="en-US"/>
        </w:rPr>
        <w:t xml:space="preserve"> </w:t>
      </w:r>
      <w:r w:rsidRPr="002751FC">
        <w:rPr>
          <w:rFonts w:asciiTheme="majorHAnsi" w:hAnsiTheme="majorHAnsi" w:cstheme="majorHAnsi"/>
          <w:b w:val="0"/>
          <w:bCs w:val="0"/>
          <w:sz w:val="28"/>
          <w:szCs w:val="28"/>
          <w:lang w:val="ro-MD" w:eastAsia="en-US"/>
        </w:rPr>
        <w:t xml:space="preserve">cu ajutorul </w:t>
      </w:r>
      <w:proofErr w:type="spellStart"/>
      <w:r w:rsidRPr="002751FC">
        <w:rPr>
          <w:rFonts w:asciiTheme="majorHAnsi" w:hAnsiTheme="majorHAnsi" w:cstheme="majorHAnsi"/>
          <w:b w:val="0"/>
          <w:bCs w:val="0"/>
          <w:sz w:val="28"/>
          <w:szCs w:val="28"/>
          <w:lang w:val="ro-MD" w:eastAsia="en-US"/>
        </w:rPr>
        <w:t>dronei</w:t>
      </w:r>
      <w:proofErr w:type="spellEnd"/>
      <w:r w:rsidRPr="002751FC">
        <w:rPr>
          <w:rFonts w:asciiTheme="majorHAnsi" w:hAnsiTheme="majorHAnsi" w:cstheme="majorHAnsi"/>
          <w:b w:val="0"/>
          <w:bCs w:val="0"/>
          <w:sz w:val="28"/>
          <w:szCs w:val="28"/>
          <w:lang w:val="ro-MD" w:eastAsia="en-US"/>
        </w:rPr>
        <w:t xml:space="preserve"> și </w:t>
      </w:r>
      <w:r w:rsidR="00CA4BDF" w:rsidRPr="002751FC">
        <w:rPr>
          <w:rFonts w:asciiTheme="majorHAnsi" w:hAnsiTheme="majorHAnsi" w:cstheme="majorHAnsi"/>
          <w:b w:val="0"/>
          <w:bCs w:val="0"/>
          <w:sz w:val="28"/>
          <w:szCs w:val="28"/>
          <w:lang w:val="ro-MD" w:eastAsia="en-US"/>
        </w:rPr>
        <w:t xml:space="preserve">camerei </w:t>
      </w:r>
      <w:proofErr w:type="spellStart"/>
      <w:r w:rsidRPr="002751FC">
        <w:rPr>
          <w:rFonts w:asciiTheme="majorHAnsi" w:hAnsiTheme="majorHAnsi" w:cstheme="majorHAnsi"/>
          <w:b w:val="0"/>
          <w:bCs w:val="0"/>
          <w:sz w:val="28"/>
          <w:szCs w:val="28"/>
          <w:lang w:val="ro-MD" w:eastAsia="en-US"/>
        </w:rPr>
        <w:t>multispectrale</w:t>
      </w:r>
      <w:proofErr w:type="spellEnd"/>
      <w:r w:rsidRPr="002751FC">
        <w:rPr>
          <w:rFonts w:asciiTheme="majorHAnsi" w:hAnsiTheme="majorHAnsi" w:cstheme="majorHAnsi"/>
          <w:b w:val="0"/>
          <w:bCs w:val="0"/>
          <w:sz w:val="28"/>
          <w:szCs w:val="28"/>
          <w:lang w:val="ro-MD" w:eastAsia="en-US"/>
        </w:rPr>
        <w:t>, ceea ce denot</w:t>
      </w:r>
      <w:r w:rsidR="00E15198" w:rsidRPr="002751FC">
        <w:rPr>
          <w:rFonts w:asciiTheme="majorHAnsi" w:hAnsiTheme="majorHAnsi" w:cstheme="majorHAnsi"/>
          <w:b w:val="0"/>
          <w:bCs w:val="0"/>
          <w:sz w:val="28"/>
          <w:szCs w:val="28"/>
          <w:lang w:val="ro-MD" w:eastAsia="en-US"/>
        </w:rPr>
        <w:t>ă</w:t>
      </w:r>
      <w:r w:rsidRPr="002751FC">
        <w:rPr>
          <w:rFonts w:asciiTheme="majorHAnsi" w:hAnsiTheme="majorHAnsi" w:cstheme="majorHAnsi"/>
          <w:b w:val="0"/>
          <w:bCs w:val="0"/>
          <w:sz w:val="28"/>
          <w:szCs w:val="28"/>
          <w:lang w:val="ro-MD" w:eastAsia="en-US"/>
        </w:rPr>
        <w:t xml:space="preserve"> deficiențe în planificarea resurselor necesare pentru realizarea m</w:t>
      </w:r>
      <w:r w:rsidR="00E15198" w:rsidRPr="002751FC">
        <w:rPr>
          <w:rFonts w:asciiTheme="majorHAnsi" w:hAnsiTheme="majorHAnsi" w:cstheme="majorHAnsi"/>
          <w:b w:val="0"/>
          <w:bCs w:val="0"/>
          <w:sz w:val="28"/>
          <w:szCs w:val="28"/>
          <w:lang w:val="ro-MD" w:eastAsia="en-US"/>
        </w:rPr>
        <w:t>ă</w:t>
      </w:r>
      <w:r w:rsidRPr="002751FC">
        <w:rPr>
          <w:rFonts w:asciiTheme="majorHAnsi" w:hAnsiTheme="majorHAnsi" w:cstheme="majorHAnsi"/>
          <w:b w:val="0"/>
          <w:bCs w:val="0"/>
          <w:sz w:val="28"/>
          <w:szCs w:val="28"/>
          <w:lang w:val="ro-MD" w:eastAsia="en-US"/>
        </w:rPr>
        <w:t>surilor aferente dezvoltării domeniului vitic</w:t>
      </w:r>
      <w:r w:rsidR="00EA5D10" w:rsidRPr="002751FC">
        <w:rPr>
          <w:rFonts w:asciiTheme="majorHAnsi" w:hAnsiTheme="majorHAnsi" w:cstheme="majorHAnsi"/>
          <w:b w:val="0"/>
          <w:bCs w:val="0"/>
          <w:sz w:val="28"/>
          <w:szCs w:val="28"/>
          <w:lang w:val="ro-MD" w:eastAsia="en-US"/>
        </w:rPr>
        <w:t>ol</w:t>
      </w:r>
      <w:r w:rsidRPr="002751FC">
        <w:rPr>
          <w:rFonts w:asciiTheme="majorHAnsi" w:hAnsiTheme="majorHAnsi" w:cstheme="majorHAnsi"/>
          <w:b w:val="0"/>
          <w:bCs w:val="0"/>
          <w:sz w:val="28"/>
          <w:szCs w:val="28"/>
          <w:lang w:val="ro-MD" w:eastAsia="en-US"/>
        </w:rPr>
        <w:t xml:space="preserve">. </w:t>
      </w:r>
    </w:p>
    <w:p w:rsidR="002B0C1F" w:rsidRPr="002751FC" w:rsidRDefault="002B0C1F" w:rsidP="00243401">
      <w:pPr>
        <w:pStyle w:val="cp"/>
        <w:jc w:val="both"/>
        <w:rPr>
          <w:rFonts w:asciiTheme="majorHAnsi" w:hAnsiTheme="majorHAnsi" w:cstheme="majorHAnsi"/>
          <w:b w:val="0"/>
          <w:bCs w:val="0"/>
          <w:sz w:val="28"/>
          <w:szCs w:val="28"/>
          <w:lang w:val="ro-MD" w:eastAsia="en-US"/>
        </w:rPr>
      </w:pPr>
    </w:p>
    <w:p w:rsidR="002B0C1F" w:rsidRPr="002751FC" w:rsidRDefault="002B0C1F" w:rsidP="00243401">
      <w:pPr>
        <w:pStyle w:val="cp"/>
        <w:jc w:val="both"/>
        <w:rPr>
          <w:rFonts w:asciiTheme="majorHAnsi" w:hAnsiTheme="majorHAnsi" w:cstheme="majorHAnsi"/>
          <w:b w:val="0"/>
          <w:bCs w:val="0"/>
          <w:sz w:val="28"/>
          <w:szCs w:val="28"/>
          <w:lang w:val="ro-MD" w:eastAsia="en-US"/>
        </w:rPr>
      </w:pPr>
      <w:r w:rsidRPr="002751FC">
        <w:rPr>
          <w:rFonts w:asciiTheme="majorHAnsi" w:hAnsiTheme="majorHAnsi" w:cstheme="majorHAnsi"/>
          <w:b w:val="0"/>
          <w:bCs w:val="0"/>
          <w:sz w:val="28"/>
          <w:szCs w:val="28"/>
          <w:lang w:val="ro-MD" w:eastAsia="en-US"/>
        </w:rPr>
        <w:lastRenderedPageBreak/>
        <w:t xml:space="preserve">Deși, conform explicațiilor ONVV, ca sursă de acoperire a cheltuielilor suplimentare a servit soldul mijloacelor bănești nerepartizat, care </w:t>
      </w:r>
      <w:r w:rsidR="00EA5D10" w:rsidRPr="002751FC">
        <w:rPr>
          <w:rFonts w:asciiTheme="majorHAnsi" w:hAnsiTheme="majorHAnsi" w:cstheme="majorHAnsi"/>
          <w:b w:val="0"/>
          <w:bCs w:val="0"/>
          <w:sz w:val="28"/>
          <w:szCs w:val="28"/>
          <w:lang w:val="ro-MD" w:eastAsia="en-US"/>
        </w:rPr>
        <w:t>potrivit</w:t>
      </w:r>
      <w:r w:rsidRPr="002751FC">
        <w:rPr>
          <w:rFonts w:asciiTheme="majorHAnsi" w:hAnsiTheme="majorHAnsi" w:cstheme="majorHAnsi"/>
          <w:b w:val="0"/>
          <w:bCs w:val="0"/>
          <w:sz w:val="28"/>
          <w:szCs w:val="28"/>
          <w:lang w:val="ro-MD" w:eastAsia="en-US"/>
        </w:rPr>
        <w:t xml:space="preserve"> informațiilor ONVV a constituit 8,2 </w:t>
      </w:r>
      <w:proofErr w:type="spellStart"/>
      <w:r w:rsidRPr="002751FC">
        <w:rPr>
          <w:rFonts w:asciiTheme="majorHAnsi" w:hAnsiTheme="majorHAnsi" w:cstheme="majorHAnsi"/>
          <w:b w:val="0"/>
          <w:bCs w:val="0"/>
          <w:sz w:val="28"/>
          <w:szCs w:val="28"/>
          <w:lang w:val="ro-MD" w:eastAsia="en-US"/>
        </w:rPr>
        <w:t>mil.MDL</w:t>
      </w:r>
      <w:proofErr w:type="spellEnd"/>
      <w:r w:rsidRPr="002751FC">
        <w:rPr>
          <w:rFonts w:asciiTheme="majorHAnsi" w:hAnsiTheme="majorHAnsi" w:cstheme="majorHAnsi"/>
          <w:b w:val="0"/>
          <w:bCs w:val="0"/>
          <w:sz w:val="28"/>
          <w:szCs w:val="28"/>
          <w:lang w:val="ro-MD" w:eastAsia="en-US"/>
        </w:rPr>
        <w:t>, rectificarea/modificarea volumelor de venituri și cheltuieli nu a avut loc, bugetul FVV fiind realizat în limitele bugetului aprobat inițial.</w:t>
      </w:r>
    </w:p>
    <w:p w:rsidR="002B0C1F" w:rsidRPr="002751FC" w:rsidRDefault="002B0C1F" w:rsidP="00243401">
      <w:pPr>
        <w:pStyle w:val="cp"/>
        <w:jc w:val="both"/>
        <w:rPr>
          <w:rFonts w:asciiTheme="majorHAnsi" w:hAnsiTheme="majorHAnsi" w:cstheme="majorHAnsi"/>
          <w:sz w:val="28"/>
          <w:szCs w:val="28"/>
          <w:highlight w:val="yellow"/>
          <w:lang w:val="ro-MD"/>
        </w:rPr>
      </w:pPr>
    </w:p>
    <w:p w:rsidR="002B0C1F" w:rsidRPr="002751FC" w:rsidRDefault="002B0C1F" w:rsidP="00243401">
      <w:pPr>
        <w:pStyle w:val="cp"/>
        <w:jc w:val="both"/>
        <w:rPr>
          <w:rFonts w:asciiTheme="majorHAnsi" w:hAnsiTheme="majorHAnsi" w:cstheme="majorHAnsi"/>
          <w:b w:val="0"/>
          <w:bCs w:val="0"/>
          <w:sz w:val="28"/>
          <w:szCs w:val="28"/>
          <w:lang w:val="ro-MD" w:eastAsia="en-US"/>
        </w:rPr>
      </w:pPr>
      <w:r w:rsidRPr="002751FC">
        <w:rPr>
          <w:rFonts w:asciiTheme="majorHAnsi" w:hAnsiTheme="majorHAnsi" w:cstheme="majorHAnsi"/>
          <w:b w:val="0"/>
          <w:bCs w:val="0"/>
          <w:sz w:val="28"/>
          <w:szCs w:val="28"/>
          <w:lang w:val="ro-MD" w:eastAsia="en-US"/>
        </w:rPr>
        <w:t xml:space="preserve">De menționat că, </w:t>
      </w:r>
      <w:r w:rsidR="00045093" w:rsidRPr="002751FC">
        <w:rPr>
          <w:rFonts w:asciiTheme="majorHAnsi" w:hAnsiTheme="majorHAnsi" w:cstheme="majorHAnsi"/>
          <w:b w:val="0"/>
          <w:bCs w:val="0"/>
          <w:sz w:val="28"/>
          <w:szCs w:val="28"/>
          <w:lang w:val="ro-MD" w:eastAsia="en-US"/>
        </w:rPr>
        <w:t>deși</w:t>
      </w:r>
      <w:r w:rsidRPr="002751FC">
        <w:rPr>
          <w:rFonts w:asciiTheme="majorHAnsi" w:hAnsiTheme="majorHAnsi" w:cstheme="majorHAnsi"/>
          <w:b w:val="0"/>
          <w:bCs w:val="0"/>
          <w:sz w:val="28"/>
          <w:szCs w:val="28"/>
          <w:lang w:val="ro-MD" w:eastAsia="en-US"/>
        </w:rPr>
        <w:t xml:space="preserve"> conceptul proiectul</w:t>
      </w:r>
      <w:r w:rsidR="00EA5D10" w:rsidRPr="002751FC">
        <w:rPr>
          <w:rFonts w:asciiTheme="majorHAnsi" w:hAnsiTheme="majorHAnsi" w:cstheme="majorHAnsi"/>
          <w:b w:val="0"/>
          <w:bCs w:val="0"/>
          <w:sz w:val="28"/>
          <w:szCs w:val="28"/>
          <w:lang w:val="ro-MD" w:eastAsia="en-US"/>
        </w:rPr>
        <w:t>ui</w:t>
      </w:r>
      <w:r w:rsidRPr="002751FC">
        <w:rPr>
          <w:rFonts w:asciiTheme="majorHAnsi" w:hAnsiTheme="majorHAnsi" w:cstheme="majorHAnsi"/>
          <w:b w:val="0"/>
          <w:bCs w:val="0"/>
          <w:sz w:val="28"/>
          <w:szCs w:val="28"/>
          <w:lang w:val="ro-MD" w:eastAsia="en-US"/>
        </w:rPr>
        <w:t xml:space="preserve"> „Struguri de calitate” nu a fost aprobat de CC, ultimul </w:t>
      </w:r>
      <w:r w:rsidR="00EA5D10" w:rsidRPr="002751FC">
        <w:rPr>
          <w:rFonts w:asciiTheme="majorHAnsi" w:hAnsiTheme="majorHAnsi" w:cstheme="majorHAnsi"/>
          <w:b w:val="0"/>
          <w:bCs w:val="0"/>
          <w:sz w:val="28"/>
          <w:szCs w:val="28"/>
          <w:lang w:val="ro-MD" w:eastAsia="en-US"/>
        </w:rPr>
        <w:t xml:space="preserve">a </w:t>
      </w:r>
      <w:r w:rsidRPr="002751FC">
        <w:rPr>
          <w:rFonts w:asciiTheme="majorHAnsi" w:hAnsiTheme="majorHAnsi" w:cstheme="majorHAnsi"/>
          <w:b w:val="0"/>
          <w:bCs w:val="0"/>
          <w:sz w:val="28"/>
          <w:szCs w:val="28"/>
          <w:lang w:val="ro-MD" w:eastAsia="en-US"/>
        </w:rPr>
        <w:t>aprob</w:t>
      </w:r>
      <w:r w:rsidR="00EA5D10" w:rsidRPr="002751FC">
        <w:rPr>
          <w:rFonts w:asciiTheme="majorHAnsi" w:hAnsiTheme="majorHAnsi" w:cstheme="majorHAnsi"/>
          <w:b w:val="0"/>
          <w:bCs w:val="0"/>
          <w:sz w:val="28"/>
          <w:szCs w:val="28"/>
          <w:lang w:val="ro-MD" w:eastAsia="en-US"/>
        </w:rPr>
        <w:t>at</w:t>
      </w:r>
      <w:r w:rsidRPr="002751FC">
        <w:rPr>
          <w:rFonts w:asciiTheme="majorHAnsi" w:hAnsiTheme="majorHAnsi" w:cstheme="majorHAnsi"/>
          <w:b w:val="0"/>
          <w:bCs w:val="0"/>
          <w:sz w:val="28"/>
          <w:szCs w:val="28"/>
          <w:lang w:val="ro-MD" w:eastAsia="en-US"/>
        </w:rPr>
        <w:t xml:space="preserve"> alocații pentru realizarea activităților din cadrul </w:t>
      </w:r>
      <w:r w:rsidR="00EA5D10" w:rsidRPr="002751FC">
        <w:rPr>
          <w:rFonts w:asciiTheme="majorHAnsi" w:hAnsiTheme="majorHAnsi" w:cstheme="majorHAnsi"/>
          <w:b w:val="0"/>
          <w:bCs w:val="0"/>
          <w:sz w:val="28"/>
          <w:szCs w:val="28"/>
          <w:lang w:val="ro-MD" w:eastAsia="en-US"/>
        </w:rPr>
        <w:t>proiectului</w:t>
      </w:r>
      <w:r w:rsidRPr="002751FC">
        <w:rPr>
          <w:rFonts w:asciiTheme="majorHAnsi" w:hAnsiTheme="majorHAnsi" w:cstheme="majorHAnsi"/>
          <w:b w:val="0"/>
          <w:bCs w:val="0"/>
          <w:sz w:val="28"/>
          <w:szCs w:val="28"/>
          <w:lang w:val="ro-MD" w:eastAsia="en-US"/>
        </w:rPr>
        <w:t>.</w:t>
      </w:r>
    </w:p>
    <w:p w:rsidR="002B0C1F" w:rsidRPr="002751FC" w:rsidRDefault="002B0C1F" w:rsidP="00243401">
      <w:pPr>
        <w:pStyle w:val="cp"/>
        <w:jc w:val="both"/>
        <w:rPr>
          <w:rFonts w:asciiTheme="majorHAnsi" w:hAnsiTheme="majorHAnsi" w:cstheme="majorHAnsi"/>
          <w:b w:val="0"/>
          <w:bCs w:val="0"/>
          <w:sz w:val="28"/>
          <w:szCs w:val="28"/>
          <w:lang w:val="ro-MD" w:eastAsia="en-US"/>
        </w:rPr>
      </w:pPr>
    </w:p>
    <w:p w:rsidR="002B0C1F" w:rsidRPr="002751FC" w:rsidRDefault="002B0C1F" w:rsidP="00243401">
      <w:pPr>
        <w:pStyle w:val="cp"/>
        <w:jc w:val="both"/>
        <w:outlineLvl w:val="0"/>
        <w:rPr>
          <w:rFonts w:asciiTheme="majorHAnsi" w:hAnsiTheme="majorHAnsi" w:cstheme="majorHAnsi"/>
          <w:bCs w:val="0"/>
          <w:sz w:val="28"/>
          <w:szCs w:val="28"/>
          <w:lang w:val="ro-MD" w:eastAsia="en-US"/>
        </w:rPr>
      </w:pPr>
      <w:bookmarkStart w:id="31" w:name="_Toc23259095"/>
      <w:r w:rsidRPr="002751FC">
        <w:rPr>
          <w:rFonts w:asciiTheme="majorHAnsi" w:hAnsiTheme="majorHAnsi" w:cstheme="majorHAnsi"/>
          <w:bCs w:val="0"/>
          <w:sz w:val="28"/>
          <w:szCs w:val="28"/>
          <w:lang w:val="ro-MD" w:eastAsia="en-US"/>
        </w:rPr>
        <w:t xml:space="preserve">4.1.5. ONVV a depășit limitele de cheltuieli aprobate de </w:t>
      </w:r>
      <w:r w:rsidR="006F6088" w:rsidRPr="002751FC">
        <w:rPr>
          <w:rFonts w:asciiTheme="majorHAnsi" w:hAnsiTheme="majorHAnsi" w:cstheme="majorHAnsi"/>
          <w:bCs w:val="0"/>
          <w:sz w:val="28"/>
          <w:szCs w:val="28"/>
          <w:lang w:val="ro-MD" w:eastAsia="en-US"/>
        </w:rPr>
        <w:t>CC</w:t>
      </w:r>
      <w:r w:rsidRPr="002751FC">
        <w:rPr>
          <w:rFonts w:asciiTheme="majorHAnsi" w:hAnsiTheme="majorHAnsi" w:cstheme="majorHAnsi"/>
          <w:bCs w:val="0"/>
          <w:sz w:val="28"/>
          <w:szCs w:val="28"/>
          <w:lang w:val="ro-MD" w:eastAsia="en-US"/>
        </w:rPr>
        <w:t xml:space="preserve"> pentru unele măsuri aferente domeniului de marketing și dezvoltarea piețelor și a efectuat măsuri fără aprobare</w:t>
      </w:r>
      <w:r w:rsidR="00240B65">
        <w:rPr>
          <w:rFonts w:asciiTheme="majorHAnsi" w:hAnsiTheme="majorHAnsi" w:cstheme="majorHAnsi"/>
          <w:bCs w:val="0"/>
          <w:sz w:val="28"/>
          <w:szCs w:val="28"/>
          <w:lang w:val="ro-MD" w:eastAsia="en-US"/>
        </w:rPr>
        <w:t>a</w:t>
      </w:r>
      <w:r w:rsidRPr="002751FC">
        <w:rPr>
          <w:rFonts w:asciiTheme="majorHAnsi" w:hAnsiTheme="majorHAnsi" w:cstheme="majorHAnsi"/>
          <w:bCs w:val="0"/>
          <w:sz w:val="28"/>
          <w:szCs w:val="28"/>
          <w:lang w:val="ro-MD" w:eastAsia="en-US"/>
        </w:rPr>
        <w:t xml:space="preserve"> de către Consiliu și fără identificarea surselor de acoperire</w:t>
      </w:r>
      <w:bookmarkEnd w:id="31"/>
    </w:p>
    <w:p w:rsidR="002B0C1F" w:rsidRPr="002751FC" w:rsidRDefault="002B0C1F" w:rsidP="00243401">
      <w:pPr>
        <w:pStyle w:val="cp"/>
        <w:jc w:val="both"/>
        <w:rPr>
          <w:rFonts w:asciiTheme="majorHAnsi" w:hAnsiTheme="majorHAnsi" w:cstheme="majorHAnsi"/>
          <w:b w:val="0"/>
          <w:bCs w:val="0"/>
          <w:sz w:val="28"/>
          <w:szCs w:val="28"/>
          <w:lang w:val="ro-MD" w:eastAsia="en-US"/>
        </w:rPr>
      </w:pPr>
    </w:p>
    <w:p w:rsidR="002B0C1F" w:rsidRPr="002751FC" w:rsidRDefault="002B0C1F" w:rsidP="00243401">
      <w:pPr>
        <w:pStyle w:val="cp"/>
        <w:jc w:val="both"/>
        <w:rPr>
          <w:rFonts w:asciiTheme="majorHAnsi" w:hAnsiTheme="majorHAnsi" w:cstheme="majorHAnsi"/>
          <w:b w:val="0"/>
          <w:bCs w:val="0"/>
          <w:sz w:val="28"/>
          <w:szCs w:val="28"/>
          <w:lang w:val="ro-MD" w:eastAsia="en-US"/>
        </w:rPr>
      </w:pPr>
      <w:r w:rsidRPr="002751FC">
        <w:rPr>
          <w:rFonts w:asciiTheme="majorHAnsi" w:hAnsiTheme="majorHAnsi" w:cstheme="majorHAnsi"/>
          <w:b w:val="0"/>
          <w:bCs w:val="0"/>
          <w:sz w:val="28"/>
          <w:szCs w:val="28"/>
          <w:lang w:val="ro-MD" w:eastAsia="en-US"/>
        </w:rPr>
        <w:t xml:space="preserve">Deși limitele de cheltuieli pentru fiecare activitate/măsură sunt aprobate de </w:t>
      </w:r>
      <w:r w:rsidR="003F12A0" w:rsidRPr="002751FC">
        <w:rPr>
          <w:rFonts w:asciiTheme="majorHAnsi" w:hAnsiTheme="majorHAnsi" w:cstheme="majorHAnsi"/>
          <w:b w:val="0"/>
          <w:bCs w:val="0"/>
          <w:sz w:val="28"/>
          <w:szCs w:val="28"/>
          <w:lang w:val="ro-MD" w:eastAsia="en-US"/>
        </w:rPr>
        <w:t>CC</w:t>
      </w:r>
      <w:r w:rsidRPr="002751FC">
        <w:rPr>
          <w:rFonts w:asciiTheme="majorHAnsi" w:hAnsiTheme="majorHAnsi" w:cstheme="majorHAnsi"/>
          <w:b w:val="0"/>
          <w:bCs w:val="0"/>
          <w:sz w:val="28"/>
          <w:szCs w:val="28"/>
          <w:lang w:val="ro-MD" w:eastAsia="en-US"/>
        </w:rPr>
        <w:t>, ONVV nu a ținut cont de ele, la unele m</w:t>
      </w:r>
      <w:r w:rsidR="003F12A0" w:rsidRPr="002751FC">
        <w:rPr>
          <w:rFonts w:asciiTheme="majorHAnsi" w:hAnsiTheme="majorHAnsi" w:cstheme="majorHAnsi"/>
          <w:b w:val="0"/>
          <w:bCs w:val="0"/>
          <w:sz w:val="28"/>
          <w:szCs w:val="28"/>
          <w:lang w:val="ro-MD" w:eastAsia="en-US"/>
        </w:rPr>
        <w:t>ă</w:t>
      </w:r>
      <w:r w:rsidRPr="002751FC">
        <w:rPr>
          <w:rFonts w:asciiTheme="majorHAnsi" w:hAnsiTheme="majorHAnsi" w:cstheme="majorHAnsi"/>
          <w:b w:val="0"/>
          <w:bCs w:val="0"/>
          <w:sz w:val="28"/>
          <w:szCs w:val="28"/>
          <w:lang w:val="ro-MD" w:eastAsia="en-US"/>
        </w:rPr>
        <w:t xml:space="preserve">suri fiind constatată depășirea bugetului aprobat, iar altele au fost realizate fără aprobare de către Consiliu, nefiind </w:t>
      </w:r>
      <w:r w:rsidR="003F12A0" w:rsidRPr="002751FC">
        <w:rPr>
          <w:rFonts w:asciiTheme="majorHAnsi" w:hAnsiTheme="majorHAnsi" w:cstheme="majorHAnsi"/>
          <w:b w:val="0"/>
          <w:bCs w:val="0"/>
          <w:sz w:val="28"/>
          <w:szCs w:val="28"/>
          <w:lang w:val="ro-MD" w:eastAsia="en-US"/>
        </w:rPr>
        <w:t>identificate</w:t>
      </w:r>
      <w:r w:rsidRPr="002751FC">
        <w:rPr>
          <w:rFonts w:asciiTheme="majorHAnsi" w:hAnsiTheme="majorHAnsi" w:cstheme="majorHAnsi"/>
          <w:b w:val="0"/>
          <w:bCs w:val="0"/>
          <w:sz w:val="28"/>
          <w:szCs w:val="28"/>
          <w:lang w:val="ro-MD" w:eastAsia="en-US"/>
        </w:rPr>
        <w:t xml:space="preserve"> sursele de acoperire financiară. </w:t>
      </w:r>
    </w:p>
    <w:p w:rsidR="002B0C1F" w:rsidRPr="002751FC" w:rsidRDefault="003F12A0" w:rsidP="00243401">
      <w:pPr>
        <w:pStyle w:val="cp"/>
        <w:numPr>
          <w:ilvl w:val="0"/>
          <w:numId w:val="7"/>
        </w:numPr>
        <w:ind w:left="0" w:firstLine="567"/>
        <w:jc w:val="both"/>
        <w:rPr>
          <w:rFonts w:asciiTheme="majorHAnsi" w:hAnsiTheme="majorHAnsi" w:cstheme="majorHAnsi"/>
          <w:b w:val="0"/>
          <w:bCs w:val="0"/>
          <w:sz w:val="28"/>
          <w:szCs w:val="28"/>
          <w:lang w:val="ro-MD" w:eastAsia="en-US"/>
        </w:rPr>
      </w:pPr>
      <w:r w:rsidRPr="002751FC">
        <w:rPr>
          <w:rFonts w:asciiTheme="majorHAnsi" w:hAnsiTheme="majorHAnsi" w:cstheme="majorHAnsi"/>
          <w:b w:val="0"/>
          <w:bCs w:val="0"/>
          <w:sz w:val="28"/>
          <w:szCs w:val="28"/>
          <w:lang w:val="ro-MD" w:eastAsia="en-US"/>
        </w:rPr>
        <w:t>Astfel</w:t>
      </w:r>
      <w:r w:rsidR="002B0C1F" w:rsidRPr="002751FC">
        <w:rPr>
          <w:rFonts w:asciiTheme="majorHAnsi" w:hAnsiTheme="majorHAnsi" w:cstheme="majorHAnsi"/>
          <w:b w:val="0"/>
          <w:bCs w:val="0"/>
          <w:sz w:val="28"/>
          <w:szCs w:val="28"/>
          <w:lang w:val="ro-MD" w:eastAsia="en-US"/>
        </w:rPr>
        <w:t xml:space="preserve">, pentru anul 2018 </w:t>
      </w:r>
      <w:r w:rsidRPr="002751FC">
        <w:rPr>
          <w:rFonts w:asciiTheme="majorHAnsi" w:hAnsiTheme="majorHAnsi" w:cstheme="majorHAnsi"/>
          <w:b w:val="0"/>
          <w:bCs w:val="0"/>
          <w:sz w:val="28"/>
          <w:szCs w:val="28"/>
          <w:lang w:val="ro-MD" w:eastAsia="en-US"/>
        </w:rPr>
        <w:t>CC</w:t>
      </w:r>
      <w:r w:rsidR="002B0C1F" w:rsidRPr="002751FC">
        <w:rPr>
          <w:rFonts w:asciiTheme="majorHAnsi" w:hAnsiTheme="majorHAnsi" w:cstheme="majorHAnsi"/>
          <w:b w:val="0"/>
          <w:bCs w:val="0"/>
          <w:sz w:val="28"/>
          <w:szCs w:val="28"/>
          <w:lang w:val="ro-MD" w:eastAsia="en-US"/>
        </w:rPr>
        <w:t xml:space="preserve"> a aprobat </w:t>
      </w:r>
      <w:r w:rsidRPr="002751FC">
        <w:rPr>
          <w:rFonts w:asciiTheme="majorHAnsi" w:hAnsiTheme="majorHAnsi" w:cstheme="majorHAnsi"/>
          <w:b w:val="0"/>
          <w:bCs w:val="0"/>
          <w:sz w:val="28"/>
          <w:szCs w:val="28"/>
          <w:lang w:val="ro-MD" w:eastAsia="en-US"/>
        </w:rPr>
        <w:t>iniţial</w:t>
      </w:r>
      <w:r w:rsidR="002B0C1F" w:rsidRPr="002751FC">
        <w:rPr>
          <w:rFonts w:asciiTheme="majorHAnsi" w:hAnsiTheme="majorHAnsi" w:cstheme="majorHAnsi"/>
          <w:b w:val="0"/>
          <w:bCs w:val="0"/>
          <w:sz w:val="28"/>
          <w:szCs w:val="28"/>
          <w:lang w:val="ro-MD" w:eastAsia="en-US"/>
        </w:rPr>
        <w:t xml:space="preserve"> 63 de măsuri în valoare de 46,8 </w:t>
      </w:r>
      <w:proofErr w:type="spellStart"/>
      <w:r w:rsidR="002B0C1F" w:rsidRPr="002751FC">
        <w:rPr>
          <w:rFonts w:asciiTheme="majorHAnsi" w:hAnsiTheme="majorHAnsi" w:cstheme="majorHAnsi"/>
          <w:b w:val="0"/>
          <w:bCs w:val="0"/>
          <w:sz w:val="28"/>
          <w:szCs w:val="28"/>
          <w:lang w:val="ro-MD" w:eastAsia="en-US"/>
        </w:rPr>
        <w:t>mil.MDL</w:t>
      </w:r>
      <w:proofErr w:type="spellEnd"/>
      <w:r w:rsidR="00C54761" w:rsidRPr="002751FC">
        <w:rPr>
          <w:rFonts w:asciiTheme="majorHAnsi" w:hAnsiTheme="majorHAnsi" w:cstheme="majorHAnsi"/>
          <w:b w:val="0"/>
          <w:bCs w:val="0"/>
          <w:sz w:val="28"/>
          <w:szCs w:val="28"/>
          <w:lang w:val="ro-MD" w:eastAsia="en-US"/>
        </w:rPr>
        <w:t xml:space="preserve">, ulterior fiind aprobate </w:t>
      </w:r>
      <w:r w:rsidR="002B0C1F" w:rsidRPr="002751FC">
        <w:rPr>
          <w:rFonts w:asciiTheme="majorHAnsi" w:hAnsiTheme="majorHAnsi" w:cstheme="majorHAnsi"/>
          <w:b w:val="0"/>
          <w:bCs w:val="0"/>
          <w:sz w:val="28"/>
          <w:szCs w:val="28"/>
          <w:lang w:val="ro-MD" w:eastAsia="en-US"/>
        </w:rPr>
        <w:t xml:space="preserve">4 măsuri suplimentare în valoare de 1,7 </w:t>
      </w:r>
      <w:proofErr w:type="spellStart"/>
      <w:r w:rsidR="002B0C1F" w:rsidRPr="002751FC">
        <w:rPr>
          <w:rFonts w:asciiTheme="majorHAnsi" w:hAnsiTheme="majorHAnsi" w:cstheme="majorHAnsi"/>
          <w:b w:val="0"/>
          <w:bCs w:val="0"/>
          <w:sz w:val="28"/>
          <w:szCs w:val="28"/>
          <w:lang w:val="ro-MD" w:eastAsia="en-US"/>
        </w:rPr>
        <w:t>mil.MDL</w:t>
      </w:r>
      <w:proofErr w:type="spellEnd"/>
      <w:r w:rsidR="002B0C1F" w:rsidRPr="002751FC">
        <w:rPr>
          <w:rFonts w:asciiTheme="majorHAnsi" w:hAnsiTheme="majorHAnsi" w:cstheme="majorHAnsi"/>
          <w:b w:val="0"/>
          <w:bCs w:val="0"/>
          <w:sz w:val="28"/>
          <w:szCs w:val="28"/>
          <w:lang w:val="ro-MD" w:eastAsia="en-US"/>
        </w:rPr>
        <w:t xml:space="preserve">, bugetul aprobat pentru anul 2018 constituind 48,5 </w:t>
      </w:r>
      <w:proofErr w:type="spellStart"/>
      <w:r w:rsidR="002B0C1F" w:rsidRPr="002751FC">
        <w:rPr>
          <w:rFonts w:asciiTheme="majorHAnsi" w:hAnsiTheme="majorHAnsi" w:cstheme="majorHAnsi"/>
          <w:b w:val="0"/>
          <w:bCs w:val="0"/>
          <w:sz w:val="28"/>
          <w:szCs w:val="28"/>
          <w:lang w:val="ro-MD" w:eastAsia="en-US"/>
        </w:rPr>
        <w:t>mil.MDL</w:t>
      </w:r>
      <w:proofErr w:type="spellEnd"/>
      <w:r w:rsidR="002B0C1F" w:rsidRPr="002751FC">
        <w:rPr>
          <w:rFonts w:asciiTheme="majorHAnsi" w:hAnsiTheme="majorHAnsi" w:cstheme="majorHAnsi"/>
          <w:b w:val="0"/>
          <w:bCs w:val="0"/>
          <w:sz w:val="28"/>
          <w:szCs w:val="28"/>
          <w:lang w:val="ro-MD" w:eastAsia="en-US"/>
        </w:rPr>
        <w:t>.</w:t>
      </w:r>
    </w:p>
    <w:p w:rsidR="002B0C1F" w:rsidRPr="002751FC" w:rsidRDefault="002B0C1F" w:rsidP="00243401">
      <w:pPr>
        <w:pStyle w:val="cp"/>
        <w:numPr>
          <w:ilvl w:val="0"/>
          <w:numId w:val="7"/>
        </w:numPr>
        <w:ind w:left="0" w:firstLine="567"/>
        <w:jc w:val="both"/>
        <w:rPr>
          <w:rFonts w:asciiTheme="majorHAnsi" w:hAnsiTheme="majorHAnsi" w:cstheme="majorHAnsi"/>
          <w:b w:val="0"/>
          <w:bCs w:val="0"/>
          <w:sz w:val="28"/>
          <w:szCs w:val="28"/>
          <w:lang w:val="ro-MD" w:eastAsia="en-US"/>
        </w:rPr>
      </w:pPr>
      <w:r w:rsidRPr="002751FC">
        <w:rPr>
          <w:rFonts w:asciiTheme="majorHAnsi" w:hAnsiTheme="majorHAnsi" w:cstheme="majorHAnsi"/>
          <w:b w:val="0"/>
          <w:bCs w:val="0"/>
          <w:sz w:val="28"/>
          <w:szCs w:val="28"/>
          <w:lang w:val="ro-MD" w:eastAsia="en-US"/>
        </w:rPr>
        <w:t xml:space="preserve">La 17 măsuri a fost constatată suprafinanțare față de bugetele aprobate, valoarea totală a depășirii constituind 2,7 </w:t>
      </w:r>
      <w:proofErr w:type="spellStart"/>
      <w:r w:rsidRPr="002751FC">
        <w:rPr>
          <w:rFonts w:asciiTheme="majorHAnsi" w:hAnsiTheme="majorHAnsi" w:cstheme="majorHAnsi"/>
          <w:b w:val="0"/>
          <w:bCs w:val="0"/>
          <w:sz w:val="28"/>
          <w:szCs w:val="28"/>
          <w:lang w:val="ro-MD" w:eastAsia="en-US"/>
        </w:rPr>
        <w:t>mil.MDL</w:t>
      </w:r>
      <w:proofErr w:type="spellEnd"/>
      <w:r w:rsidR="00676BF3" w:rsidRPr="002751FC">
        <w:rPr>
          <w:rFonts w:asciiTheme="majorHAnsi" w:hAnsiTheme="majorHAnsi" w:cstheme="majorHAnsi"/>
          <w:b w:val="0"/>
          <w:bCs w:val="0"/>
          <w:sz w:val="28"/>
          <w:szCs w:val="28"/>
          <w:lang w:val="ro-MD" w:eastAsia="en-US"/>
        </w:rPr>
        <w:t>.</w:t>
      </w:r>
      <w:r w:rsidRPr="002751FC">
        <w:rPr>
          <w:rFonts w:asciiTheme="majorHAnsi" w:hAnsiTheme="majorHAnsi" w:cstheme="majorHAnsi"/>
          <w:b w:val="0"/>
          <w:bCs w:val="0"/>
          <w:sz w:val="28"/>
          <w:szCs w:val="28"/>
          <w:lang w:val="ro-MD" w:eastAsia="en-US"/>
        </w:rPr>
        <w:t xml:space="preserve"> </w:t>
      </w:r>
      <w:r w:rsidR="00676BF3" w:rsidRPr="002751FC">
        <w:rPr>
          <w:rFonts w:asciiTheme="majorHAnsi" w:hAnsiTheme="majorHAnsi" w:cstheme="majorHAnsi"/>
          <w:b w:val="0"/>
          <w:bCs w:val="0"/>
          <w:sz w:val="28"/>
          <w:szCs w:val="28"/>
          <w:lang w:val="ro-MD" w:eastAsia="en-US"/>
        </w:rPr>
        <w:t>T</w:t>
      </w:r>
      <w:r w:rsidRPr="002751FC">
        <w:rPr>
          <w:rFonts w:asciiTheme="majorHAnsi" w:hAnsiTheme="majorHAnsi" w:cstheme="majorHAnsi"/>
          <w:b w:val="0"/>
          <w:bCs w:val="0"/>
          <w:sz w:val="28"/>
          <w:szCs w:val="28"/>
          <w:lang w:val="ro-MD" w:eastAsia="en-US"/>
        </w:rPr>
        <w:t>otodată, 2 măsuri</w:t>
      </w:r>
      <w:r w:rsidRPr="002751FC">
        <w:rPr>
          <w:rStyle w:val="ab"/>
          <w:rFonts w:asciiTheme="majorHAnsi" w:hAnsiTheme="majorHAnsi" w:cstheme="majorHAnsi"/>
          <w:b w:val="0"/>
          <w:bCs w:val="0"/>
          <w:sz w:val="28"/>
          <w:szCs w:val="28"/>
          <w:lang w:val="ro-MD" w:eastAsia="en-US"/>
        </w:rPr>
        <w:footnoteReference w:id="36"/>
      </w:r>
      <w:r w:rsidRPr="002751FC">
        <w:rPr>
          <w:rFonts w:asciiTheme="majorHAnsi" w:hAnsiTheme="majorHAnsi" w:cstheme="majorHAnsi"/>
          <w:b w:val="0"/>
          <w:bCs w:val="0"/>
          <w:sz w:val="28"/>
          <w:szCs w:val="28"/>
          <w:lang w:val="ro-MD" w:eastAsia="en-US"/>
        </w:rPr>
        <w:t xml:space="preserve"> au fost realizate în lipsa aprobării de </w:t>
      </w:r>
      <w:r w:rsidR="00C54761" w:rsidRPr="002751FC">
        <w:rPr>
          <w:rFonts w:asciiTheme="majorHAnsi" w:hAnsiTheme="majorHAnsi" w:cstheme="majorHAnsi"/>
          <w:b w:val="0"/>
          <w:bCs w:val="0"/>
          <w:sz w:val="28"/>
          <w:szCs w:val="28"/>
          <w:lang w:val="ro-MD" w:eastAsia="en-US"/>
        </w:rPr>
        <w:t>CC</w:t>
      </w:r>
      <w:r w:rsidRPr="002751FC">
        <w:rPr>
          <w:rFonts w:asciiTheme="majorHAnsi" w:hAnsiTheme="majorHAnsi" w:cstheme="majorHAnsi"/>
          <w:b w:val="0"/>
          <w:bCs w:val="0"/>
          <w:sz w:val="28"/>
          <w:szCs w:val="28"/>
          <w:lang w:val="ro-MD" w:eastAsia="en-US"/>
        </w:rPr>
        <w:t xml:space="preserve"> și identific</w:t>
      </w:r>
      <w:r w:rsidR="00676BF3" w:rsidRPr="002751FC">
        <w:rPr>
          <w:rFonts w:asciiTheme="majorHAnsi" w:hAnsiTheme="majorHAnsi" w:cstheme="majorHAnsi"/>
          <w:b w:val="0"/>
          <w:bCs w:val="0"/>
          <w:sz w:val="28"/>
          <w:szCs w:val="28"/>
          <w:lang w:val="ro-MD" w:eastAsia="en-US"/>
        </w:rPr>
        <w:t>ării</w:t>
      </w:r>
      <w:r w:rsidRPr="002751FC">
        <w:rPr>
          <w:rFonts w:asciiTheme="majorHAnsi" w:hAnsiTheme="majorHAnsi" w:cstheme="majorHAnsi"/>
          <w:b w:val="0"/>
          <w:bCs w:val="0"/>
          <w:sz w:val="28"/>
          <w:szCs w:val="28"/>
          <w:lang w:val="ro-MD" w:eastAsia="en-US"/>
        </w:rPr>
        <w:t xml:space="preserve"> resurselor financiare de acoperire.</w:t>
      </w:r>
    </w:p>
    <w:p w:rsidR="002B0C1F" w:rsidRPr="002751FC" w:rsidRDefault="002B0C1F" w:rsidP="00243401">
      <w:pPr>
        <w:pStyle w:val="cp"/>
        <w:ind w:left="567"/>
        <w:jc w:val="both"/>
        <w:rPr>
          <w:rFonts w:asciiTheme="majorHAnsi" w:hAnsiTheme="majorHAnsi" w:cstheme="majorHAnsi"/>
          <w:b w:val="0"/>
          <w:bCs w:val="0"/>
          <w:sz w:val="28"/>
          <w:szCs w:val="28"/>
          <w:lang w:val="ro-MD" w:eastAsia="en-US"/>
        </w:rPr>
      </w:pPr>
    </w:p>
    <w:p w:rsidR="002B0C1F" w:rsidRPr="002751FC" w:rsidRDefault="002B0C1F" w:rsidP="00243401">
      <w:pPr>
        <w:pStyle w:val="cp"/>
        <w:jc w:val="both"/>
        <w:rPr>
          <w:rFonts w:asciiTheme="majorHAnsi" w:hAnsiTheme="majorHAnsi" w:cstheme="majorHAnsi"/>
          <w:b w:val="0"/>
          <w:bCs w:val="0"/>
          <w:i/>
          <w:sz w:val="28"/>
          <w:szCs w:val="28"/>
          <w:lang w:val="ro-MD" w:eastAsia="en-US"/>
        </w:rPr>
      </w:pPr>
      <w:r w:rsidRPr="002751FC">
        <w:rPr>
          <w:rFonts w:asciiTheme="majorHAnsi" w:hAnsiTheme="majorHAnsi" w:cstheme="majorHAnsi"/>
          <w:b w:val="0"/>
          <w:bCs w:val="0"/>
          <w:sz w:val="28"/>
          <w:szCs w:val="28"/>
          <w:lang w:val="ro-MD" w:eastAsia="en-US"/>
        </w:rPr>
        <w:t xml:space="preserve">De </w:t>
      </w:r>
      <w:r w:rsidR="00C54761" w:rsidRPr="002751FC">
        <w:rPr>
          <w:rFonts w:asciiTheme="majorHAnsi" w:hAnsiTheme="majorHAnsi" w:cstheme="majorHAnsi"/>
          <w:b w:val="0"/>
          <w:bCs w:val="0"/>
          <w:sz w:val="28"/>
          <w:szCs w:val="28"/>
          <w:lang w:val="ro-MD" w:eastAsia="en-US"/>
        </w:rPr>
        <w:t>menționat</w:t>
      </w:r>
      <w:r w:rsidRPr="002751FC">
        <w:rPr>
          <w:rFonts w:asciiTheme="majorHAnsi" w:hAnsiTheme="majorHAnsi" w:cstheme="majorHAnsi"/>
          <w:b w:val="0"/>
          <w:bCs w:val="0"/>
          <w:sz w:val="28"/>
          <w:szCs w:val="28"/>
          <w:lang w:val="ro-MD" w:eastAsia="en-US"/>
        </w:rPr>
        <w:t xml:space="preserve"> că nivelul de realizare a bugetului pentru anul 2018 la component</w:t>
      </w:r>
      <w:r w:rsidR="00676BF3" w:rsidRPr="002751FC">
        <w:rPr>
          <w:rFonts w:asciiTheme="majorHAnsi" w:hAnsiTheme="majorHAnsi" w:cstheme="majorHAnsi"/>
          <w:b w:val="0"/>
          <w:bCs w:val="0"/>
          <w:sz w:val="28"/>
          <w:szCs w:val="28"/>
          <w:lang w:val="ro-MD" w:eastAsia="en-US"/>
        </w:rPr>
        <w:t>a</w:t>
      </w:r>
      <w:r w:rsidRPr="002751FC">
        <w:rPr>
          <w:rFonts w:asciiTheme="majorHAnsi" w:hAnsiTheme="majorHAnsi" w:cstheme="majorHAnsi"/>
          <w:b w:val="0"/>
          <w:bCs w:val="0"/>
          <w:sz w:val="28"/>
          <w:szCs w:val="28"/>
          <w:lang w:val="ro-MD" w:eastAsia="en-US"/>
        </w:rPr>
        <w:t xml:space="preserve"> dat</w:t>
      </w:r>
      <w:r w:rsidR="00C54761" w:rsidRPr="002751FC">
        <w:rPr>
          <w:rFonts w:asciiTheme="majorHAnsi" w:hAnsiTheme="majorHAnsi" w:cstheme="majorHAnsi"/>
          <w:b w:val="0"/>
          <w:bCs w:val="0"/>
          <w:sz w:val="28"/>
          <w:szCs w:val="28"/>
          <w:lang w:val="ro-MD" w:eastAsia="en-US"/>
        </w:rPr>
        <w:t>ă</w:t>
      </w:r>
      <w:r w:rsidRPr="002751FC">
        <w:rPr>
          <w:rFonts w:asciiTheme="majorHAnsi" w:hAnsiTheme="majorHAnsi" w:cstheme="majorHAnsi"/>
          <w:b w:val="0"/>
          <w:bCs w:val="0"/>
          <w:sz w:val="28"/>
          <w:szCs w:val="28"/>
          <w:lang w:val="ro-MD" w:eastAsia="en-US"/>
        </w:rPr>
        <w:t xml:space="preserve"> a constituit 62,9%</w:t>
      </w:r>
      <w:r w:rsidR="00676BF3" w:rsidRPr="002751FC">
        <w:rPr>
          <w:rFonts w:asciiTheme="majorHAnsi" w:hAnsiTheme="majorHAnsi" w:cstheme="majorHAnsi"/>
          <w:b w:val="0"/>
          <w:bCs w:val="0"/>
          <w:sz w:val="28"/>
          <w:szCs w:val="28"/>
          <w:lang w:val="ro-MD" w:eastAsia="en-US"/>
        </w:rPr>
        <w:t>,</w:t>
      </w:r>
      <w:r w:rsidRPr="002751FC">
        <w:rPr>
          <w:rFonts w:asciiTheme="majorHAnsi" w:hAnsiTheme="majorHAnsi" w:cstheme="majorHAnsi"/>
          <w:b w:val="0"/>
          <w:bCs w:val="0"/>
          <w:sz w:val="28"/>
          <w:szCs w:val="28"/>
          <w:lang w:val="ro-MD" w:eastAsia="en-US"/>
        </w:rPr>
        <w:t xml:space="preserve"> sau 30,5 </w:t>
      </w:r>
      <w:proofErr w:type="spellStart"/>
      <w:r w:rsidRPr="002751FC">
        <w:rPr>
          <w:rFonts w:asciiTheme="majorHAnsi" w:hAnsiTheme="majorHAnsi" w:cstheme="majorHAnsi"/>
          <w:b w:val="0"/>
          <w:bCs w:val="0"/>
          <w:sz w:val="28"/>
          <w:szCs w:val="28"/>
          <w:lang w:val="ro-MD" w:eastAsia="en-US"/>
        </w:rPr>
        <w:t>mil.MDL</w:t>
      </w:r>
      <w:proofErr w:type="spellEnd"/>
      <w:r w:rsidRPr="002751FC">
        <w:rPr>
          <w:rFonts w:asciiTheme="majorHAnsi" w:hAnsiTheme="majorHAnsi" w:cstheme="majorHAnsi"/>
          <w:b w:val="0"/>
          <w:bCs w:val="0"/>
          <w:sz w:val="28"/>
          <w:szCs w:val="28"/>
          <w:lang w:val="ro-MD" w:eastAsia="en-US"/>
        </w:rPr>
        <w:t xml:space="preserve"> din 48,5 </w:t>
      </w:r>
      <w:proofErr w:type="spellStart"/>
      <w:r w:rsidRPr="002751FC">
        <w:rPr>
          <w:rFonts w:asciiTheme="majorHAnsi" w:hAnsiTheme="majorHAnsi" w:cstheme="majorHAnsi"/>
          <w:b w:val="0"/>
          <w:bCs w:val="0"/>
          <w:sz w:val="28"/>
          <w:szCs w:val="28"/>
          <w:lang w:val="ro-MD" w:eastAsia="en-US"/>
        </w:rPr>
        <w:t>mil.MDL</w:t>
      </w:r>
      <w:proofErr w:type="spellEnd"/>
      <w:r w:rsidRPr="002751FC">
        <w:rPr>
          <w:rFonts w:asciiTheme="majorHAnsi" w:hAnsiTheme="majorHAnsi" w:cstheme="majorHAnsi"/>
          <w:b w:val="0"/>
          <w:bCs w:val="0"/>
          <w:sz w:val="28"/>
          <w:szCs w:val="28"/>
          <w:lang w:val="ro-MD" w:eastAsia="en-US"/>
        </w:rPr>
        <w:t xml:space="preserve"> precizate de Consiliu. În anul 2018, nu au fost realizate 16 măsuri în valoare totală de 8,4 </w:t>
      </w:r>
      <w:proofErr w:type="spellStart"/>
      <w:r w:rsidRPr="002751FC">
        <w:rPr>
          <w:rFonts w:asciiTheme="majorHAnsi" w:hAnsiTheme="majorHAnsi" w:cstheme="majorHAnsi"/>
          <w:b w:val="0"/>
          <w:bCs w:val="0"/>
          <w:sz w:val="28"/>
          <w:szCs w:val="28"/>
          <w:lang w:val="ro-MD" w:eastAsia="en-US"/>
        </w:rPr>
        <w:t>mil.MDL</w:t>
      </w:r>
      <w:proofErr w:type="spellEnd"/>
      <w:r w:rsidRPr="002751FC">
        <w:rPr>
          <w:rFonts w:asciiTheme="majorHAnsi" w:hAnsiTheme="majorHAnsi" w:cstheme="majorHAnsi"/>
          <w:b w:val="0"/>
          <w:bCs w:val="0"/>
          <w:sz w:val="28"/>
          <w:szCs w:val="28"/>
          <w:lang w:val="ro-MD" w:eastAsia="en-US"/>
        </w:rPr>
        <w:t xml:space="preserve">. </w:t>
      </w:r>
      <w:r w:rsidRPr="002751FC">
        <w:rPr>
          <w:rFonts w:asciiTheme="majorHAnsi" w:hAnsiTheme="majorHAnsi" w:cstheme="majorHAnsi"/>
          <w:b w:val="0"/>
          <w:bCs w:val="0"/>
          <w:i/>
          <w:sz w:val="28"/>
          <w:szCs w:val="28"/>
          <w:lang w:val="ro-MD" w:eastAsia="en-US"/>
        </w:rPr>
        <w:t>Sinteza nivelului de realizare a măsurilor aprobate de Consiliu se prezintă în Tabelul nr.6.</w:t>
      </w:r>
    </w:p>
    <w:p w:rsidR="002B0C1F" w:rsidRPr="002751FC" w:rsidRDefault="002B0C1F" w:rsidP="00243401">
      <w:pPr>
        <w:pStyle w:val="cp"/>
        <w:jc w:val="right"/>
        <w:rPr>
          <w:rFonts w:asciiTheme="majorHAnsi" w:hAnsiTheme="majorHAnsi" w:cstheme="majorHAnsi"/>
          <w:bCs w:val="0"/>
          <w:sz w:val="20"/>
          <w:szCs w:val="20"/>
          <w:lang w:val="ro-MD" w:eastAsia="en-US"/>
        </w:rPr>
      </w:pPr>
    </w:p>
    <w:p w:rsidR="002B0C1F" w:rsidRPr="002751FC" w:rsidRDefault="002B0C1F" w:rsidP="00243401">
      <w:pPr>
        <w:pStyle w:val="cp"/>
        <w:jc w:val="right"/>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Tabelul nr.6</w:t>
      </w:r>
    </w:p>
    <w:p w:rsidR="002B0C1F" w:rsidRPr="002751FC" w:rsidRDefault="002B0C1F" w:rsidP="001B06C2">
      <w:pPr>
        <w:pStyle w:val="cp"/>
        <w:rPr>
          <w:rFonts w:asciiTheme="majorHAnsi" w:hAnsiTheme="majorHAnsi" w:cstheme="majorHAnsi"/>
          <w:bCs w:val="0"/>
          <w:sz w:val="20"/>
          <w:szCs w:val="20"/>
          <w:lang w:val="ro-MD" w:eastAsia="en-US"/>
        </w:rPr>
      </w:pPr>
      <w:r w:rsidRPr="002751FC">
        <w:rPr>
          <w:rFonts w:asciiTheme="majorHAnsi" w:hAnsiTheme="majorHAnsi" w:cstheme="majorHAnsi"/>
          <w:bCs w:val="0"/>
          <w:sz w:val="20"/>
          <w:szCs w:val="20"/>
          <w:lang w:val="ro-MD" w:eastAsia="en-US"/>
        </w:rPr>
        <w:t>Sinteza realizării măsurilor în cadrul componentei „Marketing și dezvoltarea piețe</w:t>
      </w:r>
      <w:r w:rsidR="00C54761" w:rsidRPr="002751FC">
        <w:rPr>
          <w:rFonts w:asciiTheme="majorHAnsi" w:hAnsiTheme="majorHAnsi" w:cstheme="majorHAnsi"/>
          <w:bCs w:val="0"/>
          <w:sz w:val="20"/>
          <w:szCs w:val="20"/>
          <w:lang w:val="ro-MD" w:eastAsia="en-US"/>
        </w:rPr>
        <w:t>i</w:t>
      </w:r>
      <w:r w:rsidRPr="002751FC">
        <w:rPr>
          <w:rFonts w:asciiTheme="majorHAnsi" w:hAnsiTheme="majorHAnsi" w:cstheme="majorHAnsi"/>
          <w:bCs w:val="0"/>
          <w:sz w:val="20"/>
          <w:szCs w:val="20"/>
          <w:lang w:val="ro-MD" w:eastAsia="en-US"/>
        </w:rPr>
        <w:t xml:space="preserve">”, </w:t>
      </w:r>
      <w:proofErr w:type="spellStart"/>
      <w:r w:rsidRPr="002751FC">
        <w:rPr>
          <w:rFonts w:asciiTheme="majorHAnsi" w:hAnsiTheme="majorHAnsi" w:cstheme="majorHAnsi"/>
          <w:bCs w:val="0"/>
          <w:sz w:val="20"/>
          <w:szCs w:val="20"/>
          <w:lang w:val="ro-MD" w:eastAsia="en-US"/>
        </w:rPr>
        <w:t>mil.MDL</w:t>
      </w:r>
      <w:proofErr w:type="spellEnd"/>
    </w:p>
    <w:tbl>
      <w:tblPr>
        <w:tblStyle w:val="ae"/>
        <w:tblW w:w="9923" w:type="dxa"/>
        <w:shd w:val="clear" w:color="auto" w:fill="FFFF00"/>
        <w:tblLayout w:type="fixed"/>
        <w:tblLook w:val="04A0" w:firstRow="1" w:lastRow="0" w:firstColumn="1" w:lastColumn="0" w:noHBand="0" w:noVBand="1"/>
      </w:tblPr>
      <w:tblGrid>
        <w:gridCol w:w="530"/>
        <w:gridCol w:w="1360"/>
        <w:gridCol w:w="610"/>
        <w:gridCol w:w="668"/>
        <w:gridCol w:w="668"/>
        <w:gridCol w:w="835"/>
        <w:gridCol w:w="502"/>
        <w:gridCol w:w="668"/>
        <w:gridCol w:w="500"/>
        <w:gridCol w:w="836"/>
        <w:gridCol w:w="756"/>
        <w:gridCol w:w="1990"/>
      </w:tblGrid>
      <w:tr w:rsidR="002B0C1F" w:rsidRPr="002751FC" w:rsidTr="00704AE0">
        <w:trPr>
          <w:cantSplit/>
          <w:trHeight w:val="206"/>
        </w:trPr>
        <w:tc>
          <w:tcPr>
            <w:tcW w:w="530" w:type="dxa"/>
            <w:vMerge w:val="restart"/>
            <w:shd w:val="clear" w:color="auto" w:fill="DEEAF6" w:themeFill="accent1" w:themeFillTint="33"/>
            <w:vAlign w:val="center"/>
          </w:tcPr>
          <w:p w:rsidR="002B0C1F" w:rsidRPr="002751FC" w:rsidRDefault="002B0C1F" w:rsidP="00C54761">
            <w:pPr>
              <w:pStyle w:val="cp"/>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Nr. d/o</w:t>
            </w:r>
          </w:p>
        </w:tc>
        <w:tc>
          <w:tcPr>
            <w:tcW w:w="1360" w:type="dxa"/>
            <w:vMerge w:val="restart"/>
            <w:shd w:val="clear" w:color="auto" w:fill="DEEAF6" w:themeFill="accent1" w:themeFillTint="33"/>
            <w:vAlign w:val="center"/>
          </w:tcPr>
          <w:p w:rsidR="002B0C1F" w:rsidRPr="002751FC" w:rsidRDefault="002B0C1F" w:rsidP="00C54761">
            <w:pPr>
              <w:pStyle w:val="cp"/>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Denumirea</w:t>
            </w:r>
          </w:p>
        </w:tc>
        <w:tc>
          <w:tcPr>
            <w:tcW w:w="2781" w:type="dxa"/>
            <w:gridSpan w:val="4"/>
            <w:shd w:val="clear" w:color="auto" w:fill="DEEAF6" w:themeFill="accent1" w:themeFillTint="33"/>
            <w:vAlign w:val="center"/>
          </w:tcPr>
          <w:p w:rsidR="002B0C1F" w:rsidRPr="002751FC" w:rsidRDefault="00C54761" w:rsidP="0038752A">
            <w:pPr>
              <w:pStyle w:val="cp"/>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 xml:space="preserve">Numărul de </w:t>
            </w:r>
            <w:r w:rsidR="002B0C1F" w:rsidRPr="002751FC">
              <w:rPr>
                <w:rFonts w:asciiTheme="majorHAnsi" w:hAnsiTheme="majorHAnsi" w:cstheme="majorHAnsi"/>
                <w:bCs w:val="0"/>
                <w:sz w:val="16"/>
                <w:szCs w:val="16"/>
                <w:lang w:val="ro-MD" w:eastAsia="en-US"/>
              </w:rPr>
              <w:t>măsuri</w:t>
            </w:r>
          </w:p>
        </w:tc>
        <w:tc>
          <w:tcPr>
            <w:tcW w:w="2506" w:type="dxa"/>
            <w:gridSpan w:val="4"/>
            <w:shd w:val="clear" w:color="auto" w:fill="DEEAF6" w:themeFill="accent1" w:themeFillTint="33"/>
            <w:vAlign w:val="center"/>
          </w:tcPr>
          <w:p w:rsidR="002B0C1F" w:rsidRPr="002751FC" w:rsidRDefault="00C54761" w:rsidP="0038752A">
            <w:pPr>
              <w:pStyle w:val="cp"/>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S</w:t>
            </w:r>
            <w:r w:rsidR="002B0C1F" w:rsidRPr="002751FC">
              <w:rPr>
                <w:rFonts w:asciiTheme="majorHAnsi" w:hAnsiTheme="majorHAnsi" w:cstheme="majorHAnsi"/>
                <w:bCs w:val="0"/>
                <w:sz w:val="16"/>
                <w:szCs w:val="16"/>
                <w:lang w:val="ro-MD" w:eastAsia="en-US"/>
              </w:rPr>
              <w:t>uma</w:t>
            </w:r>
          </w:p>
        </w:tc>
        <w:tc>
          <w:tcPr>
            <w:tcW w:w="756" w:type="dxa"/>
            <w:vMerge w:val="restart"/>
            <w:shd w:val="clear" w:color="auto" w:fill="DEEAF6" w:themeFill="accent1" w:themeFillTint="33"/>
            <w:textDirection w:val="btLr"/>
            <w:vAlign w:val="center"/>
          </w:tcPr>
          <w:p w:rsidR="002B0C1F" w:rsidRPr="002751FC" w:rsidRDefault="002B0C1F" w:rsidP="00900C68">
            <w:pPr>
              <w:pStyle w:val="cp"/>
              <w:ind w:left="113" w:right="113"/>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w:t>
            </w:r>
            <w:r w:rsidR="00E033B9">
              <w:rPr>
                <w:rFonts w:asciiTheme="majorHAnsi" w:hAnsiTheme="majorHAnsi" w:cstheme="majorHAnsi"/>
                <w:bCs w:val="0"/>
                <w:sz w:val="16"/>
                <w:szCs w:val="16"/>
                <w:lang w:val="ro-MD" w:eastAsia="en-US"/>
              </w:rPr>
              <w:t xml:space="preserve"> </w:t>
            </w:r>
            <w:r w:rsidRPr="002751FC">
              <w:rPr>
                <w:rFonts w:asciiTheme="majorHAnsi" w:hAnsiTheme="majorHAnsi" w:cstheme="majorHAnsi"/>
                <w:bCs w:val="0"/>
                <w:sz w:val="16"/>
                <w:szCs w:val="16"/>
                <w:lang w:val="ro-MD" w:eastAsia="en-US"/>
              </w:rPr>
              <w:t>realizării</w:t>
            </w:r>
          </w:p>
        </w:tc>
        <w:tc>
          <w:tcPr>
            <w:tcW w:w="1990" w:type="dxa"/>
            <w:vMerge w:val="restart"/>
            <w:shd w:val="clear" w:color="auto" w:fill="DEEAF6" w:themeFill="accent1" w:themeFillTint="33"/>
            <w:vAlign w:val="center"/>
          </w:tcPr>
          <w:p w:rsidR="002B0C1F" w:rsidRPr="002751FC" w:rsidRDefault="002B0C1F" w:rsidP="00C54761">
            <w:pPr>
              <w:pStyle w:val="cp"/>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M</w:t>
            </w:r>
            <w:r w:rsidR="00C54761" w:rsidRPr="002751FC">
              <w:rPr>
                <w:rFonts w:asciiTheme="majorHAnsi" w:hAnsiTheme="majorHAnsi" w:cstheme="majorHAnsi"/>
                <w:bCs w:val="0"/>
                <w:sz w:val="16"/>
                <w:szCs w:val="16"/>
                <w:lang w:val="ro-MD" w:eastAsia="en-US"/>
              </w:rPr>
              <w:t>ă</w:t>
            </w:r>
            <w:r w:rsidRPr="002751FC">
              <w:rPr>
                <w:rFonts w:asciiTheme="majorHAnsi" w:hAnsiTheme="majorHAnsi" w:cstheme="majorHAnsi"/>
                <w:bCs w:val="0"/>
                <w:sz w:val="16"/>
                <w:szCs w:val="16"/>
                <w:lang w:val="ro-MD" w:eastAsia="en-US"/>
              </w:rPr>
              <w:t>suri nerealizate</w:t>
            </w:r>
          </w:p>
        </w:tc>
      </w:tr>
      <w:tr w:rsidR="002B0C1F" w:rsidRPr="002751FC" w:rsidTr="0038752A">
        <w:trPr>
          <w:cantSplit/>
          <w:trHeight w:val="756"/>
        </w:trPr>
        <w:tc>
          <w:tcPr>
            <w:tcW w:w="530" w:type="dxa"/>
            <w:vMerge/>
            <w:shd w:val="clear" w:color="auto" w:fill="DEEAF6" w:themeFill="accent1" w:themeFillTint="33"/>
          </w:tcPr>
          <w:p w:rsidR="002B0C1F" w:rsidRPr="002751FC" w:rsidRDefault="002B0C1F" w:rsidP="00243401">
            <w:pPr>
              <w:pStyle w:val="cp"/>
              <w:jc w:val="right"/>
              <w:rPr>
                <w:rFonts w:asciiTheme="majorHAnsi" w:hAnsiTheme="majorHAnsi" w:cstheme="majorHAnsi"/>
                <w:bCs w:val="0"/>
                <w:sz w:val="16"/>
                <w:szCs w:val="16"/>
                <w:lang w:val="ro-MD" w:eastAsia="en-US"/>
              </w:rPr>
            </w:pPr>
          </w:p>
        </w:tc>
        <w:tc>
          <w:tcPr>
            <w:tcW w:w="1360" w:type="dxa"/>
            <w:vMerge/>
            <w:shd w:val="clear" w:color="auto" w:fill="DEEAF6" w:themeFill="accent1" w:themeFillTint="33"/>
          </w:tcPr>
          <w:p w:rsidR="002B0C1F" w:rsidRPr="002751FC" w:rsidRDefault="002B0C1F" w:rsidP="00243401">
            <w:pPr>
              <w:pStyle w:val="cp"/>
              <w:jc w:val="right"/>
              <w:rPr>
                <w:rFonts w:asciiTheme="majorHAnsi" w:hAnsiTheme="majorHAnsi" w:cstheme="majorHAnsi"/>
                <w:bCs w:val="0"/>
                <w:sz w:val="16"/>
                <w:szCs w:val="16"/>
                <w:lang w:val="ro-MD" w:eastAsia="en-US"/>
              </w:rPr>
            </w:pPr>
          </w:p>
        </w:tc>
        <w:tc>
          <w:tcPr>
            <w:tcW w:w="610" w:type="dxa"/>
            <w:shd w:val="clear" w:color="auto" w:fill="DEEAF6" w:themeFill="accent1" w:themeFillTint="33"/>
            <w:textDirection w:val="btLr"/>
          </w:tcPr>
          <w:p w:rsidR="002B0C1F" w:rsidRPr="002751FC" w:rsidRDefault="002B0C1F" w:rsidP="00243401">
            <w:pPr>
              <w:pStyle w:val="cp"/>
              <w:ind w:left="113" w:right="113"/>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aprobat</w:t>
            </w:r>
          </w:p>
        </w:tc>
        <w:tc>
          <w:tcPr>
            <w:tcW w:w="668" w:type="dxa"/>
            <w:shd w:val="clear" w:color="auto" w:fill="DEEAF6" w:themeFill="accent1" w:themeFillTint="33"/>
            <w:textDirection w:val="btLr"/>
          </w:tcPr>
          <w:p w:rsidR="002B0C1F" w:rsidRPr="002751FC" w:rsidRDefault="002B0C1F" w:rsidP="00243401">
            <w:pPr>
              <w:pStyle w:val="cp"/>
              <w:ind w:left="113" w:right="113"/>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precizat</w:t>
            </w:r>
          </w:p>
        </w:tc>
        <w:tc>
          <w:tcPr>
            <w:tcW w:w="668" w:type="dxa"/>
            <w:shd w:val="clear" w:color="auto" w:fill="DEEAF6" w:themeFill="accent1" w:themeFillTint="33"/>
            <w:textDirection w:val="btLr"/>
          </w:tcPr>
          <w:p w:rsidR="002B0C1F" w:rsidRPr="002751FC" w:rsidRDefault="002B0C1F" w:rsidP="00243401">
            <w:pPr>
              <w:pStyle w:val="cp"/>
              <w:ind w:left="113" w:right="113"/>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realizat</w:t>
            </w:r>
          </w:p>
        </w:tc>
        <w:tc>
          <w:tcPr>
            <w:tcW w:w="835" w:type="dxa"/>
            <w:shd w:val="clear" w:color="auto" w:fill="DEEAF6" w:themeFill="accent1" w:themeFillTint="33"/>
            <w:textDirection w:val="btLr"/>
          </w:tcPr>
          <w:p w:rsidR="002B0C1F" w:rsidRPr="002751FC" w:rsidRDefault="00C54761" w:rsidP="00676BF3">
            <w:pPr>
              <w:pStyle w:val="cp"/>
              <w:ind w:left="113" w:right="113"/>
              <w:jc w:val="both"/>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d</w:t>
            </w:r>
            <w:r w:rsidR="002B0C1F" w:rsidRPr="002751FC">
              <w:rPr>
                <w:rFonts w:asciiTheme="majorHAnsi" w:hAnsiTheme="majorHAnsi" w:cstheme="majorHAnsi"/>
                <w:bCs w:val="0"/>
                <w:sz w:val="16"/>
                <w:szCs w:val="16"/>
                <w:lang w:val="ro-MD" w:eastAsia="en-US"/>
              </w:rPr>
              <w:t>evieri realizat/ precizat</w:t>
            </w:r>
          </w:p>
        </w:tc>
        <w:tc>
          <w:tcPr>
            <w:tcW w:w="502" w:type="dxa"/>
            <w:shd w:val="clear" w:color="auto" w:fill="DEEAF6" w:themeFill="accent1" w:themeFillTint="33"/>
            <w:textDirection w:val="btLr"/>
          </w:tcPr>
          <w:p w:rsidR="002B0C1F" w:rsidRPr="002751FC" w:rsidRDefault="002B0C1F" w:rsidP="00243401">
            <w:pPr>
              <w:pStyle w:val="cp"/>
              <w:ind w:left="113" w:right="113"/>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aprobat</w:t>
            </w:r>
          </w:p>
        </w:tc>
        <w:tc>
          <w:tcPr>
            <w:tcW w:w="668" w:type="dxa"/>
            <w:shd w:val="clear" w:color="auto" w:fill="DEEAF6" w:themeFill="accent1" w:themeFillTint="33"/>
            <w:textDirection w:val="btLr"/>
          </w:tcPr>
          <w:p w:rsidR="002B0C1F" w:rsidRPr="002751FC" w:rsidRDefault="002B0C1F" w:rsidP="00243401">
            <w:pPr>
              <w:pStyle w:val="cp"/>
              <w:ind w:left="113" w:right="113"/>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precizat</w:t>
            </w:r>
          </w:p>
        </w:tc>
        <w:tc>
          <w:tcPr>
            <w:tcW w:w="500" w:type="dxa"/>
            <w:shd w:val="clear" w:color="auto" w:fill="DEEAF6" w:themeFill="accent1" w:themeFillTint="33"/>
            <w:textDirection w:val="btLr"/>
          </w:tcPr>
          <w:p w:rsidR="002B0C1F" w:rsidRPr="002751FC" w:rsidRDefault="002B0C1F" w:rsidP="00243401">
            <w:pPr>
              <w:pStyle w:val="cp"/>
              <w:ind w:left="113" w:right="113"/>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realizat</w:t>
            </w:r>
          </w:p>
        </w:tc>
        <w:tc>
          <w:tcPr>
            <w:tcW w:w="836" w:type="dxa"/>
            <w:shd w:val="clear" w:color="auto" w:fill="DEEAF6" w:themeFill="accent1" w:themeFillTint="33"/>
            <w:textDirection w:val="btLr"/>
          </w:tcPr>
          <w:p w:rsidR="002B0C1F" w:rsidRPr="002751FC" w:rsidRDefault="00C54761" w:rsidP="00676BF3">
            <w:pPr>
              <w:pStyle w:val="cp"/>
              <w:ind w:left="113" w:right="113"/>
              <w:jc w:val="both"/>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d</w:t>
            </w:r>
            <w:r w:rsidR="002B0C1F" w:rsidRPr="002751FC">
              <w:rPr>
                <w:rFonts w:asciiTheme="majorHAnsi" w:hAnsiTheme="majorHAnsi" w:cstheme="majorHAnsi"/>
                <w:bCs w:val="0"/>
                <w:sz w:val="16"/>
                <w:szCs w:val="16"/>
                <w:lang w:val="ro-MD" w:eastAsia="en-US"/>
              </w:rPr>
              <w:t>evieri realizat/ precizat</w:t>
            </w:r>
          </w:p>
        </w:tc>
        <w:tc>
          <w:tcPr>
            <w:tcW w:w="756" w:type="dxa"/>
            <w:vMerge/>
            <w:shd w:val="clear" w:color="auto" w:fill="DEEAF6" w:themeFill="accent1" w:themeFillTint="33"/>
          </w:tcPr>
          <w:p w:rsidR="002B0C1F" w:rsidRPr="002751FC" w:rsidRDefault="002B0C1F" w:rsidP="00243401">
            <w:pPr>
              <w:pStyle w:val="cp"/>
              <w:jc w:val="both"/>
              <w:rPr>
                <w:rFonts w:asciiTheme="majorHAnsi" w:hAnsiTheme="majorHAnsi" w:cstheme="majorHAnsi"/>
                <w:bCs w:val="0"/>
                <w:sz w:val="16"/>
                <w:szCs w:val="16"/>
                <w:lang w:val="ro-MD" w:eastAsia="en-US"/>
              </w:rPr>
            </w:pPr>
          </w:p>
        </w:tc>
        <w:tc>
          <w:tcPr>
            <w:tcW w:w="1990" w:type="dxa"/>
            <w:vMerge/>
            <w:shd w:val="clear" w:color="auto" w:fill="DEEAF6" w:themeFill="accent1" w:themeFillTint="33"/>
          </w:tcPr>
          <w:p w:rsidR="002B0C1F" w:rsidRPr="002751FC" w:rsidRDefault="002B0C1F" w:rsidP="00243401">
            <w:pPr>
              <w:pStyle w:val="cp"/>
              <w:jc w:val="both"/>
              <w:rPr>
                <w:rFonts w:asciiTheme="majorHAnsi" w:hAnsiTheme="majorHAnsi" w:cstheme="majorHAnsi"/>
                <w:bCs w:val="0"/>
                <w:sz w:val="16"/>
                <w:szCs w:val="16"/>
                <w:lang w:val="ro-MD" w:eastAsia="en-US"/>
              </w:rPr>
            </w:pPr>
          </w:p>
        </w:tc>
      </w:tr>
      <w:tr w:rsidR="002B0C1F" w:rsidRPr="002751FC" w:rsidTr="008E6A80">
        <w:trPr>
          <w:trHeight w:val="179"/>
        </w:trPr>
        <w:tc>
          <w:tcPr>
            <w:tcW w:w="53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w:t>
            </w:r>
          </w:p>
        </w:tc>
        <w:tc>
          <w:tcPr>
            <w:tcW w:w="1360" w:type="dxa"/>
            <w:shd w:val="clear" w:color="auto" w:fill="FFFFFF" w:themeFill="background1"/>
          </w:tcPr>
          <w:p w:rsidR="002B0C1F" w:rsidRPr="002751FC" w:rsidRDefault="002B0C1F" w:rsidP="00243401">
            <w:pPr>
              <w:pStyle w:val="cp"/>
              <w:jc w:val="lef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RM</w:t>
            </w:r>
          </w:p>
        </w:tc>
        <w:tc>
          <w:tcPr>
            <w:tcW w:w="61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9</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12</w:t>
            </w:r>
            <w:r w:rsidRPr="002751FC">
              <w:rPr>
                <w:rStyle w:val="ab"/>
                <w:rFonts w:asciiTheme="majorHAnsi" w:hAnsiTheme="majorHAnsi" w:cstheme="majorHAnsi"/>
                <w:b w:val="0"/>
                <w:bCs w:val="0"/>
                <w:sz w:val="16"/>
                <w:szCs w:val="16"/>
                <w:lang w:val="ro-MD" w:eastAsia="en-US"/>
              </w:rPr>
              <w:footnoteReference w:id="37"/>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11</w:t>
            </w:r>
          </w:p>
        </w:tc>
        <w:tc>
          <w:tcPr>
            <w:tcW w:w="835"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w:t>
            </w:r>
          </w:p>
        </w:tc>
        <w:tc>
          <w:tcPr>
            <w:tcW w:w="502"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9,1</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10,1</w:t>
            </w:r>
          </w:p>
        </w:tc>
        <w:tc>
          <w:tcPr>
            <w:tcW w:w="50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8,5</w:t>
            </w:r>
          </w:p>
        </w:tc>
        <w:tc>
          <w:tcPr>
            <w:tcW w:w="83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-1,6</w:t>
            </w:r>
          </w:p>
        </w:tc>
        <w:tc>
          <w:tcPr>
            <w:tcW w:w="75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84,2%</w:t>
            </w:r>
          </w:p>
        </w:tc>
        <w:tc>
          <w:tcPr>
            <w:tcW w:w="1990" w:type="dxa"/>
            <w:shd w:val="clear" w:color="auto" w:fill="FFFFFF" w:themeFill="background1"/>
          </w:tcPr>
          <w:p w:rsidR="002B0C1F" w:rsidRPr="002751FC" w:rsidRDefault="002B0C1F" w:rsidP="00243401">
            <w:pPr>
              <w:pStyle w:val="cp"/>
              <w:numPr>
                <w:ilvl w:val="0"/>
                <w:numId w:val="9"/>
              </w:numPr>
              <w:tabs>
                <w:tab w:val="left" w:pos="174"/>
              </w:tabs>
              <w:ind w:left="32" w:firstLine="0"/>
              <w:jc w:val="both"/>
              <w:rPr>
                <w:rFonts w:asciiTheme="majorHAnsi" w:hAnsiTheme="majorHAnsi" w:cstheme="majorHAnsi"/>
                <w:b w:val="0"/>
                <w:bCs w:val="0"/>
                <w:sz w:val="16"/>
                <w:szCs w:val="16"/>
                <w:lang w:val="ro-MD" w:eastAsia="en-US"/>
              </w:rPr>
            </w:pPr>
            <w:proofErr w:type="spellStart"/>
            <w:r w:rsidRPr="002751FC">
              <w:rPr>
                <w:rFonts w:asciiTheme="majorHAnsi" w:hAnsiTheme="majorHAnsi" w:cstheme="majorHAnsi"/>
                <w:b w:val="0"/>
                <w:bCs w:val="0"/>
                <w:sz w:val="16"/>
                <w:szCs w:val="16"/>
                <w:lang w:val="ro-MD" w:eastAsia="en-US"/>
              </w:rPr>
              <w:t>DeVin&amp;DeGust</w:t>
            </w:r>
            <w:proofErr w:type="spellEnd"/>
            <w:r w:rsidRPr="002751FC">
              <w:rPr>
                <w:rFonts w:asciiTheme="majorHAnsi" w:hAnsiTheme="majorHAnsi" w:cstheme="majorHAnsi"/>
                <w:b w:val="0"/>
                <w:bCs w:val="0"/>
                <w:sz w:val="16"/>
                <w:szCs w:val="16"/>
                <w:lang w:val="ro-MD" w:eastAsia="en-US"/>
              </w:rPr>
              <w:t xml:space="preserve"> (Divin) – 0,7 </w:t>
            </w:r>
            <w:proofErr w:type="spellStart"/>
            <w:r w:rsidRPr="002751FC">
              <w:rPr>
                <w:rFonts w:asciiTheme="majorHAnsi" w:hAnsiTheme="majorHAnsi" w:cstheme="majorHAnsi"/>
                <w:b w:val="0"/>
                <w:bCs w:val="0"/>
                <w:sz w:val="16"/>
                <w:szCs w:val="16"/>
                <w:lang w:val="ro-MD" w:eastAsia="en-US"/>
              </w:rPr>
              <w:t>mil.MDL</w:t>
            </w:r>
            <w:proofErr w:type="spellEnd"/>
          </w:p>
        </w:tc>
      </w:tr>
      <w:tr w:rsidR="002B0C1F" w:rsidRPr="002751FC" w:rsidTr="008E6A80">
        <w:trPr>
          <w:trHeight w:val="124"/>
        </w:trPr>
        <w:tc>
          <w:tcPr>
            <w:tcW w:w="53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lastRenderedPageBreak/>
              <w:t>2</w:t>
            </w:r>
          </w:p>
        </w:tc>
        <w:tc>
          <w:tcPr>
            <w:tcW w:w="1360" w:type="dxa"/>
            <w:shd w:val="clear" w:color="auto" w:fill="FFFFFF" w:themeFill="background1"/>
          </w:tcPr>
          <w:p w:rsidR="002B0C1F" w:rsidRPr="002751FC" w:rsidRDefault="002B0C1F" w:rsidP="00243401">
            <w:pPr>
              <w:pStyle w:val="cp"/>
              <w:jc w:val="lef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Polonia</w:t>
            </w:r>
          </w:p>
        </w:tc>
        <w:tc>
          <w:tcPr>
            <w:tcW w:w="61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7</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9</w:t>
            </w:r>
            <w:r w:rsidRPr="002751FC">
              <w:rPr>
                <w:rStyle w:val="ab"/>
                <w:rFonts w:asciiTheme="majorHAnsi" w:hAnsiTheme="majorHAnsi" w:cstheme="majorHAnsi"/>
                <w:b w:val="0"/>
                <w:bCs w:val="0"/>
                <w:sz w:val="16"/>
                <w:szCs w:val="16"/>
                <w:lang w:val="ro-MD" w:eastAsia="en-US"/>
              </w:rPr>
              <w:footnoteReference w:id="38"/>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7</w:t>
            </w:r>
          </w:p>
        </w:tc>
        <w:tc>
          <w:tcPr>
            <w:tcW w:w="835"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-2</w:t>
            </w:r>
          </w:p>
        </w:tc>
        <w:tc>
          <w:tcPr>
            <w:tcW w:w="502"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2,7</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3,4</w:t>
            </w:r>
          </w:p>
        </w:tc>
        <w:tc>
          <w:tcPr>
            <w:tcW w:w="50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2,0</w:t>
            </w:r>
          </w:p>
        </w:tc>
        <w:tc>
          <w:tcPr>
            <w:tcW w:w="83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-1,4</w:t>
            </w:r>
          </w:p>
        </w:tc>
        <w:tc>
          <w:tcPr>
            <w:tcW w:w="75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58,8%</w:t>
            </w:r>
          </w:p>
        </w:tc>
        <w:tc>
          <w:tcPr>
            <w:tcW w:w="1990" w:type="dxa"/>
            <w:shd w:val="clear" w:color="auto" w:fill="FFFFFF" w:themeFill="background1"/>
          </w:tcPr>
          <w:p w:rsidR="002B0C1F" w:rsidRPr="002751FC" w:rsidRDefault="002B0C1F" w:rsidP="00243401">
            <w:pPr>
              <w:pStyle w:val="cp"/>
              <w:numPr>
                <w:ilvl w:val="0"/>
                <w:numId w:val="10"/>
              </w:numPr>
              <w:tabs>
                <w:tab w:val="left" w:pos="217"/>
              </w:tabs>
              <w:ind w:left="0" w:firstLine="0"/>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 xml:space="preserve">B2B </w:t>
            </w:r>
            <w:proofErr w:type="spellStart"/>
            <w:r w:rsidRPr="002751FC">
              <w:rPr>
                <w:rFonts w:asciiTheme="majorHAnsi" w:hAnsiTheme="majorHAnsi" w:cstheme="majorHAnsi"/>
                <w:b w:val="0"/>
                <w:bCs w:val="0"/>
                <w:sz w:val="16"/>
                <w:szCs w:val="16"/>
                <w:lang w:val="ro-MD" w:eastAsia="en-US"/>
              </w:rPr>
              <w:t>matchmaking</w:t>
            </w:r>
            <w:proofErr w:type="spellEnd"/>
            <w:r w:rsidRPr="002751FC">
              <w:rPr>
                <w:rFonts w:asciiTheme="majorHAnsi" w:hAnsiTheme="majorHAnsi" w:cstheme="majorHAnsi"/>
                <w:b w:val="0"/>
                <w:bCs w:val="0"/>
                <w:sz w:val="16"/>
                <w:szCs w:val="16"/>
                <w:lang w:val="ro-MD" w:eastAsia="en-US"/>
              </w:rPr>
              <w:t xml:space="preserve"> trade </w:t>
            </w:r>
            <w:proofErr w:type="spellStart"/>
            <w:r w:rsidRPr="002751FC">
              <w:rPr>
                <w:rFonts w:asciiTheme="majorHAnsi" w:hAnsiTheme="majorHAnsi" w:cstheme="majorHAnsi"/>
                <w:b w:val="0"/>
                <w:bCs w:val="0"/>
                <w:sz w:val="16"/>
                <w:szCs w:val="16"/>
                <w:lang w:val="ro-MD" w:eastAsia="en-US"/>
              </w:rPr>
              <w:t>visit</w:t>
            </w:r>
            <w:proofErr w:type="spellEnd"/>
            <w:r w:rsidRPr="002751FC">
              <w:rPr>
                <w:rFonts w:asciiTheme="majorHAnsi" w:hAnsiTheme="majorHAnsi" w:cstheme="majorHAnsi"/>
                <w:b w:val="0"/>
                <w:bCs w:val="0"/>
                <w:sz w:val="16"/>
                <w:szCs w:val="16"/>
                <w:lang w:val="ro-MD" w:eastAsia="en-US"/>
              </w:rPr>
              <w:t xml:space="preserve"> – 02 </w:t>
            </w:r>
            <w:proofErr w:type="spellStart"/>
            <w:r w:rsidRPr="002751FC">
              <w:rPr>
                <w:rFonts w:asciiTheme="majorHAnsi" w:hAnsiTheme="majorHAnsi" w:cstheme="majorHAnsi"/>
                <w:b w:val="0"/>
                <w:bCs w:val="0"/>
                <w:sz w:val="16"/>
                <w:szCs w:val="16"/>
                <w:lang w:val="ro-MD" w:eastAsia="en-US"/>
              </w:rPr>
              <w:t>mil.</w:t>
            </w:r>
            <w:r w:rsidR="00240B65">
              <w:rPr>
                <w:rFonts w:asciiTheme="majorHAnsi" w:hAnsiTheme="majorHAnsi" w:cstheme="majorHAnsi"/>
                <w:b w:val="0"/>
                <w:bCs w:val="0"/>
                <w:sz w:val="16"/>
                <w:szCs w:val="16"/>
                <w:lang w:val="ro-MD" w:eastAsia="en-US"/>
              </w:rPr>
              <w:t>MDL</w:t>
            </w:r>
            <w:proofErr w:type="spellEnd"/>
          </w:p>
          <w:p w:rsidR="002B0C1F" w:rsidRPr="002751FC" w:rsidRDefault="002B0C1F" w:rsidP="00243401">
            <w:pPr>
              <w:pStyle w:val="cp"/>
              <w:numPr>
                <w:ilvl w:val="0"/>
                <w:numId w:val="10"/>
              </w:numPr>
              <w:tabs>
                <w:tab w:val="left" w:pos="217"/>
              </w:tabs>
              <w:ind w:left="0" w:firstLine="0"/>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 xml:space="preserve">Carrefour FAIR – 0,1 </w:t>
            </w:r>
            <w:proofErr w:type="spellStart"/>
            <w:r w:rsidRPr="002751FC">
              <w:rPr>
                <w:rFonts w:asciiTheme="majorHAnsi" w:hAnsiTheme="majorHAnsi" w:cstheme="majorHAnsi"/>
                <w:b w:val="0"/>
                <w:bCs w:val="0"/>
                <w:sz w:val="16"/>
                <w:szCs w:val="16"/>
                <w:lang w:val="ro-MD" w:eastAsia="en-US"/>
              </w:rPr>
              <w:t>mil.MDL</w:t>
            </w:r>
            <w:proofErr w:type="spellEnd"/>
          </w:p>
        </w:tc>
      </w:tr>
      <w:tr w:rsidR="002B0C1F" w:rsidRPr="002751FC" w:rsidTr="008E6A80">
        <w:trPr>
          <w:trHeight w:val="55"/>
        </w:trPr>
        <w:tc>
          <w:tcPr>
            <w:tcW w:w="53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3</w:t>
            </w:r>
          </w:p>
        </w:tc>
        <w:tc>
          <w:tcPr>
            <w:tcW w:w="1360" w:type="dxa"/>
            <w:shd w:val="clear" w:color="auto" w:fill="FFFFFF" w:themeFill="background1"/>
          </w:tcPr>
          <w:p w:rsidR="002B0C1F" w:rsidRPr="002751FC" w:rsidRDefault="002B0C1F" w:rsidP="00676BF3">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Cehia și Slovacia</w:t>
            </w:r>
          </w:p>
        </w:tc>
        <w:tc>
          <w:tcPr>
            <w:tcW w:w="61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5</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5</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w:t>
            </w:r>
          </w:p>
        </w:tc>
        <w:tc>
          <w:tcPr>
            <w:tcW w:w="835"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-4</w:t>
            </w:r>
          </w:p>
        </w:tc>
        <w:tc>
          <w:tcPr>
            <w:tcW w:w="502"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1,0</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1,0</w:t>
            </w:r>
          </w:p>
        </w:tc>
        <w:tc>
          <w:tcPr>
            <w:tcW w:w="50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0,5</w:t>
            </w:r>
          </w:p>
        </w:tc>
        <w:tc>
          <w:tcPr>
            <w:tcW w:w="83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-0,5</w:t>
            </w:r>
          </w:p>
        </w:tc>
        <w:tc>
          <w:tcPr>
            <w:tcW w:w="75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50%</w:t>
            </w:r>
          </w:p>
        </w:tc>
        <w:tc>
          <w:tcPr>
            <w:tcW w:w="1990" w:type="dxa"/>
            <w:shd w:val="clear" w:color="auto" w:fill="FFFFFF" w:themeFill="background1"/>
          </w:tcPr>
          <w:p w:rsidR="002B0C1F" w:rsidRPr="002751FC" w:rsidRDefault="002B0C1F" w:rsidP="001E702E">
            <w:pPr>
              <w:pStyle w:val="cp"/>
              <w:numPr>
                <w:ilvl w:val="0"/>
                <w:numId w:val="11"/>
              </w:numPr>
              <w:ind w:left="0" w:firstLine="0"/>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 xml:space="preserve">Press </w:t>
            </w:r>
            <w:proofErr w:type="spellStart"/>
            <w:r w:rsidRPr="002751FC">
              <w:rPr>
                <w:rFonts w:asciiTheme="majorHAnsi" w:hAnsiTheme="majorHAnsi" w:cstheme="majorHAnsi"/>
                <w:b w:val="0"/>
                <w:bCs w:val="0"/>
                <w:sz w:val="16"/>
                <w:szCs w:val="16"/>
                <w:lang w:val="ro-MD" w:eastAsia="en-US"/>
              </w:rPr>
              <w:t>visit</w:t>
            </w:r>
            <w:proofErr w:type="spellEnd"/>
            <w:r w:rsidRPr="002751FC">
              <w:rPr>
                <w:rFonts w:asciiTheme="majorHAnsi" w:hAnsiTheme="majorHAnsi" w:cstheme="majorHAnsi"/>
                <w:b w:val="0"/>
                <w:bCs w:val="0"/>
                <w:sz w:val="16"/>
                <w:szCs w:val="16"/>
                <w:lang w:val="ro-MD" w:eastAsia="en-US"/>
              </w:rPr>
              <w:t xml:space="preserve"> – 0,1 </w:t>
            </w:r>
            <w:proofErr w:type="spellStart"/>
            <w:r w:rsidRPr="002751FC">
              <w:rPr>
                <w:rFonts w:asciiTheme="majorHAnsi" w:hAnsiTheme="majorHAnsi" w:cstheme="majorHAnsi"/>
                <w:b w:val="0"/>
                <w:bCs w:val="0"/>
                <w:sz w:val="16"/>
                <w:szCs w:val="16"/>
                <w:lang w:val="ro-MD" w:eastAsia="en-US"/>
              </w:rPr>
              <w:t>mil.MDL</w:t>
            </w:r>
            <w:proofErr w:type="spellEnd"/>
          </w:p>
          <w:p w:rsidR="002B0C1F" w:rsidRPr="002751FC" w:rsidRDefault="002B0C1F" w:rsidP="00243401">
            <w:pPr>
              <w:pStyle w:val="cp"/>
              <w:numPr>
                <w:ilvl w:val="0"/>
                <w:numId w:val="11"/>
              </w:numPr>
              <w:tabs>
                <w:tab w:val="left" w:pos="284"/>
              </w:tabs>
              <w:ind w:left="0" w:firstLine="0"/>
              <w:jc w:val="lef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 xml:space="preserve">Trade </w:t>
            </w:r>
            <w:proofErr w:type="spellStart"/>
            <w:r w:rsidRPr="002751FC">
              <w:rPr>
                <w:rFonts w:asciiTheme="majorHAnsi" w:hAnsiTheme="majorHAnsi" w:cstheme="majorHAnsi"/>
                <w:b w:val="0"/>
                <w:bCs w:val="0"/>
                <w:sz w:val="16"/>
                <w:szCs w:val="16"/>
                <w:lang w:val="ro-MD" w:eastAsia="en-US"/>
              </w:rPr>
              <w:t>visit</w:t>
            </w:r>
            <w:proofErr w:type="spellEnd"/>
            <w:r w:rsidRPr="002751FC">
              <w:rPr>
                <w:rFonts w:asciiTheme="majorHAnsi" w:hAnsiTheme="majorHAnsi" w:cstheme="majorHAnsi"/>
                <w:b w:val="0"/>
                <w:bCs w:val="0"/>
                <w:sz w:val="16"/>
                <w:szCs w:val="16"/>
                <w:lang w:val="ro-MD" w:eastAsia="en-US"/>
              </w:rPr>
              <w:t xml:space="preserve"> – 0,1 </w:t>
            </w:r>
            <w:proofErr w:type="spellStart"/>
            <w:r w:rsidRPr="002751FC">
              <w:rPr>
                <w:rFonts w:asciiTheme="majorHAnsi" w:hAnsiTheme="majorHAnsi" w:cstheme="majorHAnsi"/>
                <w:b w:val="0"/>
                <w:bCs w:val="0"/>
                <w:sz w:val="16"/>
                <w:szCs w:val="16"/>
                <w:lang w:val="ro-MD" w:eastAsia="en-US"/>
              </w:rPr>
              <w:t>mil.MDL</w:t>
            </w:r>
            <w:proofErr w:type="spellEnd"/>
          </w:p>
          <w:p w:rsidR="002B0C1F" w:rsidRPr="002751FC" w:rsidRDefault="002B0C1F" w:rsidP="00243401">
            <w:pPr>
              <w:pStyle w:val="cp"/>
              <w:numPr>
                <w:ilvl w:val="0"/>
                <w:numId w:val="11"/>
              </w:numPr>
              <w:tabs>
                <w:tab w:val="left" w:pos="284"/>
              </w:tabs>
              <w:ind w:left="0" w:firstLine="0"/>
              <w:jc w:val="lef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 xml:space="preserve">B2B </w:t>
            </w:r>
            <w:proofErr w:type="spellStart"/>
            <w:r w:rsidRPr="002751FC">
              <w:rPr>
                <w:rFonts w:asciiTheme="majorHAnsi" w:hAnsiTheme="majorHAnsi" w:cstheme="majorHAnsi"/>
                <w:b w:val="0"/>
                <w:bCs w:val="0"/>
                <w:sz w:val="16"/>
                <w:szCs w:val="16"/>
                <w:lang w:val="ro-MD" w:eastAsia="en-US"/>
              </w:rPr>
              <w:t>marghmaking</w:t>
            </w:r>
            <w:proofErr w:type="spellEnd"/>
            <w:r w:rsidRPr="002751FC">
              <w:rPr>
                <w:rFonts w:asciiTheme="majorHAnsi" w:hAnsiTheme="majorHAnsi" w:cstheme="majorHAnsi"/>
                <w:b w:val="0"/>
                <w:bCs w:val="0"/>
                <w:sz w:val="16"/>
                <w:szCs w:val="16"/>
                <w:lang w:val="ro-MD" w:eastAsia="en-US"/>
              </w:rPr>
              <w:t xml:space="preserve"> – 0,1 </w:t>
            </w:r>
            <w:proofErr w:type="spellStart"/>
            <w:r w:rsidRPr="002751FC">
              <w:rPr>
                <w:rFonts w:asciiTheme="majorHAnsi" w:hAnsiTheme="majorHAnsi" w:cstheme="majorHAnsi"/>
                <w:b w:val="0"/>
                <w:bCs w:val="0"/>
                <w:sz w:val="16"/>
                <w:szCs w:val="16"/>
                <w:lang w:val="ro-MD" w:eastAsia="en-US"/>
              </w:rPr>
              <w:t>mil.MDL</w:t>
            </w:r>
            <w:proofErr w:type="spellEnd"/>
          </w:p>
          <w:p w:rsidR="002B0C1F" w:rsidRPr="002751FC" w:rsidRDefault="002B0C1F" w:rsidP="00243401">
            <w:pPr>
              <w:pStyle w:val="cp"/>
              <w:numPr>
                <w:ilvl w:val="0"/>
                <w:numId w:val="11"/>
              </w:numPr>
              <w:tabs>
                <w:tab w:val="left" w:pos="284"/>
              </w:tabs>
              <w:ind w:left="0" w:firstLine="0"/>
              <w:jc w:val="lef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 xml:space="preserve">Comunicarea generic – 0,2 </w:t>
            </w:r>
            <w:proofErr w:type="spellStart"/>
            <w:r w:rsidRPr="002751FC">
              <w:rPr>
                <w:rFonts w:asciiTheme="majorHAnsi" w:hAnsiTheme="majorHAnsi" w:cstheme="majorHAnsi"/>
                <w:b w:val="0"/>
                <w:bCs w:val="0"/>
                <w:sz w:val="16"/>
                <w:szCs w:val="16"/>
                <w:lang w:val="ro-MD" w:eastAsia="en-US"/>
              </w:rPr>
              <w:t>mil.MDL</w:t>
            </w:r>
            <w:proofErr w:type="spellEnd"/>
          </w:p>
        </w:tc>
      </w:tr>
      <w:tr w:rsidR="002B0C1F" w:rsidRPr="002751FC" w:rsidTr="008E6A80">
        <w:trPr>
          <w:trHeight w:val="133"/>
        </w:trPr>
        <w:tc>
          <w:tcPr>
            <w:tcW w:w="53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4</w:t>
            </w:r>
          </w:p>
        </w:tc>
        <w:tc>
          <w:tcPr>
            <w:tcW w:w="1360" w:type="dxa"/>
            <w:shd w:val="clear" w:color="auto" w:fill="FFFFFF" w:themeFill="background1"/>
          </w:tcPr>
          <w:p w:rsidR="002B0C1F" w:rsidRPr="002751FC" w:rsidRDefault="002B0C1F" w:rsidP="00676BF3">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Rom</w:t>
            </w:r>
            <w:r w:rsidR="00676BF3" w:rsidRPr="002751FC">
              <w:rPr>
                <w:rFonts w:asciiTheme="majorHAnsi" w:hAnsiTheme="majorHAnsi" w:cstheme="majorHAnsi"/>
                <w:b w:val="0"/>
                <w:bCs w:val="0"/>
                <w:sz w:val="16"/>
                <w:szCs w:val="16"/>
                <w:lang w:val="ro-MD" w:eastAsia="en-US"/>
              </w:rPr>
              <w:t>â</w:t>
            </w:r>
            <w:r w:rsidRPr="002751FC">
              <w:rPr>
                <w:rFonts w:asciiTheme="majorHAnsi" w:hAnsiTheme="majorHAnsi" w:cstheme="majorHAnsi"/>
                <w:b w:val="0"/>
                <w:bCs w:val="0"/>
                <w:sz w:val="16"/>
                <w:szCs w:val="16"/>
                <w:lang w:val="ro-MD" w:eastAsia="en-US"/>
              </w:rPr>
              <w:t>nia</w:t>
            </w:r>
          </w:p>
        </w:tc>
        <w:tc>
          <w:tcPr>
            <w:tcW w:w="61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6</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6</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4</w:t>
            </w:r>
          </w:p>
        </w:tc>
        <w:tc>
          <w:tcPr>
            <w:tcW w:w="835"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-2</w:t>
            </w:r>
          </w:p>
        </w:tc>
        <w:tc>
          <w:tcPr>
            <w:tcW w:w="502"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5,6</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5,6</w:t>
            </w:r>
          </w:p>
        </w:tc>
        <w:tc>
          <w:tcPr>
            <w:tcW w:w="50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4,2</w:t>
            </w:r>
          </w:p>
        </w:tc>
        <w:tc>
          <w:tcPr>
            <w:tcW w:w="83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-1,4</w:t>
            </w:r>
          </w:p>
        </w:tc>
        <w:tc>
          <w:tcPr>
            <w:tcW w:w="75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75%</w:t>
            </w:r>
          </w:p>
        </w:tc>
        <w:tc>
          <w:tcPr>
            <w:tcW w:w="1990" w:type="dxa"/>
            <w:shd w:val="clear" w:color="auto" w:fill="FFFFFF" w:themeFill="background1"/>
          </w:tcPr>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 xml:space="preserve">1.Walk </w:t>
            </w:r>
            <w:proofErr w:type="spellStart"/>
            <w:r w:rsidRPr="002751FC">
              <w:rPr>
                <w:rFonts w:asciiTheme="majorHAnsi" w:hAnsiTheme="majorHAnsi" w:cstheme="majorHAnsi"/>
                <w:b w:val="0"/>
                <w:bCs w:val="0"/>
                <w:sz w:val="16"/>
                <w:szCs w:val="16"/>
                <w:lang w:val="ro-MD" w:eastAsia="en-US"/>
              </w:rPr>
              <w:t>around</w:t>
            </w:r>
            <w:proofErr w:type="spellEnd"/>
            <w:r w:rsidRPr="002751FC">
              <w:rPr>
                <w:rFonts w:asciiTheme="majorHAnsi" w:hAnsiTheme="majorHAnsi" w:cstheme="majorHAnsi"/>
                <w:b w:val="0"/>
                <w:bCs w:val="0"/>
                <w:sz w:val="16"/>
                <w:szCs w:val="16"/>
                <w:lang w:val="ro-MD" w:eastAsia="en-US"/>
              </w:rPr>
              <w:t xml:space="preserve"> </w:t>
            </w:r>
            <w:proofErr w:type="spellStart"/>
            <w:r w:rsidRPr="002751FC">
              <w:rPr>
                <w:rFonts w:asciiTheme="majorHAnsi" w:hAnsiTheme="majorHAnsi" w:cstheme="majorHAnsi"/>
                <w:b w:val="0"/>
                <w:bCs w:val="0"/>
                <w:sz w:val="16"/>
                <w:szCs w:val="16"/>
                <w:lang w:val="ro-MD" w:eastAsia="en-US"/>
              </w:rPr>
              <w:t>tasting</w:t>
            </w:r>
            <w:proofErr w:type="spellEnd"/>
            <w:r w:rsidRPr="002751FC">
              <w:rPr>
                <w:rFonts w:asciiTheme="majorHAnsi" w:hAnsiTheme="majorHAnsi" w:cstheme="majorHAnsi"/>
                <w:b w:val="0"/>
                <w:bCs w:val="0"/>
                <w:sz w:val="16"/>
                <w:szCs w:val="16"/>
                <w:lang w:val="ro-MD" w:eastAsia="en-US"/>
              </w:rPr>
              <w:t xml:space="preserve"> – 0,9 </w:t>
            </w:r>
            <w:proofErr w:type="spellStart"/>
            <w:r w:rsidRPr="002751FC">
              <w:rPr>
                <w:rFonts w:asciiTheme="majorHAnsi" w:hAnsiTheme="majorHAnsi" w:cstheme="majorHAnsi"/>
                <w:b w:val="0"/>
                <w:bCs w:val="0"/>
                <w:sz w:val="16"/>
                <w:szCs w:val="16"/>
                <w:lang w:val="ro-MD" w:eastAsia="en-US"/>
              </w:rPr>
              <w:t>mil.MDL</w:t>
            </w:r>
            <w:proofErr w:type="spellEnd"/>
          </w:p>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 xml:space="preserve">1.Trade </w:t>
            </w:r>
            <w:proofErr w:type="spellStart"/>
            <w:r w:rsidRPr="002751FC">
              <w:rPr>
                <w:rFonts w:asciiTheme="majorHAnsi" w:hAnsiTheme="majorHAnsi" w:cstheme="majorHAnsi"/>
                <w:b w:val="0"/>
                <w:bCs w:val="0"/>
                <w:sz w:val="16"/>
                <w:szCs w:val="16"/>
                <w:lang w:val="ro-MD" w:eastAsia="en-US"/>
              </w:rPr>
              <w:t>visit</w:t>
            </w:r>
            <w:proofErr w:type="spellEnd"/>
            <w:r w:rsidRPr="002751FC">
              <w:rPr>
                <w:rFonts w:asciiTheme="majorHAnsi" w:hAnsiTheme="majorHAnsi" w:cstheme="majorHAnsi"/>
                <w:b w:val="0"/>
                <w:bCs w:val="0"/>
                <w:sz w:val="16"/>
                <w:szCs w:val="16"/>
                <w:lang w:val="ro-MD" w:eastAsia="en-US"/>
              </w:rPr>
              <w:t xml:space="preserve"> – 0,1 </w:t>
            </w:r>
            <w:proofErr w:type="spellStart"/>
            <w:r w:rsidRPr="002751FC">
              <w:rPr>
                <w:rFonts w:asciiTheme="majorHAnsi" w:hAnsiTheme="majorHAnsi" w:cstheme="majorHAnsi"/>
                <w:b w:val="0"/>
                <w:bCs w:val="0"/>
                <w:sz w:val="16"/>
                <w:szCs w:val="16"/>
                <w:lang w:val="ro-MD" w:eastAsia="en-US"/>
              </w:rPr>
              <w:t>mil.MDL</w:t>
            </w:r>
            <w:proofErr w:type="spellEnd"/>
          </w:p>
        </w:tc>
      </w:tr>
      <w:tr w:rsidR="002B0C1F" w:rsidRPr="002751FC" w:rsidTr="008E6A80">
        <w:trPr>
          <w:trHeight w:val="133"/>
        </w:trPr>
        <w:tc>
          <w:tcPr>
            <w:tcW w:w="53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5</w:t>
            </w:r>
          </w:p>
        </w:tc>
        <w:tc>
          <w:tcPr>
            <w:tcW w:w="1360" w:type="dxa"/>
            <w:shd w:val="clear" w:color="auto" w:fill="FFFFFF" w:themeFill="background1"/>
          </w:tcPr>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China</w:t>
            </w:r>
          </w:p>
        </w:tc>
        <w:tc>
          <w:tcPr>
            <w:tcW w:w="61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8</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8</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6</w:t>
            </w:r>
          </w:p>
        </w:tc>
        <w:tc>
          <w:tcPr>
            <w:tcW w:w="835"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-2</w:t>
            </w:r>
          </w:p>
        </w:tc>
        <w:tc>
          <w:tcPr>
            <w:tcW w:w="502"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11,8</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11,8</w:t>
            </w:r>
          </w:p>
        </w:tc>
        <w:tc>
          <w:tcPr>
            <w:tcW w:w="50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7,0</w:t>
            </w:r>
          </w:p>
        </w:tc>
        <w:tc>
          <w:tcPr>
            <w:tcW w:w="83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-4,8</w:t>
            </w:r>
          </w:p>
        </w:tc>
        <w:tc>
          <w:tcPr>
            <w:tcW w:w="75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593%</w:t>
            </w:r>
          </w:p>
        </w:tc>
        <w:tc>
          <w:tcPr>
            <w:tcW w:w="1990" w:type="dxa"/>
            <w:shd w:val="clear" w:color="auto" w:fill="FFFFFF" w:themeFill="background1"/>
          </w:tcPr>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 xml:space="preserve">1.China </w:t>
            </w:r>
            <w:proofErr w:type="spellStart"/>
            <w:r w:rsidRPr="002751FC">
              <w:rPr>
                <w:rFonts w:asciiTheme="majorHAnsi" w:hAnsiTheme="majorHAnsi" w:cstheme="majorHAnsi"/>
                <w:b w:val="0"/>
                <w:bCs w:val="0"/>
                <w:sz w:val="16"/>
                <w:szCs w:val="16"/>
                <w:lang w:val="ro-MD" w:eastAsia="en-US"/>
              </w:rPr>
              <w:t>food</w:t>
            </w:r>
            <w:proofErr w:type="spellEnd"/>
            <w:r w:rsidRPr="002751FC">
              <w:rPr>
                <w:rFonts w:asciiTheme="majorHAnsi" w:hAnsiTheme="majorHAnsi" w:cstheme="majorHAnsi"/>
                <w:b w:val="0"/>
                <w:bCs w:val="0"/>
                <w:sz w:val="16"/>
                <w:szCs w:val="16"/>
                <w:lang w:val="ro-MD" w:eastAsia="en-US"/>
              </w:rPr>
              <w:t xml:space="preserve"> &amp; </w:t>
            </w:r>
            <w:proofErr w:type="spellStart"/>
            <w:r w:rsidRPr="002751FC">
              <w:rPr>
                <w:rFonts w:asciiTheme="majorHAnsi" w:hAnsiTheme="majorHAnsi" w:cstheme="majorHAnsi"/>
                <w:b w:val="0"/>
                <w:bCs w:val="0"/>
                <w:sz w:val="16"/>
                <w:szCs w:val="16"/>
                <w:lang w:val="ro-MD" w:eastAsia="en-US"/>
              </w:rPr>
              <w:t>Drinf</w:t>
            </w:r>
            <w:proofErr w:type="spellEnd"/>
            <w:r w:rsidRPr="002751FC">
              <w:rPr>
                <w:rFonts w:asciiTheme="majorHAnsi" w:hAnsiTheme="majorHAnsi" w:cstheme="majorHAnsi"/>
                <w:b w:val="0"/>
                <w:bCs w:val="0"/>
                <w:sz w:val="16"/>
                <w:szCs w:val="16"/>
                <w:lang w:val="ro-MD" w:eastAsia="en-US"/>
              </w:rPr>
              <w:t xml:space="preserve"> Fair – 1,0 </w:t>
            </w:r>
            <w:proofErr w:type="spellStart"/>
            <w:r w:rsidRPr="002751FC">
              <w:rPr>
                <w:rFonts w:asciiTheme="majorHAnsi" w:hAnsiTheme="majorHAnsi" w:cstheme="majorHAnsi"/>
                <w:b w:val="0"/>
                <w:bCs w:val="0"/>
                <w:sz w:val="16"/>
                <w:szCs w:val="16"/>
                <w:lang w:val="ro-MD" w:eastAsia="en-US"/>
              </w:rPr>
              <w:t>mil</w:t>
            </w:r>
            <w:r w:rsidR="00610E59" w:rsidRPr="002751FC">
              <w:rPr>
                <w:rFonts w:asciiTheme="majorHAnsi" w:hAnsiTheme="majorHAnsi" w:cstheme="majorHAnsi"/>
                <w:b w:val="0"/>
                <w:bCs w:val="0"/>
                <w:sz w:val="16"/>
                <w:szCs w:val="16"/>
                <w:lang w:val="ro-MD" w:eastAsia="en-US"/>
              </w:rPr>
              <w:t>.MDL</w:t>
            </w:r>
            <w:proofErr w:type="spellEnd"/>
          </w:p>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 xml:space="preserve">2.B2B </w:t>
            </w:r>
            <w:proofErr w:type="spellStart"/>
            <w:r w:rsidRPr="002751FC">
              <w:rPr>
                <w:rFonts w:asciiTheme="majorHAnsi" w:hAnsiTheme="majorHAnsi" w:cstheme="majorHAnsi"/>
                <w:b w:val="0"/>
                <w:bCs w:val="0"/>
                <w:sz w:val="16"/>
                <w:szCs w:val="16"/>
                <w:lang w:val="ro-MD" w:eastAsia="en-US"/>
              </w:rPr>
              <w:t>marchmaking</w:t>
            </w:r>
            <w:proofErr w:type="spellEnd"/>
            <w:r w:rsidRPr="002751FC">
              <w:rPr>
                <w:rFonts w:asciiTheme="majorHAnsi" w:hAnsiTheme="majorHAnsi" w:cstheme="majorHAnsi"/>
                <w:b w:val="0"/>
                <w:bCs w:val="0"/>
                <w:sz w:val="16"/>
                <w:szCs w:val="16"/>
                <w:lang w:val="ro-MD" w:eastAsia="en-US"/>
              </w:rPr>
              <w:t xml:space="preserve"> – 0,2 </w:t>
            </w:r>
            <w:proofErr w:type="spellStart"/>
            <w:r w:rsidRPr="002751FC">
              <w:rPr>
                <w:rFonts w:asciiTheme="majorHAnsi" w:hAnsiTheme="majorHAnsi" w:cstheme="majorHAnsi"/>
                <w:b w:val="0"/>
                <w:bCs w:val="0"/>
                <w:sz w:val="16"/>
                <w:szCs w:val="16"/>
                <w:lang w:val="ro-MD" w:eastAsia="en-US"/>
              </w:rPr>
              <w:t>mil.MDL</w:t>
            </w:r>
            <w:proofErr w:type="spellEnd"/>
          </w:p>
        </w:tc>
      </w:tr>
      <w:tr w:rsidR="002B0C1F" w:rsidRPr="002751FC" w:rsidTr="008E6A80">
        <w:trPr>
          <w:trHeight w:val="133"/>
        </w:trPr>
        <w:tc>
          <w:tcPr>
            <w:tcW w:w="53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6</w:t>
            </w:r>
          </w:p>
        </w:tc>
        <w:tc>
          <w:tcPr>
            <w:tcW w:w="1360" w:type="dxa"/>
            <w:shd w:val="clear" w:color="auto" w:fill="FFFFFF" w:themeFill="background1"/>
          </w:tcPr>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Generice</w:t>
            </w:r>
          </w:p>
        </w:tc>
        <w:tc>
          <w:tcPr>
            <w:tcW w:w="61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7</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9</w:t>
            </w:r>
            <w:r w:rsidRPr="002751FC">
              <w:rPr>
                <w:rStyle w:val="ab"/>
                <w:rFonts w:asciiTheme="majorHAnsi" w:hAnsiTheme="majorHAnsi" w:cstheme="majorHAnsi"/>
                <w:b w:val="0"/>
                <w:bCs w:val="0"/>
                <w:sz w:val="16"/>
                <w:szCs w:val="16"/>
                <w:lang w:val="ro-MD" w:eastAsia="en-US"/>
              </w:rPr>
              <w:footnoteReference w:id="39"/>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8</w:t>
            </w:r>
          </w:p>
        </w:tc>
        <w:tc>
          <w:tcPr>
            <w:tcW w:w="835"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w:t>
            </w:r>
          </w:p>
        </w:tc>
        <w:tc>
          <w:tcPr>
            <w:tcW w:w="502"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13,5</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13,5</w:t>
            </w:r>
          </w:p>
        </w:tc>
        <w:tc>
          <w:tcPr>
            <w:tcW w:w="50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5,7</w:t>
            </w:r>
          </w:p>
        </w:tc>
        <w:tc>
          <w:tcPr>
            <w:tcW w:w="83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-7,8</w:t>
            </w:r>
          </w:p>
        </w:tc>
        <w:tc>
          <w:tcPr>
            <w:tcW w:w="75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42,2%</w:t>
            </w:r>
          </w:p>
        </w:tc>
        <w:tc>
          <w:tcPr>
            <w:tcW w:w="1990" w:type="dxa"/>
            <w:shd w:val="clear" w:color="auto" w:fill="FFFFFF" w:themeFill="background1"/>
          </w:tcPr>
          <w:p w:rsidR="002B0C1F" w:rsidRPr="002751FC" w:rsidRDefault="002B0C1F" w:rsidP="00676BF3">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 xml:space="preserve">1.Ritaile </w:t>
            </w:r>
            <w:proofErr w:type="spellStart"/>
            <w:r w:rsidRPr="002751FC">
              <w:rPr>
                <w:rFonts w:asciiTheme="majorHAnsi" w:hAnsiTheme="majorHAnsi" w:cstheme="majorHAnsi"/>
                <w:b w:val="0"/>
                <w:bCs w:val="0"/>
                <w:sz w:val="16"/>
                <w:szCs w:val="16"/>
                <w:lang w:val="ro-MD" w:eastAsia="en-US"/>
              </w:rPr>
              <w:t>promo</w:t>
            </w:r>
            <w:proofErr w:type="spellEnd"/>
            <w:r w:rsidRPr="002751FC">
              <w:rPr>
                <w:rFonts w:asciiTheme="majorHAnsi" w:hAnsiTheme="majorHAnsi" w:cstheme="majorHAnsi"/>
                <w:b w:val="0"/>
                <w:bCs w:val="0"/>
                <w:sz w:val="16"/>
                <w:szCs w:val="16"/>
                <w:lang w:val="ro-MD" w:eastAsia="en-US"/>
              </w:rPr>
              <w:t xml:space="preserve"> (piețe</w:t>
            </w:r>
            <w:r w:rsidR="00676BF3" w:rsidRPr="002751FC">
              <w:rPr>
                <w:rFonts w:asciiTheme="majorHAnsi" w:hAnsiTheme="majorHAnsi" w:cstheme="majorHAnsi"/>
                <w:b w:val="0"/>
                <w:bCs w:val="0"/>
                <w:sz w:val="16"/>
                <w:szCs w:val="16"/>
                <w:lang w:val="ro-MD" w:eastAsia="en-US"/>
              </w:rPr>
              <w:t>-</w:t>
            </w:r>
            <w:r w:rsidRPr="002751FC">
              <w:rPr>
                <w:rFonts w:asciiTheme="majorHAnsi" w:hAnsiTheme="majorHAnsi" w:cstheme="majorHAnsi"/>
                <w:b w:val="0"/>
                <w:bCs w:val="0"/>
                <w:sz w:val="16"/>
                <w:szCs w:val="16"/>
                <w:lang w:val="ro-MD" w:eastAsia="en-US"/>
              </w:rPr>
              <w:t>țintă</w:t>
            </w:r>
            <w:r w:rsidR="00240B65">
              <w:rPr>
                <w:rFonts w:asciiTheme="majorHAnsi" w:hAnsiTheme="majorHAnsi" w:cstheme="majorHAnsi"/>
                <w:b w:val="0"/>
                <w:bCs w:val="0"/>
                <w:sz w:val="16"/>
                <w:szCs w:val="16"/>
                <w:lang w:val="ro-MD" w:eastAsia="en-US"/>
              </w:rPr>
              <w:t>)</w:t>
            </w:r>
            <w:r w:rsidRPr="002751FC">
              <w:rPr>
                <w:rFonts w:asciiTheme="majorHAnsi" w:hAnsiTheme="majorHAnsi" w:cstheme="majorHAnsi"/>
                <w:b w:val="0"/>
                <w:bCs w:val="0"/>
                <w:sz w:val="16"/>
                <w:szCs w:val="16"/>
                <w:lang w:val="ro-MD" w:eastAsia="en-US"/>
              </w:rPr>
              <w:t xml:space="preserve"> – 5,0 </w:t>
            </w:r>
            <w:proofErr w:type="spellStart"/>
            <w:r w:rsidRPr="002751FC">
              <w:rPr>
                <w:rFonts w:asciiTheme="majorHAnsi" w:hAnsiTheme="majorHAnsi" w:cstheme="majorHAnsi"/>
                <w:b w:val="0"/>
                <w:bCs w:val="0"/>
                <w:sz w:val="16"/>
                <w:szCs w:val="16"/>
                <w:lang w:val="ro-MD" w:eastAsia="en-US"/>
              </w:rPr>
              <w:t>mil.MDL</w:t>
            </w:r>
            <w:proofErr w:type="spellEnd"/>
          </w:p>
        </w:tc>
      </w:tr>
      <w:tr w:rsidR="002B0C1F" w:rsidRPr="002751FC" w:rsidTr="008E6A80">
        <w:trPr>
          <w:trHeight w:val="207"/>
        </w:trPr>
        <w:tc>
          <w:tcPr>
            <w:tcW w:w="53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7</w:t>
            </w:r>
          </w:p>
        </w:tc>
        <w:tc>
          <w:tcPr>
            <w:tcW w:w="1360" w:type="dxa"/>
            <w:shd w:val="clear" w:color="auto" w:fill="FFFFFF" w:themeFill="background1"/>
          </w:tcPr>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 xml:space="preserve">Marketing </w:t>
            </w:r>
            <w:proofErr w:type="spellStart"/>
            <w:r w:rsidRPr="002751FC">
              <w:rPr>
                <w:rFonts w:asciiTheme="majorHAnsi" w:hAnsiTheme="majorHAnsi" w:cstheme="majorHAnsi"/>
                <w:b w:val="0"/>
                <w:bCs w:val="0"/>
                <w:sz w:val="16"/>
                <w:szCs w:val="16"/>
                <w:lang w:val="ro-MD" w:eastAsia="en-US"/>
              </w:rPr>
              <w:t>intelegence</w:t>
            </w:r>
            <w:proofErr w:type="spellEnd"/>
          </w:p>
        </w:tc>
        <w:tc>
          <w:tcPr>
            <w:tcW w:w="61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4</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4</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4</w:t>
            </w:r>
          </w:p>
        </w:tc>
        <w:tc>
          <w:tcPr>
            <w:tcW w:w="835"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w:t>
            </w:r>
          </w:p>
        </w:tc>
        <w:tc>
          <w:tcPr>
            <w:tcW w:w="502"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0,8</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0,8</w:t>
            </w:r>
          </w:p>
        </w:tc>
        <w:tc>
          <w:tcPr>
            <w:tcW w:w="50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0,5</w:t>
            </w:r>
          </w:p>
        </w:tc>
        <w:tc>
          <w:tcPr>
            <w:tcW w:w="83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-0,3</w:t>
            </w:r>
          </w:p>
        </w:tc>
        <w:tc>
          <w:tcPr>
            <w:tcW w:w="75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62,5%</w:t>
            </w:r>
          </w:p>
        </w:tc>
        <w:tc>
          <w:tcPr>
            <w:tcW w:w="1990" w:type="dxa"/>
            <w:shd w:val="clear" w:color="auto" w:fill="FFFFFF" w:themeFill="background1"/>
          </w:tcPr>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w:t>
            </w:r>
          </w:p>
        </w:tc>
      </w:tr>
      <w:tr w:rsidR="002B0C1F" w:rsidRPr="002751FC" w:rsidTr="008E6A80">
        <w:trPr>
          <w:trHeight w:val="139"/>
        </w:trPr>
        <w:tc>
          <w:tcPr>
            <w:tcW w:w="53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8</w:t>
            </w:r>
          </w:p>
        </w:tc>
        <w:tc>
          <w:tcPr>
            <w:tcW w:w="1360" w:type="dxa"/>
            <w:shd w:val="clear" w:color="auto" w:fill="FFFFFF" w:themeFill="background1"/>
          </w:tcPr>
          <w:p w:rsidR="002B0C1F" w:rsidRPr="002751FC" w:rsidRDefault="002B0C1F" w:rsidP="00676BF3">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Concursuri</w:t>
            </w:r>
          </w:p>
        </w:tc>
        <w:tc>
          <w:tcPr>
            <w:tcW w:w="61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9</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9</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9</w:t>
            </w:r>
          </w:p>
        </w:tc>
        <w:tc>
          <w:tcPr>
            <w:tcW w:w="835"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w:t>
            </w:r>
          </w:p>
        </w:tc>
        <w:tc>
          <w:tcPr>
            <w:tcW w:w="502"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0,9</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0,9</w:t>
            </w:r>
          </w:p>
        </w:tc>
        <w:tc>
          <w:tcPr>
            <w:tcW w:w="50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1,0</w:t>
            </w:r>
          </w:p>
        </w:tc>
        <w:tc>
          <w:tcPr>
            <w:tcW w:w="83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+0,1</w:t>
            </w:r>
          </w:p>
        </w:tc>
        <w:tc>
          <w:tcPr>
            <w:tcW w:w="756" w:type="dxa"/>
            <w:shd w:val="clear" w:color="auto" w:fill="FFFFFF" w:themeFill="background1"/>
          </w:tcPr>
          <w:p w:rsidR="002B0C1F" w:rsidRPr="002751FC" w:rsidRDefault="002B0C1F" w:rsidP="00243401">
            <w:pPr>
              <w:pStyle w:val="cp"/>
              <w:jc w:val="right"/>
              <w:rPr>
                <w:rFonts w:asciiTheme="majorHAnsi" w:hAnsiTheme="majorHAnsi" w:cstheme="majorHAnsi"/>
                <w:bCs w:val="0"/>
                <w:sz w:val="16"/>
                <w:szCs w:val="16"/>
                <w:lang w:val="ro-MD" w:eastAsia="en-US"/>
              </w:rPr>
            </w:pPr>
            <w:r w:rsidRPr="002751FC">
              <w:rPr>
                <w:rFonts w:asciiTheme="majorHAnsi" w:hAnsiTheme="majorHAnsi" w:cstheme="majorHAnsi"/>
                <w:bCs w:val="0"/>
                <w:color w:val="FF0000"/>
                <w:sz w:val="16"/>
                <w:szCs w:val="16"/>
                <w:lang w:val="ro-MD" w:eastAsia="en-US"/>
              </w:rPr>
              <w:t>111,1%</w:t>
            </w:r>
          </w:p>
        </w:tc>
        <w:tc>
          <w:tcPr>
            <w:tcW w:w="1990" w:type="dxa"/>
            <w:shd w:val="clear" w:color="auto" w:fill="FFFFFF" w:themeFill="background1"/>
          </w:tcPr>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w:t>
            </w:r>
          </w:p>
        </w:tc>
      </w:tr>
      <w:tr w:rsidR="002B0C1F" w:rsidRPr="002751FC" w:rsidTr="008E6A80">
        <w:trPr>
          <w:trHeight w:val="214"/>
        </w:trPr>
        <w:tc>
          <w:tcPr>
            <w:tcW w:w="53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9</w:t>
            </w:r>
          </w:p>
        </w:tc>
        <w:tc>
          <w:tcPr>
            <w:tcW w:w="1360" w:type="dxa"/>
            <w:shd w:val="clear" w:color="auto" w:fill="FFFFFF" w:themeFill="background1"/>
          </w:tcPr>
          <w:p w:rsidR="002B0C1F" w:rsidRPr="002751FC" w:rsidRDefault="002B0C1F" w:rsidP="00243401">
            <w:pPr>
              <w:pStyle w:val="cp"/>
              <w:jc w:val="both"/>
              <w:rPr>
                <w:rFonts w:asciiTheme="majorHAnsi" w:hAnsiTheme="majorHAnsi" w:cstheme="majorHAnsi"/>
                <w:b w:val="0"/>
                <w:bCs w:val="0"/>
                <w:sz w:val="16"/>
                <w:szCs w:val="16"/>
                <w:lang w:val="ro-MD" w:eastAsia="en-US"/>
              </w:rPr>
            </w:pPr>
            <w:proofErr w:type="spellStart"/>
            <w:r w:rsidRPr="002751FC">
              <w:rPr>
                <w:rFonts w:asciiTheme="majorHAnsi" w:hAnsiTheme="majorHAnsi" w:cstheme="majorHAnsi"/>
                <w:b w:val="0"/>
                <w:bCs w:val="0"/>
                <w:sz w:val="16"/>
                <w:szCs w:val="16"/>
                <w:lang w:val="ro-MD" w:eastAsia="en-US"/>
              </w:rPr>
              <w:t>Oenoturism</w:t>
            </w:r>
            <w:proofErr w:type="spellEnd"/>
          </w:p>
        </w:tc>
        <w:tc>
          <w:tcPr>
            <w:tcW w:w="61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8</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10</w:t>
            </w:r>
            <w:r w:rsidRPr="002751FC">
              <w:rPr>
                <w:rStyle w:val="ab"/>
                <w:rFonts w:asciiTheme="majorHAnsi" w:hAnsiTheme="majorHAnsi" w:cstheme="majorHAnsi"/>
                <w:b w:val="0"/>
                <w:bCs w:val="0"/>
                <w:sz w:val="16"/>
                <w:szCs w:val="16"/>
                <w:lang w:val="ro-MD" w:eastAsia="en-US"/>
              </w:rPr>
              <w:footnoteReference w:id="40"/>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5</w:t>
            </w:r>
          </w:p>
        </w:tc>
        <w:tc>
          <w:tcPr>
            <w:tcW w:w="835"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-5</w:t>
            </w:r>
          </w:p>
        </w:tc>
        <w:tc>
          <w:tcPr>
            <w:tcW w:w="502"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1,4</w:t>
            </w:r>
          </w:p>
        </w:tc>
        <w:tc>
          <w:tcPr>
            <w:tcW w:w="668"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1,4</w:t>
            </w:r>
          </w:p>
        </w:tc>
        <w:tc>
          <w:tcPr>
            <w:tcW w:w="500"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1,1</w:t>
            </w:r>
          </w:p>
        </w:tc>
        <w:tc>
          <w:tcPr>
            <w:tcW w:w="83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-0,3</w:t>
            </w:r>
          </w:p>
        </w:tc>
        <w:tc>
          <w:tcPr>
            <w:tcW w:w="756" w:type="dxa"/>
            <w:shd w:val="clear" w:color="auto" w:fill="FFFFFF" w:themeFill="background1"/>
          </w:tcPr>
          <w:p w:rsidR="002B0C1F" w:rsidRPr="002751FC" w:rsidRDefault="002B0C1F" w:rsidP="00243401">
            <w:pPr>
              <w:pStyle w:val="cp"/>
              <w:jc w:val="right"/>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78,8%</w:t>
            </w:r>
          </w:p>
        </w:tc>
        <w:tc>
          <w:tcPr>
            <w:tcW w:w="1990" w:type="dxa"/>
            <w:shd w:val="clear" w:color="auto" w:fill="FFFFFF" w:themeFill="background1"/>
          </w:tcPr>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1.</w:t>
            </w:r>
            <w:r w:rsidR="00240B65">
              <w:rPr>
                <w:rFonts w:asciiTheme="majorHAnsi" w:hAnsiTheme="majorHAnsi" w:cstheme="majorHAnsi"/>
                <w:b w:val="0"/>
                <w:bCs w:val="0"/>
                <w:sz w:val="16"/>
                <w:szCs w:val="16"/>
                <w:lang w:val="ro-MD" w:eastAsia="en-US"/>
              </w:rPr>
              <w:t xml:space="preserve"> </w:t>
            </w:r>
            <w:r w:rsidRPr="002751FC">
              <w:rPr>
                <w:rFonts w:asciiTheme="majorHAnsi" w:hAnsiTheme="majorHAnsi" w:cstheme="majorHAnsi"/>
                <w:b w:val="0"/>
                <w:bCs w:val="0"/>
                <w:sz w:val="16"/>
                <w:szCs w:val="16"/>
                <w:lang w:val="ro-MD" w:eastAsia="en-US"/>
              </w:rPr>
              <w:t>Aplicație mobil</w:t>
            </w:r>
            <w:r w:rsidR="00676BF3" w:rsidRPr="002751FC">
              <w:rPr>
                <w:rFonts w:asciiTheme="majorHAnsi" w:hAnsiTheme="majorHAnsi" w:cstheme="majorHAnsi"/>
                <w:b w:val="0"/>
                <w:bCs w:val="0"/>
                <w:sz w:val="16"/>
                <w:szCs w:val="16"/>
                <w:lang w:val="ro-MD" w:eastAsia="en-US"/>
              </w:rPr>
              <w:t>ă</w:t>
            </w:r>
            <w:r w:rsidRPr="002751FC">
              <w:rPr>
                <w:rFonts w:asciiTheme="majorHAnsi" w:hAnsiTheme="majorHAnsi" w:cstheme="majorHAnsi"/>
                <w:b w:val="0"/>
                <w:bCs w:val="0"/>
                <w:sz w:val="16"/>
                <w:szCs w:val="16"/>
                <w:lang w:val="ro-MD" w:eastAsia="en-US"/>
              </w:rPr>
              <w:t xml:space="preserve"> „Drumul Vinului” – 0,06 </w:t>
            </w:r>
            <w:proofErr w:type="spellStart"/>
            <w:r w:rsidRPr="002751FC">
              <w:rPr>
                <w:rFonts w:asciiTheme="majorHAnsi" w:hAnsiTheme="majorHAnsi" w:cstheme="majorHAnsi"/>
                <w:b w:val="0"/>
                <w:bCs w:val="0"/>
                <w:sz w:val="16"/>
                <w:szCs w:val="16"/>
                <w:lang w:val="ro-MD" w:eastAsia="en-US"/>
              </w:rPr>
              <w:t>mil.MDL</w:t>
            </w:r>
            <w:proofErr w:type="spellEnd"/>
          </w:p>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2.Vizita</w:t>
            </w:r>
            <w:r w:rsidR="00E033B9">
              <w:rPr>
                <w:rFonts w:asciiTheme="majorHAnsi" w:hAnsiTheme="majorHAnsi" w:cstheme="majorHAnsi"/>
                <w:b w:val="0"/>
                <w:bCs w:val="0"/>
                <w:sz w:val="16"/>
                <w:szCs w:val="16"/>
                <w:lang w:val="ro-MD" w:eastAsia="en-US"/>
              </w:rPr>
              <w:t xml:space="preserve"> </w:t>
            </w:r>
            <w:r w:rsidRPr="002751FC">
              <w:rPr>
                <w:rFonts w:asciiTheme="majorHAnsi" w:hAnsiTheme="majorHAnsi" w:cstheme="majorHAnsi"/>
                <w:b w:val="0"/>
                <w:bCs w:val="0"/>
                <w:sz w:val="16"/>
                <w:szCs w:val="16"/>
                <w:lang w:val="ro-MD" w:eastAsia="en-US"/>
              </w:rPr>
              <w:t>de studi</w:t>
            </w:r>
            <w:r w:rsidR="00676BF3" w:rsidRPr="002751FC">
              <w:rPr>
                <w:rFonts w:asciiTheme="majorHAnsi" w:hAnsiTheme="majorHAnsi" w:cstheme="majorHAnsi"/>
                <w:b w:val="0"/>
                <w:bCs w:val="0"/>
                <w:sz w:val="16"/>
                <w:szCs w:val="16"/>
                <w:lang w:val="ro-MD" w:eastAsia="en-US"/>
              </w:rPr>
              <w:t>u</w:t>
            </w:r>
            <w:r w:rsidRPr="002751FC">
              <w:rPr>
                <w:rFonts w:asciiTheme="majorHAnsi" w:hAnsiTheme="majorHAnsi" w:cstheme="majorHAnsi"/>
                <w:b w:val="0"/>
                <w:bCs w:val="0"/>
                <w:sz w:val="16"/>
                <w:szCs w:val="16"/>
                <w:lang w:val="ro-MD" w:eastAsia="en-US"/>
              </w:rPr>
              <w:t xml:space="preserve"> </w:t>
            </w:r>
            <w:proofErr w:type="spellStart"/>
            <w:r w:rsidRPr="002751FC">
              <w:rPr>
                <w:rFonts w:asciiTheme="majorHAnsi" w:hAnsiTheme="majorHAnsi" w:cstheme="majorHAnsi"/>
                <w:b w:val="0"/>
                <w:bCs w:val="0"/>
                <w:sz w:val="16"/>
                <w:szCs w:val="16"/>
                <w:lang w:val="ro-MD" w:eastAsia="en-US"/>
              </w:rPr>
              <w:t>Alsace</w:t>
            </w:r>
            <w:proofErr w:type="spellEnd"/>
            <w:r w:rsidRPr="002751FC">
              <w:rPr>
                <w:rFonts w:asciiTheme="majorHAnsi" w:hAnsiTheme="majorHAnsi" w:cstheme="majorHAnsi"/>
                <w:b w:val="0"/>
                <w:bCs w:val="0"/>
                <w:sz w:val="16"/>
                <w:szCs w:val="16"/>
                <w:lang w:val="ro-MD" w:eastAsia="en-US"/>
              </w:rPr>
              <w:t xml:space="preserve">/Toscana – 0,25 </w:t>
            </w:r>
            <w:proofErr w:type="spellStart"/>
            <w:r w:rsidRPr="002751FC">
              <w:rPr>
                <w:rFonts w:asciiTheme="majorHAnsi" w:hAnsiTheme="majorHAnsi" w:cstheme="majorHAnsi"/>
                <w:b w:val="0"/>
                <w:bCs w:val="0"/>
                <w:sz w:val="16"/>
                <w:szCs w:val="16"/>
                <w:lang w:val="ro-MD" w:eastAsia="en-US"/>
              </w:rPr>
              <w:t>mil.MDL</w:t>
            </w:r>
            <w:proofErr w:type="spellEnd"/>
          </w:p>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3.Infotur</w:t>
            </w:r>
            <w:r w:rsidR="00E033B9">
              <w:rPr>
                <w:rFonts w:asciiTheme="majorHAnsi" w:hAnsiTheme="majorHAnsi" w:cstheme="majorHAnsi"/>
                <w:b w:val="0"/>
                <w:bCs w:val="0"/>
                <w:sz w:val="16"/>
                <w:szCs w:val="16"/>
                <w:lang w:val="ro-MD" w:eastAsia="en-US"/>
              </w:rPr>
              <w:t xml:space="preserve"> </w:t>
            </w:r>
            <w:r w:rsidRPr="002751FC">
              <w:rPr>
                <w:rFonts w:asciiTheme="majorHAnsi" w:hAnsiTheme="majorHAnsi" w:cstheme="majorHAnsi"/>
                <w:b w:val="0"/>
                <w:bCs w:val="0"/>
                <w:sz w:val="16"/>
                <w:szCs w:val="16"/>
                <w:lang w:val="ro-MD" w:eastAsia="en-US"/>
              </w:rPr>
              <w:t>Rom</w:t>
            </w:r>
            <w:r w:rsidR="00676BF3" w:rsidRPr="002751FC">
              <w:rPr>
                <w:rFonts w:asciiTheme="majorHAnsi" w:hAnsiTheme="majorHAnsi" w:cstheme="majorHAnsi"/>
                <w:b w:val="0"/>
                <w:bCs w:val="0"/>
                <w:sz w:val="16"/>
                <w:szCs w:val="16"/>
                <w:lang w:val="ro-MD" w:eastAsia="en-US"/>
              </w:rPr>
              <w:t>â</w:t>
            </w:r>
            <w:r w:rsidRPr="002751FC">
              <w:rPr>
                <w:rFonts w:asciiTheme="majorHAnsi" w:hAnsiTheme="majorHAnsi" w:cstheme="majorHAnsi"/>
                <w:b w:val="0"/>
                <w:bCs w:val="0"/>
                <w:sz w:val="16"/>
                <w:szCs w:val="16"/>
                <w:lang w:val="ro-MD" w:eastAsia="en-US"/>
              </w:rPr>
              <w:t xml:space="preserve">nia (10-1 pers.) – 0,1 </w:t>
            </w:r>
            <w:proofErr w:type="spellStart"/>
            <w:r w:rsidRPr="002751FC">
              <w:rPr>
                <w:rFonts w:asciiTheme="majorHAnsi" w:hAnsiTheme="majorHAnsi" w:cstheme="majorHAnsi"/>
                <w:b w:val="0"/>
                <w:bCs w:val="0"/>
                <w:sz w:val="16"/>
                <w:szCs w:val="16"/>
                <w:lang w:val="ro-MD" w:eastAsia="en-US"/>
              </w:rPr>
              <w:t>mil.MDL</w:t>
            </w:r>
            <w:proofErr w:type="spellEnd"/>
          </w:p>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4.</w:t>
            </w:r>
            <w:r w:rsidR="001B6241">
              <w:rPr>
                <w:rFonts w:asciiTheme="majorHAnsi" w:hAnsiTheme="majorHAnsi" w:cstheme="majorHAnsi"/>
                <w:b w:val="0"/>
                <w:bCs w:val="0"/>
                <w:sz w:val="16"/>
                <w:szCs w:val="16"/>
                <w:lang w:val="ro-MD" w:eastAsia="en-US"/>
              </w:rPr>
              <w:t xml:space="preserve"> </w:t>
            </w:r>
            <w:r w:rsidRPr="002751FC">
              <w:rPr>
                <w:rFonts w:asciiTheme="majorHAnsi" w:hAnsiTheme="majorHAnsi" w:cstheme="majorHAnsi"/>
                <w:b w:val="0"/>
                <w:bCs w:val="0"/>
                <w:sz w:val="16"/>
                <w:szCs w:val="16"/>
                <w:lang w:val="ro-MD" w:eastAsia="en-US"/>
              </w:rPr>
              <w:t xml:space="preserve">Elaborarea </w:t>
            </w:r>
            <w:proofErr w:type="spellStart"/>
            <w:r w:rsidRPr="002751FC">
              <w:rPr>
                <w:rFonts w:asciiTheme="majorHAnsi" w:hAnsiTheme="majorHAnsi" w:cstheme="majorHAnsi"/>
                <w:b w:val="0"/>
                <w:bCs w:val="0"/>
                <w:sz w:val="16"/>
                <w:szCs w:val="16"/>
                <w:lang w:val="ro-MD" w:eastAsia="en-US"/>
              </w:rPr>
              <w:t>press</w:t>
            </w:r>
            <w:proofErr w:type="spellEnd"/>
            <w:r w:rsidRPr="002751FC">
              <w:rPr>
                <w:rFonts w:asciiTheme="majorHAnsi" w:hAnsiTheme="majorHAnsi" w:cstheme="majorHAnsi"/>
                <w:b w:val="0"/>
                <w:bCs w:val="0"/>
                <w:sz w:val="16"/>
                <w:szCs w:val="16"/>
                <w:lang w:val="ro-MD" w:eastAsia="en-US"/>
              </w:rPr>
              <w:t>-kit/dif</w:t>
            </w:r>
            <w:r w:rsidR="00676BF3" w:rsidRPr="002751FC">
              <w:rPr>
                <w:rFonts w:asciiTheme="majorHAnsi" w:hAnsiTheme="majorHAnsi" w:cstheme="majorHAnsi"/>
                <w:b w:val="0"/>
                <w:bCs w:val="0"/>
                <w:sz w:val="16"/>
                <w:szCs w:val="16"/>
                <w:lang w:val="ro-MD" w:eastAsia="en-US"/>
              </w:rPr>
              <w:t>u</w:t>
            </w:r>
            <w:r w:rsidRPr="002751FC">
              <w:rPr>
                <w:rFonts w:asciiTheme="majorHAnsi" w:hAnsiTheme="majorHAnsi" w:cstheme="majorHAnsi"/>
                <w:b w:val="0"/>
                <w:bCs w:val="0"/>
                <w:sz w:val="16"/>
                <w:szCs w:val="16"/>
                <w:lang w:val="ro-MD" w:eastAsia="en-US"/>
              </w:rPr>
              <w:t xml:space="preserve">zare </w:t>
            </w:r>
            <w:proofErr w:type="spellStart"/>
            <w:r w:rsidRPr="002751FC">
              <w:rPr>
                <w:rFonts w:asciiTheme="majorHAnsi" w:hAnsiTheme="majorHAnsi" w:cstheme="majorHAnsi"/>
                <w:b w:val="0"/>
                <w:bCs w:val="0"/>
                <w:sz w:val="16"/>
                <w:szCs w:val="16"/>
                <w:lang w:val="ro-MD" w:eastAsia="en-US"/>
              </w:rPr>
              <w:t>newsleter</w:t>
            </w:r>
            <w:proofErr w:type="spellEnd"/>
            <w:r w:rsidRPr="002751FC">
              <w:rPr>
                <w:rFonts w:asciiTheme="majorHAnsi" w:hAnsiTheme="majorHAnsi" w:cstheme="majorHAnsi"/>
                <w:b w:val="0"/>
                <w:bCs w:val="0"/>
                <w:sz w:val="16"/>
                <w:szCs w:val="16"/>
                <w:lang w:val="ro-MD" w:eastAsia="en-US"/>
              </w:rPr>
              <w:t xml:space="preserve"> (lunar) </w:t>
            </w:r>
            <w:r w:rsidR="001B6241" w:rsidRPr="002751FC">
              <w:rPr>
                <w:rFonts w:asciiTheme="majorHAnsi" w:hAnsiTheme="majorHAnsi" w:cstheme="majorHAnsi"/>
                <w:b w:val="0"/>
                <w:bCs w:val="0"/>
                <w:sz w:val="16"/>
                <w:szCs w:val="16"/>
                <w:lang w:val="ro-MD" w:eastAsia="en-US"/>
              </w:rPr>
              <w:t>–</w:t>
            </w:r>
            <w:r w:rsidR="001B6241">
              <w:rPr>
                <w:rFonts w:asciiTheme="majorHAnsi" w:hAnsiTheme="majorHAnsi" w:cstheme="majorHAnsi"/>
                <w:b w:val="0"/>
                <w:bCs w:val="0"/>
                <w:sz w:val="16"/>
                <w:szCs w:val="16"/>
                <w:lang w:val="ro-MD" w:eastAsia="en-US"/>
              </w:rPr>
              <w:t xml:space="preserve"> </w:t>
            </w:r>
            <w:r w:rsidRPr="002751FC">
              <w:rPr>
                <w:rFonts w:asciiTheme="majorHAnsi" w:hAnsiTheme="majorHAnsi" w:cstheme="majorHAnsi"/>
                <w:b w:val="0"/>
                <w:bCs w:val="0"/>
                <w:sz w:val="16"/>
                <w:szCs w:val="16"/>
                <w:lang w:val="ro-MD" w:eastAsia="en-US"/>
              </w:rPr>
              <w:t xml:space="preserve">0,02 </w:t>
            </w:r>
            <w:proofErr w:type="spellStart"/>
            <w:r w:rsidRPr="002751FC">
              <w:rPr>
                <w:rFonts w:asciiTheme="majorHAnsi" w:hAnsiTheme="majorHAnsi" w:cstheme="majorHAnsi"/>
                <w:b w:val="0"/>
                <w:bCs w:val="0"/>
                <w:sz w:val="16"/>
                <w:szCs w:val="16"/>
                <w:lang w:val="ro-MD" w:eastAsia="en-US"/>
              </w:rPr>
              <w:t>mil.MDL</w:t>
            </w:r>
            <w:proofErr w:type="spellEnd"/>
          </w:p>
          <w:p w:rsidR="002B0C1F" w:rsidRPr="002751FC" w:rsidRDefault="002B0C1F" w:rsidP="00676BF3">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 w:val="0"/>
                <w:bCs w:val="0"/>
                <w:sz w:val="16"/>
                <w:szCs w:val="16"/>
                <w:lang w:val="ro-MD" w:eastAsia="en-US"/>
              </w:rPr>
              <w:t>5.</w:t>
            </w:r>
            <w:r w:rsidR="001B6241">
              <w:rPr>
                <w:rFonts w:asciiTheme="majorHAnsi" w:hAnsiTheme="majorHAnsi" w:cstheme="majorHAnsi"/>
                <w:b w:val="0"/>
                <w:bCs w:val="0"/>
                <w:sz w:val="16"/>
                <w:szCs w:val="16"/>
                <w:lang w:val="ro-MD" w:eastAsia="en-US"/>
              </w:rPr>
              <w:t xml:space="preserve"> </w:t>
            </w:r>
            <w:r w:rsidRPr="002751FC">
              <w:rPr>
                <w:rFonts w:asciiTheme="majorHAnsi" w:hAnsiTheme="majorHAnsi" w:cstheme="majorHAnsi"/>
                <w:b w:val="0"/>
                <w:bCs w:val="0"/>
                <w:sz w:val="16"/>
                <w:szCs w:val="16"/>
                <w:lang w:val="ro-MD" w:eastAsia="en-US"/>
              </w:rPr>
              <w:t xml:space="preserve">Instalarea a 8 panouri informaționale a regiunilor IGP – 0,5 </w:t>
            </w:r>
            <w:proofErr w:type="spellStart"/>
            <w:r w:rsidRPr="002751FC">
              <w:rPr>
                <w:rFonts w:asciiTheme="majorHAnsi" w:hAnsiTheme="majorHAnsi" w:cstheme="majorHAnsi"/>
                <w:b w:val="0"/>
                <w:bCs w:val="0"/>
                <w:sz w:val="16"/>
                <w:szCs w:val="16"/>
                <w:lang w:val="ro-MD" w:eastAsia="en-US"/>
              </w:rPr>
              <w:t>mil.MDL</w:t>
            </w:r>
            <w:proofErr w:type="spellEnd"/>
          </w:p>
        </w:tc>
      </w:tr>
      <w:tr w:rsidR="002B0C1F" w:rsidRPr="002751FC" w:rsidTr="008E6A80">
        <w:trPr>
          <w:trHeight w:val="131"/>
        </w:trPr>
        <w:tc>
          <w:tcPr>
            <w:tcW w:w="530" w:type="dxa"/>
            <w:shd w:val="clear" w:color="auto" w:fill="DEEAF6" w:themeFill="accent1" w:themeFillTint="33"/>
          </w:tcPr>
          <w:p w:rsidR="002B0C1F" w:rsidRPr="002751FC" w:rsidRDefault="002B0C1F" w:rsidP="00243401">
            <w:pPr>
              <w:pStyle w:val="cp"/>
              <w:jc w:val="right"/>
              <w:rPr>
                <w:rFonts w:asciiTheme="majorHAnsi" w:hAnsiTheme="majorHAnsi" w:cstheme="majorHAnsi"/>
                <w:bCs w:val="0"/>
                <w:sz w:val="16"/>
                <w:szCs w:val="16"/>
                <w:lang w:val="ro-MD" w:eastAsia="en-US"/>
              </w:rPr>
            </w:pPr>
          </w:p>
        </w:tc>
        <w:tc>
          <w:tcPr>
            <w:tcW w:w="1360" w:type="dxa"/>
            <w:shd w:val="clear" w:color="auto" w:fill="DEEAF6" w:themeFill="accent1" w:themeFillTint="33"/>
          </w:tcPr>
          <w:p w:rsidR="002B0C1F" w:rsidRPr="002751FC" w:rsidRDefault="001E628B" w:rsidP="00243401">
            <w:pPr>
              <w:pStyle w:val="cp"/>
              <w:jc w:val="both"/>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T</w:t>
            </w:r>
            <w:r w:rsidR="002B0C1F" w:rsidRPr="002751FC">
              <w:rPr>
                <w:rFonts w:asciiTheme="majorHAnsi" w:hAnsiTheme="majorHAnsi" w:cstheme="majorHAnsi"/>
                <w:bCs w:val="0"/>
                <w:sz w:val="16"/>
                <w:szCs w:val="16"/>
                <w:lang w:val="ro-MD" w:eastAsia="en-US"/>
              </w:rPr>
              <w:t>otal</w:t>
            </w:r>
          </w:p>
        </w:tc>
        <w:tc>
          <w:tcPr>
            <w:tcW w:w="610" w:type="dxa"/>
            <w:shd w:val="clear" w:color="auto" w:fill="DEEAF6" w:themeFill="accent1" w:themeFillTint="33"/>
          </w:tcPr>
          <w:p w:rsidR="002B0C1F" w:rsidRPr="002751FC" w:rsidRDefault="002B0C1F" w:rsidP="00243401">
            <w:pPr>
              <w:pStyle w:val="cp"/>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63</w:t>
            </w:r>
          </w:p>
        </w:tc>
        <w:tc>
          <w:tcPr>
            <w:tcW w:w="668" w:type="dxa"/>
            <w:shd w:val="clear" w:color="auto" w:fill="DEEAF6" w:themeFill="accent1" w:themeFillTint="33"/>
          </w:tcPr>
          <w:p w:rsidR="002B0C1F" w:rsidRPr="002751FC" w:rsidRDefault="002B0C1F" w:rsidP="00243401">
            <w:pPr>
              <w:pStyle w:val="cp"/>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72</w:t>
            </w:r>
          </w:p>
        </w:tc>
        <w:tc>
          <w:tcPr>
            <w:tcW w:w="668" w:type="dxa"/>
            <w:shd w:val="clear" w:color="auto" w:fill="DEEAF6" w:themeFill="accent1" w:themeFillTint="33"/>
          </w:tcPr>
          <w:p w:rsidR="002B0C1F" w:rsidRPr="002751FC" w:rsidRDefault="002B0C1F" w:rsidP="00243401">
            <w:pPr>
              <w:pStyle w:val="cp"/>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55</w:t>
            </w:r>
          </w:p>
        </w:tc>
        <w:tc>
          <w:tcPr>
            <w:tcW w:w="835" w:type="dxa"/>
            <w:shd w:val="clear" w:color="auto" w:fill="DEEAF6" w:themeFill="accent1" w:themeFillTint="33"/>
          </w:tcPr>
          <w:p w:rsidR="002B0C1F" w:rsidRPr="002751FC" w:rsidRDefault="002B0C1F" w:rsidP="00243401">
            <w:pPr>
              <w:pStyle w:val="cp"/>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-17</w:t>
            </w:r>
          </w:p>
        </w:tc>
        <w:tc>
          <w:tcPr>
            <w:tcW w:w="502" w:type="dxa"/>
            <w:shd w:val="clear" w:color="auto" w:fill="DEEAF6" w:themeFill="accent1" w:themeFillTint="33"/>
          </w:tcPr>
          <w:p w:rsidR="002B0C1F" w:rsidRPr="002751FC" w:rsidRDefault="002B0C1F" w:rsidP="00243401">
            <w:pPr>
              <w:pStyle w:val="cp"/>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46,8</w:t>
            </w:r>
          </w:p>
        </w:tc>
        <w:tc>
          <w:tcPr>
            <w:tcW w:w="668" w:type="dxa"/>
            <w:shd w:val="clear" w:color="auto" w:fill="DEEAF6" w:themeFill="accent1" w:themeFillTint="33"/>
          </w:tcPr>
          <w:p w:rsidR="002B0C1F" w:rsidRPr="002751FC" w:rsidRDefault="002B0C1F" w:rsidP="00243401">
            <w:pPr>
              <w:pStyle w:val="cp"/>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48,5</w:t>
            </w:r>
          </w:p>
        </w:tc>
        <w:tc>
          <w:tcPr>
            <w:tcW w:w="500" w:type="dxa"/>
            <w:shd w:val="clear" w:color="auto" w:fill="DEEAF6" w:themeFill="accent1" w:themeFillTint="33"/>
          </w:tcPr>
          <w:p w:rsidR="002B0C1F" w:rsidRPr="002751FC" w:rsidRDefault="002B0C1F" w:rsidP="00243401">
            <w:pPr>
              <w:pStyle w:val="cp"/>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30,5</w:t>
            </w:r>
          </w:p>
        </w:tc>
        <w:tc>
          <w:tcPr>
            <w:tcW w:w="836" w:type="dxa"/>
            <w:shd w:val="clear" w:color="auto" w:fill="DEEAF6" w:themeFill="accent1" w:themeFillTint="33"/>
          </w:tcPr>
          <w:p w:rsidR="002B0C1F" w:rsidRPr="002751FC" w:rsidRDefault="002B0C1F" w:rsidP="00243401">
            <w:pPr>
              <w:pStyle w:val="cp"/>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-18,0</w:t>
            </w:r>
          </w:p>
        </w:tc>
        <w:tc>
          <w:tcPr>
            <w:tcW w:w="756" w:type="dxa"/>
            <w:shd w:val="clear" w:color="auto" w:fill="DEEAF6" w:themeFill="accent1" w:themeFillTint="33"/>
          </w:tcPr>
          <w:p w:rsidR="002B0C1F" w:rsidRPr="002751FC" w:rsidRDefault="002B0C1F" w:rsidP="00243401">
            <w:pPr>
              <w:pStyle w:val="cp"/>
              <w:jc w:val="right"/>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62,9%</w:t>
            </w:r>
          </w:p>
        </w:tc>
        <w:tc>
          <w:tcPr>
            <w:tcW w:w="1990" w:type="dxa"/>
            <w:shd w:val="clear" w:color="auto" w:fill="DEEAF6" w:themeFill="accent1" w:themeFillTint="33"/>
          </w:tcPr>
          <w:p w:rsidR="002B0C1F" w:rsidRPr="002751FC" w:rsidRDefault="001E628B" w:rsidP="001E628B">
            <w:pPr>
              <w:pStyle w:val="cp"/>
              <w:rPr>
                <w:rFonts w:asciiTheme="majorHAnsi" w:hAnsiTheme="majorHAnsi" w:cstheme="majorHAnsi"/>
                <w:bCs w:val="0"/>
                <w:sz w:val="16"/>
                <w:szCs w:val="16"/>
                <w:lang w:val="ro-MD" w:eastAsia="en-US"/>
              </w:rPr>
            </w:pPr>
            <w:r w:rsidRPr="002751FC">
              <w:rPr>
                <w:rFonts w:asciiTheme="majorHAnsi" w:hAnsiTheme="majorHAnsi" w:cstheme="majorHAnsi"/>
                <w:bCs w:val="0"/>
                <w:sz w:val="16"/>
                <w:szCs w:val="16"/>
                <w:lang w:val="ro-MD" w:eastAsia="en-US"/>
              </w:rPr>
              <w:t>x</w:t>
            </w:r>
          </w:p>
        </w:tc>
      </w:tr>
    </w:tbl>
    <w:p w:rsidR="002B0C1F" w:rsidRPr="002751FC" w:rsidRDefault="002B0C1F" w:rsidP="00243401">
      <w:pPr>
        <w:pStyle w:val="cp"/>
        <w:jc w:val="both"/>
        <w:rPr>
          <w:rFonts w:asciiTheme="majorHAnsi" w:hAnsiTheme="majorHAnsi" w:cstheme="majorHAnsi"/>
          <w:b w:val="0"/>
          <w:bCs w:val="0"/>
          <w:sz w:val="16"/>
          <w:szCs w:val="16"/>
          <w:lang w:val="ro-MD" w:eastAsia="en-US"/>
        </w:rPr>
      </w:pPr>
      <w:r w:rsidRPr="002751FC">
        <w:rPr>
          <w:rFonts w:asciiTheme="majorHAnsi" w:hAnsiTheme="majorHAnsi" w:cstheme="majorHAnsi"/>
          <w:bCs w:val="0"/>
          <w:sz w:val="16"/>
          <w:szCs w:val="16"/>
          <w:lang w:val="ro-MD" w:eastAsia="en-US"/>
        </w:rPr>
        <w:t xml:space="preserve">Sursa: </w:t>
      </w:r>
      <w:r w:rsidRPr="002751FC">
        <w:rPr>
          <w:rFonts w:asciiTheme="majorHAnsi" w:hAnsiTheme="majorHAnsi" w:cstheme="majorHAnsi"/>
          <w:b w:val="0"/>
          <w:bCs w:val="0"/>
          <w:sz w:val="16"/>
          <w:szCs w:val="16"/>
          <w:lang w:val="ro-MD" w:eastAsia="en-US"/>
        </w:rPr>
        <w:t>Datele ONVV.</w:t>
      </w:r>
    </w:p>
    <w:p w:rsidR="002B0C1F" w:rsidRPr="002751FC" w:rsidRDefault="002B0C1F" w:rsidP="00243401">
      <w:pPr>
        <w:pStyle w:val="cp"/>
        <w:jc w:val="both"/>
        <w:rPr>
          <w:rFonts w:asciiTheme="majorHAnsi" w:hAnsiTheme="majorHAnsi" w:cstheme="majorHAnsi"/>
          <w:b w:val="0"/>
          <w:sz w:val="16"/>
          <w:szCs w:val="16"/>
          <w:lang w:val="ro-MD"/>
        </w:rPr>
      </w:pPr>
      <w:r w:rsidRPr="002751FC">
        <w:rPr>
          <w:rFonts w:asciiTheme="majorHAnsi" w:hAnsiTheme="majorHAnsi" w:cstheme="majorHAnsi"/>
          <w:b w:val="0"/>
          <w:bCs w:val="0"/>
          <w:sz w:val="16"/>
          <w:szCs w:val="16"/>
          <w:lang w:val="ro-MD" w:eastAsia="en-US"/>
        </w:rPr>
        <w:t xml:space="preserve"> </w:t>
      </w:r>
    </w:p>
    <w:p w:rsidR="002B0C1F" w:rsidRPr="002751FC" w:rsidRDefault="002B0C1F" w:rsidP="00243401">
      <w:pPr>
        <w:pStyle w:val="ac"/>
        <w:ind w:left="0"/>
        <w:rPr>
          <w:rFonts w:asciiTheme="majorHAnsi" w:hAnsiTheme="majorHAnsi" w:cstheme="majorHAnsi"/>
          <w:szCs w:val="28"/>
          <w:lang w:val="ro-MD"/>
        </w:rPr>
      </w:pPr>
      <w:r w:rsidRPr="002751FC">
        <w:rPr>
          <w:rFonts w:asciiTheme="majorHAnsi" w:hAnsiTheme="majorHAnsi" w:cstheme="majorHAnsi"/>
          <w:szCs w:val="28"/>
          <w:lang w:val="ro-MD"/>
        </w:rPr>
        <w:t xml:space="preserve">Conform explicațiilor ONVV, depășirea limitelor de cheltuieli aferente activității de marketing ce țin de participarea la concursuri și expoziții a fost admisă ca urmare a solicitărilor suplimentare </w:t>
      </w:r>
      <w:r w:rsidR="00296B36" w:rsidRPr="002751FC">
        <w:rPr>
          <w:rFonts w:asciiTheme="majorHAnsi" w:hAnsiTheme="majorHAnsi" w:cstheme="majorHAnsi"/>
          <w:szCs w:val="28"/>
          <w:lang w:val="ro-MD"/>
        </w:rPr>
        <w:t xml:space="preserve">de participare </w:t>
      </w:r>
      <w:r w:rsidR="000C457C" w:rsidRPr="002751FC">
        <w:rPr>
          <w:rFonts w:asciiTheme="majorHAnsi" w:hAnsiTheme="majorHAnsi" w:cstheme="majorHAnsi"/>
          <w:szCs w:val="28"/>
          <w:lang w:val="ro-MD"/>
        </w:rPr>
        <w:t xml:space="preserve">parvenite </w:t>
      </w:r>
      <w:r w:rsidRPr="002751FC">
        <w:rPr>
          <w:rFonts w:asciiTheme="majorHAnsi" w:hAnsiTheme="majorHAnsi" w:cstheme="majorHAnsi"/>
          <w:szCs w:val="28"/>
          <w:lang w:val="ro-MD"/>
        </w:rPr>
        <w:t>din partea producătorilor agricoli, numărul unităților vinicole participante fiind în creștere, respectiv</w:t>
      </w:r>
      <w:r w:rsidR="00296B36" w:rsidRPr="002751FC">
        <w:rPr>
          <w:rFonts w:asciiTheme="majorHAnsi" w:hAnsiTheme="majorHAnsi" w:cstheme="majorHAnsi"/>
          <w:szCs w:val="28"/>
          <w:lang w:val="ro-MD"/>
        </w:rPr>
        <w:t>,</w:t>
      </w:r>
      <w:r w:rsidRPr="002751FC">
        <w:rPr>
          <w:rFonts w:asciiTheme="majorHAnsi" w:hAnsiTheme="majorHAnsi" w:cstheme="majorHAnsi"/>
          <w:szCs w:val="28"/>
          <w:lang w:val="ro-MD"/>
        </w:rPr>
        <w:t xml:space="preserve"> </w:t>
      </w:r>
      <w:r w:rsidR="00130505" w:rsidRPr="002751FC">
        <w:rPr>
          <w:rFonts w:asciiTheme="majorHAnsi" w:hAnsiTheme="majorHAnsi" w:cstheme="majorHAnsi"/>
          <w:szCs w:val="28"/>
          <w:lang w:val="ro-MD"/>
        </w:rPr>
        <w:t>majorând</w:t>
      </w:r>
      <w:r w:rsidRPr="002751FC">
        <w:rPr>
          <w:rFonts w:asciiTheme="majorHAnsi" w:hAnsiTheme="majorHAnsi" w:cstheme="majorHAnsi"/>
          <w:szCs w:val="28"/>
          <w:lang w:val="ro-MD"/>
        </w:rPr>
        <w:t xml:space="preserve"> și cheltuielile pentru evenimente.</w:t>
      </w:r>
    </w:p>
    <w:p w:rsidR="00130505" w:rsidRPr="002751FC" w:rsidRDefault="00130505" w:rsidP="00243401">
      <w:pPr>
        <w:pStyle w:val="ac"/>
        <w:ind w:left="0"/>
        <w:rPr>
          <w:rFonts w:asciiTheme="majorHAnsi" w:hAnsiTheme="majorHAnsi" w:cstheme="majorHAnsi"/>
          <w:szCs w:val="28"/>
          <w:lang w:val="ro-MD"/>
        </w:rPr>
      </w:pPr>
    </w:p>
    <w:p w:rsidR="002B0C1F" w:rsidRPr="002751FC" w:rsidRDefault="002B0C1F" w:rsidP="00243401">
      <w:pPr>
        <w:pStyle w:val="1"/>
        <w:spacing w:before="0"/>
        <w:jc w:val="both"/>
        <w:rPr>
          <w:rFonts w:eastAsia="Times New Roman" w:cstheme="majorHAnsi"/>
          <w:b/>
          <w:color w:val="auto"/>
          <w:sz w:val="28"/>
          <w:szCs w:val="28"/>
          <w:lang w:val="ro-MD"/>
        </w:rPr>
      </w:pPr>
      <w:bookmarkStart w:id="32" w:name="_Toc23259096"/>
      <w:r w:rsidRPr="002751FC">
        <w:rPr>
          <w:rFonts w:cstheme="majorHAnsi"/>
          <w:b/>
          <w:color w:val="auto"/>
          <w:sz w:val="28"/>
          <w:szCs w:val="28"/>
          <w:lang w:val="ro-MD"/>
        </w:rPr>
        <w:lastRenderedPageBreak/>
        <w:t>4.1.6</w:t>
      </w:r>
      <w:r w:rsidRPr="002751FC">
        <w:rPr>
          <w:rFonts w:cstheme="majorHAnsi"/>
          <w:b/>
          <w:color w:val="auto"/>
          <w:lang w:val="ro-MD"/>
        </w:rPr>
        <w:t xml:space="preserve">. </w:t>
      </w:r>
      <w:r w:rsidRPr="002751FC">
        <w:rPr>
          <w:rFonts w:eastAsia="Times New Roman" w:cstheme="majorHAnsi"/>
          <w:b/>
          <w:color w:val="auto"/>
          <w:sz w:val="28"/>
          <w:szCs w:val="28"/>
          <w:lang w:val="ro-MD"/>
        </w:rPr>
        <w:t>Planificarea neadecvată a resurselor financiare și măsurilor care urmează a fi realizate în anul bugetar respectiv a influențat nivelul de realizare a indicatorilor bugetari aprobați</w:t>
      </w:r>
      <w:bookmarkEnd w:id="32"/>
      <w:r w:rsidRPr="002751FC">
        <w:rPr>
          <w:rFonts w:eastAsia="Times New Roman" w:cstheme="majorHAnsi"/>
          <w:b/>
          <w:color w:val="auto"/>
          <w:sz w:val="28"/>
          <w:szCs w:val="28"/>
          <w:lang w:val="ro-MD"/>
        </w:rPr>
        <w:t xml:space="preserve"> </w:t>
      </w:r>
    </w:p>
    <w:p w:rsidR="002B0C1F" w:rsidRPr="002751FC" w:rsidRDefault="002B0C1F" w:rsidP="00243401">
      <w:pPr>
        <w:spacing w:after="0"/>
        <w:rPr>
          <w:rFonts w:asciiTheme="majorHAnsi" w:hAnsiTheme="majorHAnsi" w:cstheme="majorHAnsi"/>
          <w:lang w:val="ro-MD"/>
        </w:rPr>
      </w:pPr>
    </w:p>
    <w:p w:rsidR="002B0C1F" w:rsidRPr="002751FC" w:rsidRDefault="002B0C1F" w:rsidP="00243401">
      <w:pPr>
        <w:pStyle w:val="ac"/>
        <w:numPr>
          <w:ilvl w:val="0"/>
          <w:numId w:val="14"/>
        </w:numPr>
        <w:ind w:left="0" w:firstLine="567"/>
        <w:rPr>
          <w:rFonts w:asciiTheme="majorHAnsi" w:hAnsiTheme="majorHAnsi" w:cstheme="majorHAnsi"/>
          <w:i/>
          <w:szCs w:val="28"/>
          <w:lang w:val="ro-MD"/>
        </w:rPr>
      </w:pPr>
      <w:r w:rsidRPr="002751FC">
        <w:rPr>
          <w:rFonts w:asciiTheme="majorHAnsi" w:hAnsiTheme="majorHAnsi" w:cstheme="majorHAnsi"/>
          <w:szCs w:val="28"/>
          <w:lang w:val="ro-MD"/>
        </w:rPr>
        <w:t>Analiza realizării i</w:t>
      </w:r>
      <w:r w:rsidR="00786C1D" w:rsidRPr="002751FC">
        <w:rPr>
          <w:rFonts w:asciiTheme="majorHAnsi" w:hAnsiTheme="majorHAnsi" w:cstheme="majorHAnsi"/>
          <w:szCs w:val="28"/>
          <w:lang w:val="ro-MD"/>
        </w:rPr>
        <w:t>ndicatorilor bugetari aferenți</w:t>
      </w:r>
      <w:r w:rsidRPr="002751FC">
        <w:rPr>
          <w:rFonts w:asciiTheme="majorHAnsi" w:hAnsiTheme="majorHAnsi" w:cstheme="majorHAnsi"/>
          <w:szCs w:val="28"/>
          <w:lang w:val="ro-MD"/>
        </w:rPr>
        <w:t xml:space="preserve"> cheltuielilor FVV denotă că </w:t>
      </w:r>
      <w:r w:rsidR="005315D2" w:rsidRPr="002751FC">
        <w:rPr>
          <w:rFonts w:asciiTheme="majorHAnsi" w:hAnsiTheme="majorHAnsi" w:cstheme="majorHAnsi"/>
          <w:szCs w:val="28"/>
          <w:lang w:val="ro-MD"/>
        </w:rPr>
        <w:t>aceștia</w:t>
      </w:r>
      <w:r w:rsidRPr="002751FC">
        <w:rPr>
          <w:rFonts w:asciiTheme="majorHAnsi" w:hAnsiTheme="majorHAnsi" w:cstheme="majorHAnsi"/>
          <w:szCs w:val="28"/>
          <w:lang w:val="ro-MD"/>
        </w:rPr>
        <w:t xml:space="preserve">, pe </w:t>
      </w:r>
      <w:r w:rsidR="005315D2" w:rsidRPr="002751FC">
        <w:rPr>
          <w:rFonts w:asciiTheme="majorHAnsi" w:hAnsiTheme="majorHAnsi" w:cstheme="majorHAnsi"/>
          <w:szCs w:val="28"/>
          <w:lang w:val="ro-MD"/>
        </w:rPr>
        <w:t>parcursul mai multor ani</w:t>
      </w:r>
      <w:r w:rsidR="00786C1D" w:rsidRPr="002751FC">
        <w:rPr>
          <w:rFonts w:asciiTheme="majorHAnsi" w:hAnsiTheme="majorHAnsi" w:cstheme="majorHAnsi"/>
          <w:szCs w:val="28"/>
          <w:lang w:val="ro-MD"/>
        </w:rPr>
        <w:t>,</w:t>
      </w:r>
      <w:r w:rsidR="005315D2" w:rsidRPr="002751FC">
        <w:rPr>
          <w:rFonts w:asciiTheme="majorHAnsi" w:hAnsiTheme="majorHAnsi" w:cstheme="majorHAnsi"/>
          <w:szCs w:val="28"/>
          <w:lang w:val="ro-MD"/>
        </w:rPr>
        <w:t xml:space="preserve"> </w:t>
      </w:r>
      <w:r w:rsidRPr="002751FC">
        <w:rPr>
          <w:rFonts w:asciiTheme="majorHAnsi" w:hAnsiTheme="majorHAnsi" w:cstheme="majorHAnsi"/>
          <w:szCs w:val="28"/>
          <w:lang w:val="ro-MD"/>
        </w:rPr>
        <w:t>sunt realizați sub nivelul prognozat, variind față de volumul de cheltuieli aprobat prin Legea bugetului de stat</w:t>
      </w:r>
      <w:r w:rsidR="00296B36" w:rsidRPr="002751FC">
        <w:rPr>
          <w:rFonts w:asciiTheme="majorHAnsi" w:hAnsiTheme="majorHAnsi" w:cstheme="majorHAnsi"/>
          <w:szCs w:val="28"/>
          <w:lang w:val="ro-MD"/>
        </w:rPr>
        <w:t>,</w:t>
      </w:r>
      <w:r w:rsidRPr="002751FC">
        <w:rPr>
          <w:rFonts w:asciiTheme="majorHAnsi" w:hAnsiTheme="majorHAnsi" w:cstheme="majorHAnsi"/>
          <w:szCs w:val="28"/>
          <w:lang w:val="ro-MD"/>
        </w:rPr>
        <w:t xml:space="preserve"> de la</w:t>
      </w:r>
      <w:r w:rsidR="005315D2" w:rsidRPr="002751FC">
        <w:rPr>
          <w:rFonts w:asciiTheme="majorHAnsi" w:hAnsiTheme="majorHAnsi" w:cstheme="majorHAnsi"/>
          <w:szCs w:val="28"/>
          <w:lang w:val="ro-MD"/>
        </w:rPr>
        <w:t xml:space="preserve"> </w:t>
      </w:r>
      <w:r w:rsidRPr="002751FC">
        <w:rPr>
          <w:rFonts w:asciiTheme="majorHAnsi" w:hAnsiTheme="majorHAnsi" w:cstheme="majorHAnsi"/>
          <w:szCs w:val="28"/>
          <w:lang w:val="ro-MD"/>
        </w:rPr>
        <w:t xml:space="preserve">19,7% în anul 2014 până la 94,5% în anul 2018, iar față de bugetele aprobate de CC, </w:t>
      </w:r>
      <w:r w:rsidR="005315D2" w:rsidRPr="002751FC">
        <w:rPr>
          <w:rFonts w:asciiTheme="majorHAnsi" w:hAnsiTheme="majorHAnsi" w:cstheme="majorHAnsi"/>
          <w:szCs w:val="28"/>
          <w:lang w:val="ro-MD"/>
        </w:rPr>
        <w:t>variațiile</w:t>
      </w:r>
      <w:r w:rsidRPr="002751FC">
        <w:rPr>
          <w:rFonts w:asciiTheme="majorHAnsi" w:hAnsiTheme="majorHAnsi" w:cstheme="majorHAnsi"/>
          <w:szCs w:val="28"/>
          <w:lang w:val="ro-MD"/>
        </w:rPr>
        <w:t xml:space="preserve"> au constituit de la 25,2% în anul 2014, până la 73,7% în anul 2017. </w:t>
      </w:r>
      <w:r w:rsidRPr="002751FC">
        <w:rPr>
          <w:rFonts w:asciiTheme="majorHAnsi" w:hAnsiTheme="majorHAnsi" w:cstheme="majorHAnsi"/>
          <w:i/>
          <w:szCs w:val="28"/>
          <w:lang w:val="ro-MD"/>
        </w:rPr>
        <w:t>S</w:t>
      </w:r>
      <w:r w:rsidR="00786C1D" w:rsidRPr="002751FC">
        <w:rPr>
          <w:rFonts w:asciiTheme="majorHAnsi" w:hAnsiTheme="majorHAnsi" w:cstheme="majorHAnsi"/>
          <w:i/>
          <w:szCs w:val="28"/>
          <w:lang w:val="ro-MD"/>
        </w:rPr>
        <w:t>inteza realizării cheltuielilor</w:t>
      </w:r>
      <w:r w:rsidRPr="002751FC">
        <w:rPr>
          <w:rFonts w:asciiTheme="majorHAnsi" w:hAnsiTheme="majorHAnsi" w:cstheme="majorHAnsi"/>
          <w:i/>
          <w:szCs w:val="28"/>
          <w:lang w:val="ro-MD"/>
        </w:rPr>
        <w:t xml:space="preserve"> FVV în anii 2014-2018 se prezintă în Tabelul nr.7.</w:t>
      </w:r>
    </w:p>
    <w:p w:rsidR="002B0C1F" w:rsidRPr="002751FC" w:rsidRDefault="002B0C1F" w:rsidP="00243401">
      <w:pPr>
        <w:pStyle w:val="ac"/>
        <w:ind w:left="567"/>
        <w:rPr>
          <w:rFonts w:asciiTheme="majorHAnsi" w:hAnsiTheme="majorHAnsi" w:cstheme="majorHAnsi"/>
          <w:i/>
          <w:sz w:val="24"/>
          <w:lang w:val="ro-MD"/>
        </w:rPr>
      </w:pPr>
    </w:p>
    <w:p w:rsidR="00ED35AD" w:rsidRPr="002751FC" w:rsidRDefault="002B0C1F" w:rsidP="00ED35AD">
      <w:pPr>
        <w:spacing w:after="0"/>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Tabelul nr.7</w:t>
      </w:r>
    </w:p>
    <w:p w:rsidR="002B0C1F" w:rsidRPr="002751FC" w:rsidRDefault="002B0C1F" w:rsidP="00372F7C">
      <w:pPr>
        <w:spacing w:after="0"/>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 xml:space="preserve">Sinteza realizării cheltuielilor FVV în anii 2014-2018, </w:t>
      </w:r>
      <w:proofErr w:type="spellStart"/>
      <w:r w:rsidRPr="002751FC">
        <w:rPr>
          <w:rFonts w:asciiTheme="majorHAnsi" w:hAnsiTheme="majorHAnsi" w:cstheme="majorHAnsi"/>
          <w:b/>
          <w:sz w:val="20"/>
          <w:szCs w:val="20"/>
          <w:lang w:val="ro-MD"/>
        </w:rPr>
        <w:t>mil.MDL</w:t>
      </w:r>
      <w:proofErr w:type="spellEnd"/>
    </w:p>
    <w:tbl>
      <w:tblPr>
        <w:tblStyle w:val="ae"/>
        <w:tblW w:w="9829" w:type="dxa"/>
        <w:tblLook w:val="04A0" w:firstRow="1" w:lastRow="0" w:firstColumn="1" w:lastColumn="0" w:noHBand="0" w:noVBand="1"/>
      </w:tblPr>
      <w:tblGrid>
        <w:gridCol w:w="1227"/>
        <w:gridCol w:w="1228"/>
        <w:gridCol w:w="1230"/>
        <w:gridCol w:w="1228"/>
        <w:gridCol w:w="1228"/>
        <w:gridCol w:w="1230"/>
        <w:gridCol w:w="1228"/>
        <w:gridCol w:w="1230"/>
      </w:tblGrid>
      <w:tr w:rsidR="002B0C1F" w:rsidRPr="002751FC" w:rsidTr="001D118D">
        <w:trPr>
          <w:trHeight w:val="479"/>
        </w:trPr>
        <w:tc>
          <w:tcPr>
            <w:tcW w:w="1227" w:type="dxa"/>
            <w:vMerge w:val="restart"/>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Anii</w:t>
            </w:r>
          </w:p>
        </w:tc>
        <w:tc>
          <w:tcPr>
            <w:tcW w:w="2458" w:type="dxa"/>
            <w:gridSpan w:val="2"/>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Planificat</w:t>
            </w:r>
          </w:p>
        </w:tc>
        <w:tc>
          <w:tcPr>
            <w:tcW w:w="1228" w:type="dxa"/>
            <w:vMerge w:val="restart"/>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Realizat</w:t>
            </w:r>
          </w:p>
        </w:tc>
        <w:tc>
          <w:tcPr>
            <w:tcW w:w="2458" w:type="dxa"/>
            <w:gridSpan w:val="2"/>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Devieri (suma) față de aprobat de:</w:t>
            </w:r>
          </w:p>
        </w:tc>
        <w:tc>
          <w:tcPr>
            <w:tcW w:w="2458" w:type="dxa"/>
            <w:gridSpan w:val="2"/>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Nivelul de realizare (%) față de:</w:t>
            </w:r>
          </w:p>
        </w:tc>
      </w:tr>
      <w:tr w:rsidR="002B0C1F" w:rsidRPr="002751FC" w:rsidTr="001D118D">
        <w:trPr>
          <w:trHeight w:val="260"/>
        </w:trPr>
        <w:tc>
          <w:tcPr>
            <w:tcW w:w="1227" w:type="dxa"/>
            <w:vMerge/>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p>
        </w:tc>
        <w:tc>
          <w:tcPr>
            <w:tcW w:w="1228" w:type="dxa"/>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L</w:t>
            </w:r>
            <w:r w:rsidR="00786C1D" w:rsidRPr="002751FC">
              <w:rPr>
                <w:rFonts w:asciiTheme="majorHAnsi" w:hAnsiTheme="majorHAnsi" w:cstheme="majorHAnsi"/>
                <w:b/>
                <w:sz w:val="20"/>
                <w:szCs w:val="20"/>
                <w:lang w:val="ro-MD"/>
              </w:rPr>
              <w:t xml:space="preserve">egea </w:t>
            </w:r>
            <w:r w:rsidRPr="002751FC">
              <w:rPr>
                <w:rFonts w:asciiTheme="majorHAnsi" w:hAnsiTheme="majorHAnsi" w:cstheme="majorHAnsi"/>
                <w:b/>
                <w:sz w:val="20"/>
                <w:szCs w:val="20"/>
                <w:lang w:val="ro-MD"/>
              </w:rPr>
              <w:t>B</w:t>
            </w:r>
            <w:r w:rsidR="00786C1D" w:rsidRPr="002751FC">
              <w:rPr>
                <w:rFonts w:asciiTheme="majorHAnsi" w:hAnsiTheme="majorHAnsi" w:cstheme="majorHAnsi"/>
                <w:b/>
                <w:sz w:val="20"/>
                <w:szCs w:val="20"/>
                <w:lang w:val="ro-MD"/>
              </w:rPr>
              <w:t>S</w:t>
            </w:r>
          </w:p>
        </w:tc>
        <w:tc>
          <w:tcPr>
            <w:tcW w:w="1229" w:type="dxa"/>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CC</w:t>
            </w:r>
          </w:p>
        </w:tc>
        <w:tc>
          <w:tcPr>
            <w:tcW w:w="1228" w:type="dxa"/>
            <w:vMerge/>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p>
        </w:tc>
        <w:tc>
          <w:tcPr>
            <w:tcW w:w="1228" w:type="dxa"/>
            <w:shd w:val="clear" w:color="auto" w:fill="DEEAF6" w:themeFill="accent1" w:themeFillTint="33"/>
            <w:vAlign w:val="center"/>
          </w:tcPr>
          <w:p w:rsidR="002B0C1F" w:rsidRPr="002751FC" w:rsidRDefault="00786C1D"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Legea BS</w:t>
            </w:r>
          </w:p>
        </w:tc>
        <w:tc>
          <w:tcPr>
            <w:tcW w:w="1229" w:type="dxa"/>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CC</w:t>
            </w:r>
          </w:p>
        </w:tc>
        <w:tc>
          <w:tcPr>
            <w:tcW w:w="1228" w:type="dxa"/>
            <w:shd w:val="clear" w:color="auto" w:fill="DEEAF6" w:themeFill="accent1" w:themeFillTint="33"/>
            <w:vAlign w:val="center"/>
          </w:tcPr>
          <w:p w:rsidR="002B0C1F" w:rsidRPr="002751FC" w:rsidRDefault="00786C1D"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Legea BS</w:t>
            </w:r>
          </w:p>
        </w:tc>
        <w:tc>
          <w:tcPr>
            <w:tcW w:w="1229" w:type="dxa"/>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CC</w:t>
            </w:r>
          </w:p>
        </w:tc>
      </w:tr>
      <w:tr w:rsidR="002B0C1F" w:rsidRPr="002751FC" w:rsidTr="00563F6A">
        <w:trPr>
          <w:trHeight w:val="161"/>
        </w:trPr>
        <w:tc>
          <w:tcPr>
            <w:tcW w:w="1227" w:type="dxa"/>
          </w:tcPr>
          <w:p w:rsidR="002B0C1F" w:rsidRPr="002751FC" w:rsidRDefault="002B0C1F" w:rsidP="00563F6A">
            <w:pPr>
              <w:jc w:val="both"/>
              <w:rPr>
                <w:rFonts w:asciiTheme="majorHAnsi" w:hAnsiTheme="majorHAnsi" w:cstheme="majorHAnsi"/>
                <w:sz w:val="20"/>
                <w:szCs w:val="20"/>
                <w:lang w:val="ro-MD"/>
              </w:rPr>
            </w:pPr>
            <w:r w:rsidRPr="002751FC">
              <w:rPr>
                <w:rFonts w:asciiTheme="majorHAnsi" w:hAnsiTheme="majorHAnsi" w:cstheme="majorHAnsi"/>
                <w:sz w:val="20"/>
                <w:szCs w:val="20"/>
                <w:lang w:val="ro-MD"/>
              </w:rPr>
              <w:t>2014</w:t>
            </w:r>
          </w:p>
        </w:tc>
        <w:tc>
          <w:tcPr>
            <w:tcW w:w="1228" w:type="dxa"/>
          </w:tcPr>
          <w:p w:rsidR="002B0C1F" w:rsidRPr="002751FC" w:rsidRDefault="002B0C1F" w:rsidP="00C80B0C">
            <w:pPr>
              <w:jc w:val="right"/>
              <w:rPr>
                <w:rFonts w:asciiTheme="majorHAnsi" w:hAnsiTheme="majorHAnsi" w:cstheme="majorHAnsi"/>
                <w:sz w:val="20"/>
                <w:szCs w:val="20"/>
                <w:highlight w:val="yellow"/>
                <w:lang w:val="ro-MD"/>
              </w:rPr>
            </w:pPr>
            <w:r w:rsidRPr="002751FC">
              <w:rPr>
                <w:rFonts w:asciiTheme="majorHAnsi" w:hAnsiTheme="majorHAnsi" w:cstheme="majorHAnsi"/>
                <w:sz w:val="20"/>
                <w:szCs w:val="20"/>
                <w:lang w:val="ro-MD"/>
              </w:rPr>
              <w:t>59,0</w:t>
            </w:r>
          </w:p>
        </w:tc>
        <w:tc>
          <w:tcPr>
            <w:tcW w:w="1229"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bCs/>
                <w:sz w:val="20"/>
                <w:szCs w:val="20"/>
                <w:lang w:val="ro-MD"/>
              </w:rPr>
              <w:t>46,0</w:t>
            </w:r>
          </w:p>
        </w:tc>
        <w:tc>
          <w:tcPr>
            <w:tcW w:w="1228"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11,6</w:t>
            </w:r>
          </w:p>
        </w:tc>
        <w:tc>
          <w:tcPr>
            <w:tcW w:w="1228"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-47,4</w:t>
            </w:r>
          </w:p>
        </w:tc>
        <w:tc>
          <w:tcPr>
            <w:tcW w:w="1229"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-34,4</w:t>
            </w:r>
          </w:p>
        </w:tc>
        <w:tc>
          <w:tcPr>
            <w:tcW w:w="1228" w:type="dxa"/>
          </w:tcPr>
          <w:p w:rsidR="002B0C1F" w:rsidRPr="002751FC" w:rsidRDefault="002B0C1F" w:rsidP="00C80B0C">
            <w:pPr>
              <w:jc w:val="right"/>
              <w:rPr>
                <w:rFonts w:asciiTheme="majorHAnsi" w:hAnsiTheme="majorHAnsi" w:cstheme="majorHAnsi"/>
                <w:b/>
                <w:color w:val="FF0000"/>
                <w:sz w:val="20"/>
                <w:szCs w:val="20"/>
                <w:lang w:val="ro-MD"/>
              </w:rPr>
            </w:pPr>
            <w:r w:rsidRPr="002751FC">
              <w:rPr>
                <w:rFonts w:asciiTheme="majorHAnsi" w:hAnsiTheme="majorHAnsi" w:cstheme="majorHAnsi"/>
                <w:b/>
                <w:color w:val="FF0000"/>
                <w:sz w:val="20"/>
                <w:szCs w:val="20"/>
                <w:lang w:val="ro-MD"/>
              </w:rPr>
              <w:t>19,7%</w:t>
            </w:r>
          </w:p>
        </w:tc>
        <w:tc>
          <w:tcPr>
            <w:tcW w:w="1229" w:type="dxa"/>
          </w:tcPr>
          <w:p w:rsidR="002B0C1F" w:rsidRPr="002751FC" w:rsidRDefault="002B0C1F" w:rsidP="00C80B0C">
            <w:pPr>
              <w:jc w:val="right"/>
              <w:rPr>
                <w:rFonts w:asciiTheme="majorHAnsi" w:hAnsiTheme="majorHAnsi" w:cstheme="majorHAnsi"/>
                <w:b/>
                <w:color w:val="FF0000"/>
                <w:sz w:val="20"/>
                <w:szCs w:val="20"/>
                <w:lang w:val="ro-MD"/>
              </w:rPr>
            </w:pPr>
            <w:r w:rsidRPr="002751FC">
              <w:rPr>
                <w:rFonts w:asciiTheme="majorHAnsi" w:hAnsiTheme="majorHAnsi" w:cstheme="majorHAnsi"/>
                <w:b/>
                <w:color w:val="FF0000"/>
                <w:sz w:val="20"/>
                <w:szCs w:val="20"/>
                <w:lang w:val="ro-MD"/>
              </w:rPr>
              <w:t>25,2%</w:t>
            </w:r>
          </w:p>
        </w:tc>
      </w:tr>
      <w:tr w:rsidR="002B0C1F" w:rsidRPr="002751FC" w:rsidTr="00563F6A">
        <w:trPr>
          <w:trHeight w:val="153"/>
        </w:trPr>
        <w:tc>
          <w:tcPr>
            <w:tcW w:w="1227" w:type="dxa"/>
          </w:tcPr>
          <w:p w:rsidR="002B0C1F" w:rsidRPr="002751FC" w:rsidRDefault="002B0C1F" w:rsidP="00563F6A">
            <w:pPr>
              <w:jc w:val="both"/>
              <w:rPr>
                <w:rFonts w:asciiTheme="majorHAnsi" w:hAnsiTheme="majorHAnsi" w:cstheme="majorHAnsi"/>
                <w:sz w:val="20"/>
                <w:szCs w:val="20"/>
                <w:lang w:val="ro-MD"/>
              </w:rPr>
            </w:pPr>
            <w:r w:rsidRPr="002751FC">
              <w:rPr>
                <w:rFonts w:asciiTheme="majorHAnsi" w:hAnsiTheme="majorHAnsi" w:cstheme="majorHAnsi"/>
                <w:sz w:val="20"/>
                <w:szCs w:val="20"/>
                <w:lang w:val="ro-MD"/>
              </w:rPr>
              <w:t>2015</w:t>
            </w:r>
          </w:p>
        </w:tc>
        <w:tc>
          <w:tcPr>
            <w:tcW w:w="1228" w:type="dxa"/>
          </w:tcPr>
          <w:p w:rsidR="002B0C1F" w:rsidRPr="002751FC" w:rsidRDefault="002B0C1F" w:rsidP="00C80B0C">
            <w:pPr>
              <w:jc w:val="right"/>
              <w:rPr>
                <w:rFonts w:asciiTheme="majorHAnsi" w:hAnsiTheme="majorHAnsi" w:cstheme="majorHAnsi"/>
                <w:sz w:val="20"/>
                <w:szCs w:val="20"/>
                <w:highlight w:val="yellow"/>
                <w:lang w:val="ro-MD"/>
              </w:rPr>
            </w:pPr>
            <w:r w:rsidRPr="002751FC">
              <w:rPr>
                <w:rFonts w:asciiTheme="majorHAnsi" w:hAnsiTheme="majorHAnsi" w:cstheme="majorHAnsi"/>
                <w:sz w:val="20"/>
                <w:szCs w:val="20"/>
                <w:lang w:val="ro-MD"/>
              </w:rPr>
              <w:t>26,6</w:t>
            </w:r>
          </w:p>
        </w:tc>
        <w:tc>
          <w:tcPr>
            <w:tcW w:w="1229"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bCs/>
                <w:sz w:val="20"/>
                <w:szCs w:val="20"/>
                <w:lang w:val="ro-MD"/>
              </w:rPr>
              <w:t>30,0</w:t>
            </w:r>
          </w:p>
        </w:tc>
        <w:tc>
          <w:tcPr>
            <w:tcW w:w="1228"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17,8</w:t>
            </w:r>
          </w:p>
        </w:tc>
        <w:tc>
          <w:tcPr>
            <w:tcW w:w="1228"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-8,8</w:t>
            </w:r>
          </w:p>
        </w:tc>
        <w:tc>
          <w:tcPr>
            <w:tcW w:w="1229"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-12,2</w:t>
            </w:r>
          </w:p>
        </w:tc>
        <w:tc>
          <w:tcPr>
            <w:tcW w:w="1228"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66,9%</w:t>
            </w:r>
          </w:p>
        </w:tc>
        <w:tc>
          <w:tcPr>
            <w:tcW w:w="1229"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59,3%</w:t>
            </w:r>
          </w:p>
        </w:tc>
      </w:tr>
      <w:tr w:rsidR="002B0C1F" w:rsidRPr="002751FC" w:rsidTr="00563F6A">
        <w:trPr>
          <w:trHeight w:val="259"/>
        </w:trPr>
        <w:tc>
          <w:tcPr>
            <w:tcW w:w="1227" w:type="dxa"/>
          </w:tcPr>
          <w:p w:rsidR="002B0C1F" w:rsidRPr="002751FC" w:rsidRDefault="002B0C1F" w:rsidP="00563F6A">
            <w:pPr>
              <w:jc w:val="both"/>
              <w:rPr>
                <w:rFonts w:asciiTheme="majorHAnsi" w:hAnsiTheme="majorHAnsi" w:cstheme="majorHAnsi"/>
                <w:sz w:val="20"/>
                <w:szCs w:val="20"/>
                <w:lang w:val="ro-MD"/>
              </w:rPr>
            </w:pPr>
            <w:r w:rsidRPr="002751FC">
              <w:rPr>
                <w:rFonts w:asciiTheme="majorHAnsi" w:hAnsiTheme="majorHAnsi" w:cstheme="majorHAnsi"/>
                <w:sz w:val="20"/>
                <w:szCs w:val="20"/>
                <w:lang w:val="ro-MD"/>
              </w:rPr>
              <w:t>2016</w:t>
            </w:r>
          </w:p>
        </w:tc>
        <w:tc>
          <w:tcPr>
            <w:tcW w:w="1228" w:type="dxa"/>
          </w:tcPr>
          <w:p w:rsidR="002B0C1F" w:rsidRPr="002751FC" w:rsidRDefault="002B0C1F" w:rsidP="00C80B0C">
            <w:pPr>
              <w:jc w:val="right"/>
              <w:rPr>
                <w:rFonts w:asciiTheme="majorHAnsi" w:hAnsiTheme="majorHAnsi" w:cstheme="majorHAnsi"/>
                <w:sz w:val="20"/>
                <w:szCs w:val="20"/>
                <w:highlight w:val="yellow"/>
                <w:lang w:val="ro-MD"/>
              </w:rPr>
            </w:pPr>
            <w:r w:rsidRPr="002751FC">
              <w:rPr>
                <w:rFonts w:asciiTheme="majorHAnsi" w:hAnsiTheme="majorHAnsi" w:cstheme="majorHAnsi"/>
                <w:sz w:val="20"/>
                <w:szCs w:val="20"/>
                <w:lang w:val="ro-MD"/>
              </w:rPr>
              <w:t>30,0</w:t>
            </w:r>
          </w:p>
        </w:tc>
        <w:tc>
          <w:tcPr>
            <w:tcW w:w="1229"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bCs/>
                <w:sz w:val="20"/>
                <w:szCs w:val="20"/>
                <w:lang w:val="ro-MD"/>
              </w:rPr>
              <w:t>26,7</w:t>
            </w:r>
          </w:p>
        </w:tc>
        <w:tc>
          <w:tcPr>
            <w:tcW w:w="1228"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17,3</w:t>
            </w:r>
          </w:p>
        </w:tc>
        <w:tc>
          <w:tcPr>
            <w:tcW w:w="1228"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-12,7</w:t>
            </w:r>
          </w:p>
        </w:tc>
        <w:tc>
          <w:tcPr>
            <w:tcW w:w="1229"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-9,4</w:t>
            </w:r>
          </w:p>
        </w:tc>
        <w:tc>
          <w:tcPr>
            <w:tcW w:w="1228"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57,7%</w:t>
            </w:r>
          </w:p>
        </w:tc>
        <w:tc>
          <w:tcPr>
            <w:tcW w:w="1229"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64,8%</w:t>
            </w:r>
          </w:p>
        </w:tc>
      </w:tr>
      <w:tr w:rsidR="002B0C1F" w:rsidRPr="002751FC" w:rsidTr="00563F6A">
        <w:trPr>
          <w:trHeight w:val="252"/>
        </w:trPr>
        <w:tc>
          <w:tcPr>
            <w:tcW w:w="1227" w:type="dxa"/>
          </w:tcPr>
          <w:p w:rsidR="002B0C1F" w:rsidRPr="002751FC" w:rsidRDefault="002B0C1F" w:rsidP="00563F6A">
            <w:pPr>
              <w:jc w:val="both"/>
              <w:rPr>
                <w:rFonts w:asciiTheme="majorHAnsi" w:hAnsiTheme="majorHAnsi" w:cstheme="majorHAnsi"/>
                <w:sz w:val="20"/>
                <w:szCs w:val="20"/>
                <w:lang w:val="ro-MD"/>
              </w:rPr>
            </w:pPr>
            <w:r w:rsidRPr="002751FC">
              <w:rPr>
                <w:rFonts w:asciiTheme="majorHAnsi" w:hAnsiTheme="majorHAnsi" w:cstheme="majorHAnsi"/>
                <w:sz w:val="20"/>
                <w:szCs w:val="20"/>
                <w:lang w:val="ro-MD"/>
              </w:rPr>
              <w:t>2017</w:t>
            </w:r>
          </w:p>
        </w:tc>
        <w:tc>
          <w:tcPr>
            <w:tcW w:w="1228" w:type="dxa"/>
          </w:tcPr>
          <w:p w:rsidR="002B0C1F" w:rsidRPr="002751FC" w:rsidRDefault="002B0C1F" w:rsidP="00C80B0C">
            <w:pPr>
              <w:jc w:val="right"/>
              <w:rPr>
                <w:rFonts w:asciiTheme="majorHAnsi" w:hAnsiTheme="majorHAnsi" w:cstheme="majorHAnsi"/>
                <w:sz w:val="20"/>
                <w:szCs w:val="20"/>
                <w:highlight w:val="yellow"/>
                <w:lang w:val="ro-MD"/>
              </w:rPr>
            </w:pPr>
            <w:r w:rsidRPr="002751FC">
              <w:rPr>
                <w:rFonts w:asciiTheme="majorHAnsi" w:hAnsiTheme="majorHAnsi" w:cstheme="majorHAnsi"/>
                <w:sz w:val="20"/>
                <w:szCs w:val="20"/>
                <w:lang w:val="ro-MD"/>
              </w:rPr>
              <w:t>53,7</w:t>
            </w:r>
          </w:p>
        </w:tc>
        <w:tc>
          <w:tcPr>
            <w:tcW w:w="1229"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bCs/>
                <w:sz w:val="20"/>
                <w:szCs w:val="20"/>
                <w:lang w:val="ro-MD"/>
              </w:rPr>
              <w:t>52,9</w:t>
            </w:r>
          </w:p>
        </w:tc>
        <w:tc>
          <w:tcPr>
            <w:tcW w:w="1228"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39,0</w:t>
            </w:r>
          </w:p>
        </w:tc>
        <w:tc>
          <w:tcPr>
            <w:tcW w:w="1228"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-14,7</w:t>
            </w:r>
          </w:p>
        </w:tc>
        <w:tc>
          <w:tcPr>
            <w:tcW w:w="1229"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-13,9</w:t>
            </w:r>
          </w:p>
        </w:tc>
        <w:tc>
          <w:tcPr>
            <w:tcW w:w="1228"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72,6%</w:t>
            </w:r>
          </w:p>
        </w:tc>
        <w:tc>
          <w:tcPr>
            <w:tcW w:w="1229" w:type="dxa"/>
          </w:tcPr>
          <w:p w:rsidR="002B0C1F" w:rsidRPr="002751FC" w:rsidRDefault="002B0C1F" w:rsidP="00C80B0C">
            <w:pPr>
              <w:jc w:val="right"/>
              <w:rPr>
                <w:rFonts w:asciiTheme="majorHAnsi" w:hAnsiTheme="majorHAnsi" w:cstheme="majorHAnsi"/>
                <w:b/>
                <w:sz w:val="20"/>
                <w:szCs w:val="20"/>
                <w:lang w:val="ro-MD"/>
              </w:rPr>
            </w:pPr>
            <w:r w:rsidRPr="002751FC">
              <w:rPr>
                <w:rFonts w:asciiTheme="majorHAnsi" w:hAnsiTheme="majorHAnsi" w:cstheme="majorHAnsi"/>
                <w:b/>
                <w:color w:val="FF0000"/>
                <w:sz w:val="20"/>
                <w:szCs w:val="20"/>
                <w:lang w:val="ro-MD"/>
              </w:rPr>
              <w:t>73,7%</w:t>
            </w:r>
          </w:p>
        </w:tc>
      </w:tr>
      <w:tr w:rsidR="002B0C1F" w:rsidRPr="002751FC" w:rsidTr="00563F6A">
        <w:trPr>
          <w:trHeight w:val="243"/>
        </w:trPr>
        <w:tc>
          <w:tcPr>
            <w:tcW w:w="1227" w:type="dxa"/>
          </w:tcPr>
          <w:p w:rsidR="002B0C1F" w:rsidRPr="002751FC" w:rsidRDefault="002B0C1F" w:rsidP="00563F6A">
            <w:pPr>
              <w:jc w:val="both"/>
              <w:rPr>
                <w:rFonts w:asciiTheme="majorHAnsi" w:hAnsiTheme="majorHAnsi" w:cstheme="majorHAnsi"/>
                <w:sz w:val="20"/>
                <w:szCs w:val="20"/>
                <w:lang w:val="ro-MD"/>
              </w:rPr>
            </w:pPr>
            <w:r w:rsidRPr="002751FC">
              <w:rPr>
                <w:rFonts w:asciiTheme="majorHAnsi" w:hAnsiTheme="majorHAnsi" w:cstheme="majorHAnsi"/>
                <w:sz w:val="20"/>
                <w:szCs w:val="20"/>
                <w:lang w:val="ro-MD"/>
              </w:rPr>
              <w:t>2018</w:t>
            </w:r>
          </w:p>
        </w:tc>
        <w:tc>
          <w:tcPr>
            <w:tcW w:w="1228"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45,8</w:t>
            </w:r>
          </w:p>
        </w:tc>
        <w:tc>
          <w:tcPr>
            <w:tcW w:w="1229"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bCs/>
                <w:sz w:val="20"/>
                <w:szCs w:val="20"/>
                <w:lang w:val="ro-MD"/>
              </w:rPr>
              <w:t>64,7</w:t>
            </w:r>
          </w:p>
        </w:tc>
        <w:tc>
          <w:tcPr>
            <w:tcW w:w="1228"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43,3</w:t>
            </w:r>
          </w:p>
        </w:tc>
        <w:tc>
          <w:tcPr>
            <w:tcW w:w="1228"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-2,5</w:t>
            </w:r>
          </w:p>
        </w:tc>
        <w:tc>
          <w:tcPr>
            <w:tcW w:w="1229"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-21,4</w:t>
            </w:r>
          </w:p>
        </w:tc>
        <w:tc>
          <w:tcPr>
            <w:tcW w:w="1228" w:type="dxa"/>
          </w:tcPr>
          <w:p w:rsidR="002B0C1F" w:rsidRPr="002751FC" w:rsidRDefault="002B0C1F" w:rsidP="00C80B0C">
            <w:pPr>
              <w:jc w:val="right"/>
              <w:rPr>
                <w:rFonts w:asciiTheme="majorHAnsi" w:hAnsiTheme="majorHAnsi" w:cstheme="majorHAnsi"/>
                <w:b/>
                <w:sz w:val="20"/>
                <w:szCs w:val="20"/>
                <w:lang w:val="ro-MD"/>
              </w:rPr>
            </w:pPr>
            <w:r w:rsidRPr="002751FC">
              <w:rPr>
                <w:rFonts w:asciiTheme="majorHAnsi" w:hAnsiTheme="majorHAnsi" w:cstheme="majorHAnsi"/>
                <w:b/>
                <w:color w:val="FF0000"/>
                <w:sz w:val="20"/>
                <w:szCs w:val="20"/>
                <w:lang w:val="ro-MD"/>
              </w:rPr>
              <w:t>94,5%</w:t>
            </w:r>
          </w:p>
        </w:tc>
        <w:tc>
          <w:tcPr>
            <w:tcW w:w="1229"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66,9%</w:t>
            </w:r>
          </w:p>
        </w:tc>
      </w:tr>
    </w:tbl>
    <w:p w:rsidR="002B0C1F" w:rsidRPr="002751FC" w:rsidRDefault="002B0C1F" w:rsidP="00243401">
      <w:pPr>
        <w:spacing w:after="0"/>
        <w:jc w:val="both"/>
        <w:rPr>
          <w:rFonts w:asciiTheme="majorHAnsi" w:hAnsiTheme="majorHAnsi" w:cstheme="majorHAnsi"/>
          <w:sz w:val="16"/>
          <w:szCs w:val="16"/>
          <w:lang w:val="ro-MD"/>
        </w:rPr>
      </w:pPr>
      <w:r w:rsidRPr="002751FC">
        <w:rPr>
          <w:rFonts w:asciiTheme="majorHAnsi" w:hAnsiTheme="majorHAnsi" w:cstheme="majorHAnsi"/>
          <w:b/>
          <w:sz w:val="16"/>
          <w:szCs w:val="16"/>
          <w:lang w:val="ro-MD"/>
        </w:rPr>
        <w:t>Sursa:</w:t>
      </w:r>
      <w:r w:rsidRPr="002751FC">
        <w:rPr>
          <w:rFonts w:asciiTheme="majorHAnsi" w:hAnsiTheme="majorHAnsi" w:cstheme="majorHAnsi"/>
          <w:sz w:val="16"/>
          <w:szCs w:val="16"/>
          <w:lang w:val="ro-MD"/>
        </w:rPr>
        <w:t xml:space="preserve"> Datele ONVV.</w:t>
      </w:r>
    </w:p>
    <w:p w:rsidR="002B0C1F" w:rsidRPr="002751FC" w:rsidRDefault="00296B36" w:rsidP="00243401">
      <w:pPr>
        <w:pStyle w:val="ac"/>
        <w:numPr>
          <w:ilvl w:val="0"/>
          <w:numId w:val="14"/>
        </w:numPr>
        <w:ind w:left="0" w:firstLine="567"/>
        <w:rPr>
          <w:rFonts w:asciiTheme="majorHAnsi" w:hAnsiTheme="majorHAnsi" w:cstheme="majorHAnsi"/>
          <w:i/>
          <w:szCs w:val="28"/>
          <w:lang w:val="ro-MD"/>
        </w:rPr>
      </w:pPr>
      <w:r w:rsidRPr="002751FC">
        <w:rPr>
          <w:rFonts w:asciiTheme="majorHAnsi" w:hAnsiTheme="majorHAnsi" w:cstheme="majorHAnsi"/>
          <w:szCs w:val="28"/>
          <w:lang w:val="ro-MD"/>
        </w:rPr>
        <w:t>O s</w:t>
      </w:r>
      <w:r w:rsidR="002B0C1F" w:rsidRPr="002751FC">
        <w:rPr>
          <w:rFonts w:asciiTheme="majorHAnsi" w:hAnsiTheme="majorHAnsi" w:cstheme="majorHAnsi"/>
          <w:szCs w:val="28"/>
          <w:lang w:val="ro-MD"/>
        </w:rPr>
        <w:t>ituați</w:t>
      </w:r>
      <w:r w:rsidRPr="002751FC">
        <w:rPr>
          <w:rFonts w:asciiTheme="majorHAnsi" w:hAnsiTheme="majorHAnsi" w:cstheme="majorHAnsi"/>
          <w:szCs w:val="28"/>
          <w:lang w:val="ro-MD"/>
        </w:rPr>
        <w:t>e</w:t>
      </w:r>
      <w:r w:rsidR="002B0C1F" w:rsidRPr="002751FC">
        <w:rPr>
          <w:rFonts w:asciiTheme="majorHAnsi" w:hAnsiTheme="majorHAnsi" w:cstheme="majorHAnsi"/>
          <w:szCs w:val="28"/>
          <w:lang w:val="ro-MD"/>
        </w:rPr>
        <w:t xml:space="preserve"> similară se atestă și la realizarea veniturilor FVV în anii 2014-2018, încasările față de bugetul aprobat prin </w:t>
      </w:r>
      <w:r w:rsidR="007932F3" w:rsidRPr="002751FC">
        <w:rPr>
          <w:rFonts w:asciiTheme="majorHAnsi" w:hAnsiTheme="majorHAnsi" w:cstheme="majorHAnsi"/>
          <w:szCs w:val="28"/>
          <w:lang w:val="ro-MD"/>
        </w:rPr>
        <w:t>Legea BS variind</w:t>
      </w:r>
      <w:r w:rsidR="002B0C1F" w:rsidRPr="002751FC">
        <w:rPr>
          <w:rFonts w:asciiTheme="majorHAnsi" w:hAnsiTheme="majorHAnsi" w:cstheme="majorHAnsi"/>
          <w:szCs w:val="28"/>
          <w:lang w:val="ro-MD"/>
        </w:rPr>
        <w:t xml:space="preserve"> între 36,8% și 106,7%</w:t>
      </w:r>
      <w:r w:rsidR="007932F3" w:rsidRPr="002751FC">
        <w:rPr>
          <w:rFonts w:asciiTheme="majorHAnsi" w:hAnsiTheme="majorHAnsi" w:cstheme="majorHAnsi"/>
          <w:szCs w:val="28"/>
          <w:lang w:val="ro-MD"/>
        </w:rPr>
        <w:t xml:space="preserve">, iar față de </w:t>
      </w:r>
      <w:r w:rsidR="002B0C1F" w:rsidRPr="002751FC">
        <w:rPr>
          <w:rFonts w:asciiTheme="majorHAnsi" w:hAnsiTheme="majorHAnsi" w:cstheme="majorHAnsi"/>
          <w:szCs w:val="28"/>
          <w:lang w:val="ro-MD"/>
        </w:rPr>
        <w:t>cele aprobate de CC, între 32,7% și 126,7%.</w:t>
      </w:r>
      <w:r w:rsidR="00E033B9">
        <w:rPr>
          <w:rFonts w:asciiTheme="majorHAnsi" w:hAnsiTheme="majorHAnsi" w:cstheme="majorHAnsi"/>
          <w:szCs w:val="28"/>
          <w:lang w:val="ro-MD"/>
        </w:rPr>
        <w:t xml:space="preserve"> </w:t>
      </w:r>
      <w:r w:rsidR="007932F3" w:rsidRPr="002751FC">
        <w:rPr>
          <w:rFonts w:asciiTheme="majorHAnsi" w:hAnsiTheme="majorHAnsi" w:cstheme="majorHAnsi"/>
          <w:i/>
          <w:szCs w:val="28"/>
          <w:lang w:val="ro-MD"/>
        </w:rPr>
        <w:t>Sinteza realizării veniturilor</w:t>
      </w:r>
      <w:r w:rsidR="002B0C1F" w:rsidRPr="002751FC">
        <w:rPr>
          <w:rFonts w:asciiTheme="majorHAnsi" w:hAnsiTheme="majorHAnsi" w:cstheme="majorHAnsi"/>
          <w:i/>
          <w:szCs w:val="28"/>
          <w:lang w:val="ro-MD"/>
        </w:rPr>
        <w:t xml:space="preserve"> FVV în anii 2014-2018 se prezintă în Tabelul nr.8.</w:t>
      </w:r>
    </w:p>
    <w:p w:rsidR="002B0C1F" w:rsidRPr="002751FC" w:rsidRDefault="002B0C1F" w:rsidP="00243401">
      <w:pPr>
        <w:pStyle w:val="ac"/>
        <w:rPr>
          <w:rFonts w:asciiTheme="majorHAnsi" w:hAnsiTheme="majorHAnsi" w:cstheme="majorHAnsi"/>
          <w:b/>
          <w:sz w:val="20"/>
          <w:szCs w:val="20"/>
          <w:lang w:val="ro-MD"/>
        </w:rPr>
      </w:pPr>
    </w:p>
    <w:p w:rsidR="00ED35AD" w:rsidRPr="002751FC" w:rsidRDefault="002B0C1F" w:rsidP="00ED35AD">
      <w:pPr>
        <w:pStyle w:val="ac"/>
        <w:ind w:left="0"/>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Tabelul nr.8</w:t>
      </w:r>
      <w:r w:rsidR="007932F3" w:rsidRPr="002751FC">
        <w:rPr>
          <w:rFonts w:asciiTheme="majorHAnsi" w:hAnsiTheme="majorHAnsi" w:cstheme="majorHAnsi"/>
          <w:b/>
          <w:sz w:val="20"/>
          <w:szCs w:val="20"/>
          <w:lang w:val="ro-MD"/>
        </w:rPr>
        <w:t xml:space="preserve"> </w:t>
      </w:r>
    </w:p>
    <w:p w:rsidR="002B0C1F" w:rsidRPr="002751FC" w:rsidRDefault="002B0C1F" w:rsidP="00C877CE">
      <w:pPr>
        <w:pStyle w:val="ac"/>
        <w:ind w:left="0"/>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Sinteza realizării veniturilor</w:t>
      </w:r>
      <w:r w:rsidR="007932F3" w:rsidRPr="002751FC">
        <w:rPr>
          <w:rFonts w:asciiTheme="majorHAnsi" w:hAnsiTheme="majorHAnsi" w:cstheme="majorHAnsi"/>
          <w:b/>
          <w:sz w:val="20"/>
          <w:szCs w:val="20"/>
          <w:lang w:val="ro-MD"/>
        </w:rPr>
        <w:t xml:space="preserve"> </w:t>
      </w:r>
      <w:r w:rsidRPr="002751FC">
        <w:rPr>
          <w:rFonts w:asciiTheme="majorHAnsi" w:hAnsiTheme="majorHAnsi" w:cstheme="majorHAnsi"/>
          <w:b/>
          <w:sz w:val="20"/>
          <w:szCs w:val="20"/>
          <w:lang w:val="ro-MD"/>
        </w:rPr>
        <w:t xml:space="preserve">FVV în anii 2014-2018, </w:t>
      </w:r>
      <w:proofErr w:type="spellStart"/>
      <w:r w:rsidRPr="002751FC">
        <w:rPr>
          <w:rFonts w:asciiTheme="majorHAnsi" w:hAnsiTheme="majorHAnsi" w:cstheme="majorHAnsi"/>
          <w:b/>
          <w:sz w:val="20"/>
          <w:szCs w:val="20"/>
          <w:lang w:val="ro-MD"/>
        </w:rPr>
        <w:t>mil.MDL</w:t>
      </w:r>
      <w:proofErr w:type="spellEnd"/>
    </w:p>
    <w:tbl>
      <w:tblPr>
        <w:tblStyle w:val="ae"/>
        <w:tblW w:w="9805" w:type="dxa"/>
        <w:tblLook w:val="04A0" w:firstRow="1" w:lastRow="0" w:firstColumn="1" w:lastColumn="0" w:noHBand="0" w:noVBand="1"/>
      </w:tblPr>
      <w:tblGrid>
        <w:gridCol w:w="1223"/>
        <w:gridCol w:w="1226"/>
        <w:gridCol w:w="1226"/>
        <w:gridCol w:w="1226"/>
        <w:gridCol w:w="1226"/>
        <w:gridCol w:w="1226"/>
        <w:gridCol w:w="1226"/>
        <w:gridCol w:w="1226"/>
      </w:tblGrid>
      <w:tr w:rsidR="002B0C1F" w:rsidRPr="002751FC" w:rsidTr="001D118D">
        <w:trPr>
          <w:trHeight w:val="449"/>
        </w:trPr>
        <w:tc>
          <w:tcPr>
            <w:tcW w:w="1223" w:type="dxa"/>
            <w:vMerge w:val="restart"/>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Anii</w:t>
            </w:r>
          </w:p>
        </w:tc>
        <w:tc>
          <w:tcPr>
            <w:tcW w:w="2452" w:type="dxa"/>
            <w:gridSpan w:val="2"/>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Planificat</w:t>
            </w:r>
          </w:p>
        </w:tc>
        <w:tc>
          <w:tcPr>
            <w:tcW w:w="1226" w:type="dxa"/>
            <w:vMerge w:val="restart"/>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Realizat</w:t>
            </w:r>
          </w:p>
        </w:tc>
        <w:tc>
          <w:tcPr>
            <w:tcW w:w="2452" w:type="dxa"/>
            <w:gridSpan w:val="2"/>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Devieri (suma) față de aprobat de:</w:t>
            </w:r>
          </w:p>
        </w:tc>
        <w:tc>
          <w:tcPr>
            <w:tcW w:w="2452" w:type="dxa"/>
            <w:gridSpan w:val="2"/>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Nivelul de realizare (%) față de:</w:t>
            </w:r>
          </w:p>
        </w:tc>
      </w:tr>
      <w:tr w:rsidR="002B0C1F" w:rsidRPr="002751FC" w:rsidTr="001D118D">
        <w:trPr>
          <w:trHeight w:val="67"/>
        </w:trPr>
        <w:tc>
          <w:tcPr>
            <w:tcW w:w="1223" w:type="dxa"/>
            <w:vMerge/>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p>
        </w:tc>
        <w:tc>
          <w:tcPr>
            <w:tcW w:w="1226" w:type="dxa"/>
            <w:shd w:val="clear" w:color="auto" w:fill="DEEAF6" w:themeFill="accent1" w:themeFillTint="33"/>
            <w:vAlign w:val="center"/>
          </w:tcPr>
          <w:p w:rsidR="002B0C1F" w:rsidRPr="002751FC" w:rsidRDefault="007932F3"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Legea BS</w:t>
            </w:r>
          </w:p>
        </w:tc>
        <w:tc>
          <w:tcPr>
            <w:tcW w:w="1226" w:type="dxa"/>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CC</w:t>
            </w:r>
          </w:p>
        </w:tc>
        <w:tc>
          <w:tcPr>
            <w:tcW w:w="1226" w:type="dxa"/>
            <w:vMerge/>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p>
        </w:tc>
        <w:tc>
          <w:tcPr>
            <w:tcW w:w="1226" w:type="dxa"/>
            <w:shd w:val="clear" w:color="auto" w:fill="DEEAF6" w:themeFill="accent1" w:themeFillTint="33"/>
            <w:vAlign w:val="center"/>
          </w:tcPr>
          <w:p w:rsidR="002B0C1F" w:rsidRPr="002751FC" w:rsidRDefault="007932F3"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Legea BS</w:t>
            </w:r>
          </w:p>
        </w:tc>
        <w:tc>
          <w:tcPr>
            <w:tcW w:w="1226" w:type="dxa"/>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CC</w:t>
            </w:r>
          </w:p>
        </w:tc>
        <w:tc>
          <w:tcPr>
            <w:tcW w:w="1226" w:type="dxa"/>
            <w:shd w:val="clear" w:color="auto" w:fill="DEEAF6" w:themeFill="accent1" w:themeFillTint="33"/>
            <w:vAlign w:val="center"/>
          </w:tcPr>
          <w:p w:rsidR="002B0C1F" w:rsidRPr="002751FC" w:rsidRDefault="007932F3"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Legea BS</w:t>
            </w:r>
          </w:p>
        </w:tc>
        <w:tc>
          <w:tcPr>
            <w:tcW w:w="1226" w:type="dxa"/>
            <w:shd w:val="clear" w:color="auto" w:fill="DEEAF6" w:themeFill="accent1" w:themeFillTint="33"/>
            <w:vAlign w:val="center"/>
          </w:tcPr>
          <w:p w:rsidR="002B0C1F" w:rsidRPr="002751FC" w:rsidRDefault="002B0C1F" w:rsidP="001D118D">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CC</w:t>
            </w:r>
          </w:p>
        </w:tc>
      </w:tr>
      <w:tr w:rsidR="002B0C1F" w:rsidRPr="002751FC" w:rsidTr="00684298">
        <w:trPr>
          <w:trHeight w:val="166"/>
        </w:trPr>
        <w:tc>
          <w:tcPr>
            <w:tcW w:w="1223" w:type="dxa"/>
          </w:tcPr>
          <w:p w:rsidR="002B0C1F" w:rsidRPr="002751FC" w:rsidRDefault="002B0C1F" w:rsidP="004B29C1">
            <w:pPr>
              <w:jc w:val="both"/>
              <w:rPr>
                <w:rFonts w:asciiTheme="majorHAnsi" w:hAnsiTheme="majorHAnsi" w:cstheme="majorHAnsi"/>
                <w:sz w:val="20"/>
                <w:szCs w:val="20"/>
                <w:lang w:val="ro-MD"/>
              </w:rPr>
            </w:pPr>
            <w:r w:rsidRPr="002751FC">
              <w:rPr>
                <w:rFonts w:asciiTheme="majorHAnsi" w:hAnsiTheme="majorHAnsi" w:cstheme="majorHAnsi"/>
                <w:sz w:val="20"/>
                <w:szCs w:val="20"/>
                <w:lang w:val="ro-MD"/>
              </w:rPr>
              <w:t>2014</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59,0</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bCs/>
                <w:sz w:val="20"/>
                <w:szCs w:val="20"/>
                <w:lang w:val="ro-MD"/>
              </w:rPr>
              <w:t>46,0</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26,6</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-32,4</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-19,4</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45,1%%</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57,8%</w:t>
            </w:r>
          </w:p>
        </w:tc>
      </w:tr>
      <w:tr w:rsidR="002B0C1F" w:rsidRPr="002751FC" w:rsidTr="00684298">
        <w:trPr>
          <w:trHeight w:val="55"/>
        </w:trPr>
        <w:tc>
          <w:tcPr>
            <w:tcW w:w="1223" w:type="dxa"/>
          </w:tcPr>
          <w:p w:rsidR="002B0C1F" w:rsidRPr="002751FC" w:rsidRDefault="002B0C1F" w:rsidP="004B29C1">
            <w:pPr>
              <w:jc w:val="both"/>
              <w:rPr>
                <w:rFonts w:asciiTheme="majorHAnsi" w:hAnsiTheme="majorHAnsi" w:cstheme="majorHAnsi"/>
                <w:sz w:val="20"/>
                <w:szCs w:val="20"/>
                <w:lang w:val="ro-MD"/>
              </w:rPr>
            </w:pPr>
            <w:r w:rsidRPr="002751FC">
              <w:rPr>
                <w:rFonts w:asciiTheme="majorHAnsi" w:hAnsiTheme="majorHAnsi" w:cstheme="majorHAnsi"/>
                <w:sz w:val="20"/>
                <w:szCs w:val="20"/>
                <w:lang w:val="ro-MD"/>
              </w:rPr>
              <w:t>2015</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26,6</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bCs/>
                <w:sz w:val="20"/>
                <w:szCs w:val="20"/>
                <w:lang w:val="ro-MD"/>
              </w:rPr>
              <w:t>30,0</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9,8</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-16,8</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-20,2</w:t>
            </w:r>
          </w:p>
        </w:tc>
        <w:tc>
          <w:tcPr>
            <w:tcW w:w="1226" w:type="dxa"/>
          </w:tcPr>
          <w:p w:rsidR="002B0C1F" w:rsidRPr="002751FC" w:rsidRDefault="002B0C1F" w:rsidP="00C80B0C">
            <w:pPr>
              <w:jc w:val="right"/>
              <w:rPr>
                <w:rFonts w:asciiTheme="majorHAnsi" w:hAnsiTheme="majorHAnsi" w:cstheme="majorHAnsi"/>
                <w:b/>
                <w:color w:val="FF0000"/>
                <w:sz w:val="20"/>
                <w:szCs w:val="20"/>
                <w:lang w:val="ro-MD"/>
              </w:rPr>
            </w:pPr>
            <w:r w:rsidRPr="002751FC">
              <w:rPr>
                <w:rFonts w:asciiTheme="majorHAnsi" w:hAnsiTheme="majorHAnsi" w:cstheme="majorHAnsi"/>
                <w:b/>
                <w:color w:val="FF0000"/>
                <w:sz w:val="20"/>
                <w:szCs w:val="20"/>
                <w:lang w:val="ro-MD"/>
              </w:rPr>
              <w:t>36,8%</w:t>
            </w:r>
          </w:p>
        </w:tc>
        <w:tc>
          <w:tcPr>
            <w:tcW w:w="1226" w:type="dxa"/>
          </w:tcPr>
          <w:p w:rsidR="002B0C1F" w:rsidRPr="002751FC" w:rsidRDefault="002B0C1F" w:rsidP="00C80B0C">
            <w:pPr>
              <w:jc w:val="right"/>
              <w:rPr>
                <w:rFonts w:asciiTheme="majorHAnsi" w:hAnsiTheme="majorHAnsi" w:cstheme="majorHAnsi"/>
                <w:b/>
                <w:color w:val="FF0000"/>
                <w:sz w:val="20"/>
                <w:szCs w:val="20"/>
                <w:lang w:val="ro-MD"/>
              </w:rPr>
            </w:pPr>
            <w:r w:rsidRPr="002751FC">
              <w:rPr>
                <w:rFonts w:asciiTheme="majorHAnsi" w:hAnsiTheme="majorHAnsi" w:cstheme="majorHAnsi"/>
                <w:b/>
                <w:color w:val="FF0000"/>
                <w:sz w:val="20"/>
                <w:szCs w:val="20"/>
                <w:lang w:val="ro-MD"/>
              </w:rPr>
              <w:t>32,7%</w:t>
            </w:r>
          </w:p>
        </w:tc>
      </w:tr>
      <w:tr w:rsidR="002B0C1F" w:rsidRPr="002751FC" w:rsidTr="004B29C1">
        <w:trPr>
          <w:trHeight w:val="193"/>
        </w:trPr>
        <w:tc>
          <w:tcPr>
            <w:tcW w:w="1223" w:type="dxa"/>
          </w:tcPr>
          <w:p w:rsidR="002B0C1F" w:rsidRPr="002751FC" w:rsidRDefault="002B0C1F" w:rsidP="004B29C1">
            <w:pPr>
              <w:jc w:val="both"/>
              <w:rPr>
                <w:rFonts w:asciiTheme="majorHAnsi" w:hAnsiTheme="majorHAnsi" w:cstheme="majorHAnsi"/>
                <w:sz w:val="20"/>
                <w:szCs w:val="20"/>
                <w:lang w:val="ro-MD"/>
              </w:rPr>
            </w:pPr>
            <w:r w:rsidRPr="002751FC">
              <w:rPr>
                <w:rFonts w:asciiTheme="majorHAnsi" w:hAnsiTheme="majorHAnsi" w:cstheme="majorHAnsi"/>
                <w:sz w:val="20"/>
                <w:szCs w:val="20"/>
                <w:lang w:val="ro-MD"/>
              </w:rPr>
              <w:t>2016</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30,0</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bCs/>
                <w:sz w:val="20"/>
                <w:szCs w:val="20"/>
                <w:lang w:val="ro-MD"/>
              </w:rPr>
              <w:t>26,7</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32,0</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+2,0</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+5,3</w:t>
            </w:r>
          </w:p>
        </w:tc>
        <w:tc>
          <w:tcPr>
            <w:tcW w:w="1226" w:type="dxa"/>
          </w:tcPr>
          <w:p w:rsidR="002B0C1F" w:rsidRPr="002751FC" w:rsidRDefault="002B0C1F" w:rsidP="00C80B0C">
            <w:pPr>
              <w:jc w:val="right"/>
              <w:rPr>
                <w:rFonts w:asciiTheme="majorHAnsi" w:hAnsiTheme="majorHAnsi" w:cstheme="majorHAnsi"/>
                <w:b/>
                <w:sz w:val="20"/>
                <w:szCs w:val="20"/>
                <w:lang w:val="ro-MD"/>
              </w:rPr>
            </w:pPr>
            <w:r w:rsidRPr="002751FC">
              <w:rPr>
                <w:rFonts w:asciiTheme="majorHAnsi" w:hAnsiTheme="majorHAnsi" w:cstheme="majorHAnsi"/>
                <w:b/>
                <w:color w:val="FF0000"/>
                <w:sz w:val="20"/>
                <w:szCs w:val="20"/>
                <w:lang w:val="ro-MD"/>
              </w:rPr>
              <w:t>106,7%</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119,9%</w:t>
            </w:r>
          </w:p>
        </w:tc>
      </w:tr>
      <w:tr w:rsidR="002B0C1F" w:rsidRPr="002751FC" w:rsidTr="004B29C1">
        <w:trPr>
          <w:trHeight w:val="111"/>
        </w:trPr>
        <w:tc>
          <w:tcPr>
            <w:tcW w:w="1223" w:type="dxa"/>
          </w:tcPr>
          <w:p w:rsidR="002B0C1F" w:rsidRPr="002751FC" w:rsidRDefault="002B0C1F" w:rsidP="004B29C1">
            <w:pPr>
              <w:jc w:val="both"/>
              <w:rPr>
                <w:rFonts w:asciiTheme="majorHAnsi" w:hAnsiTheme="majorHAnsi" w:cstheme="majorHAnsi"/>
                <w:sz w:val="20"/>
                <w:szCs w:val="20"/>
                <w:lang w:val="ro-MD"/>
              </w:rPr>
            </w:pPr>
            <w:r w:rsidRPr="002751FC">
              <w:rPr>
                <w:rFonts w:asciiTheme="majorHAnsi" w:hAnsiTheme="majorHAnsi" w:cstheme="majorHAnsi"/>
                <w:sz w:val="20"/>
                <w:szCs w:val="20"/>
                <w:lang w:val="ro-MD"/>
              </w:rPr>
              <w:t>2017</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53,7</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bCs/>
                <w:sz w:val="20"/>
                <w:szCs w:val="20"/>
                <w:lang w:val="ro-MD"/>
              </w:rPr>
              <w:t>42,3</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53,6</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-0,1</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+11,3</w:t>
            </w:r>
          </w:p>
        </w:tc>
        <w:tc>
          <w:tcPr>
            <w:tcW w:w="1226" w:type="dxa"/>
          </w:tcPr>
          <w:p w:rsidR="002B0C1F" w:rsidRPr="002751FC" w:rsidRDefault="002B0C1F" w:rsidP="00C80B0C">
            <w:pPr>
              <w:jc w:val="right"/>
              <w:rPr>
                <w:rFonts w:asciiTheme="majorHAnsi" w:hAnsiTheme="majorHAnsi" w:cstheme="majorHAnsi"/>
                <w:color w:val="FF0000"/>
                <w:sz w:val="20"/>
                <w:szCs w:val="20"/>
                <w:lang w:val="ro-MD"/>
              </w:rPr>
            </w:pPr>
            <w:r w:rsidRPr="002751FC">
              <w:rPr>
                <w:rFonts w:asciiTheme="majorHAnsi" w:hAnsiTheme="majorHAnsi" w:cstheme="majorHAnsi"/>
                <w:color w:val="000000" w:themeColor="text1"/>
                <w:sz w:val="20"/>
                <w:szCs w:val="20"/>
                <w:lang w:val="ro-MD"/>
              </w:rPr>
              <w:t>99,8%</w:t>
            </w:r>
          </w:p>
        </w:tc>
        <w:tc>
          <w:tcPr>
            <w:tcW w:w="1226" w:type="dxa"/>
          </w:tcPr>
          <w:p w:rsidR="002B0C1F" w:rsidRPr="002751FC" w:rsidRDefault="002B0C1F" w:rsidP="00C80B0C">
            <w:pPr>
              <w:jc w:val="right"/>
              <w:rPr>
                <w:rFonts w:asciiTheme="majorHAnsi" w:hAnsiTheme="majorHAnsi" w:cstheme="majorHAnsi"/>
                <w:b/>
                <w:color w:val="FF0000"/>
                <w:sz w:val="20"/>
                <w:szCs w:val="20"/>
                <w:lang w:val="ro-MD"/>
              </w:rPr>
            </w:pPr>
            <w:r w:rsidRPr="002751FC">
              <w:rPr>
                <w:rFonts w:asciiTheme="majorHAnsi" w:hAnsiTheme="majorHAnsi" w:cstheme="majorHAnsi"/>
                <w:b/>
                <w:color w:val="FF0000"/>
                <w:sz w:val="20"/>
                <w:szCs w:val="20"/>
                <w:lang w:val="ro-MD"/>
              </w:rPr>
              <w:t>126,7%</w:t>
            </w:r>
          </w:p>
        </w:tc>
      </w:tr>
      <w:tr w:rsidR="002B0C1F" w:rsidRPr="002751FC" w:rsidTr="004B29C1">
        <w:trPr>
          <w:trHeight w:val="157"/>
        </w:trPr>
        <w:tc>
          <w:tcPr>
            <w:tcW w:w="1223" w:type="dxa"/>
          </w:tcPr>
          <w:p w:rsidR="002B0C1F" w:rsidRPr="002751FC" w:rsidRDefault="002B0C1F" w:rsidP="004B29C1">
            <w:pPr>
              <w:jc w:val="both"/>
              <w:rPr>
                <w:rFonts w:asciiTheme="majorHAnsi" w:hAnsiTheme="majorHAnsi" w:cstheme="majorHAnsi"/>
                <w:sz w:val="20"/>
                <w:szCs w:val="20"/>
                <w:lang w:val="ro-MD"/>
              </w:rPr>
            </w:pPr>
            <w:r w:rsidRPr="002751FC">
              <w:rPr>
                <w:rFonts w:asciiTheme="majorHAnsi" w:hAnsiTheme="majorHAnsi" w:cstheme="majorHAnsi"/>
                <w:sz w:val="20"/>
                <w:szCs w:val="20"/>
                <w:lang w:val="ro-MD"/>
              </w:rPr>
              <w:t>2018</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45,8</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bCs/>
                <w:sz w:val="20"/>
                <w:szCs w:val="20"/>
                <w:lang w:val="ro-MD"/>
              </w:rPr>
              <w:t>38,7</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44,2</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-1,6</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+5,5</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96,5%</w:t>
            </w:r>
          </w:p>
        </w:tc>
        <w:tc>
          <w:tcPr>
            <w:tcW w:w="1226" w:type="dxa"/>
          </w:tcPr>
          <w:p w:rsidR="002B0C1F" w:rsidRPr="002751FC" w:rsidRDefault="002B0C1F" w:rsidP="00C80B0C">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114,2%</w:t>
            </w:r>
          </w:p>
        </w:tc>
      </w:tr>
    </w:tbl>
    <w:p w:rsidR="002B0C1F" w:rsidRPr="002751FC" w:rsidRDefault="002B0C1F" w:rsidP="00CD7C5A">
      <w:pPr>
        <w:spacing w:after="0"/>
        <w:rPr>
          <w:rFonts w:asciiTheme="majorHAnsi" w:hAnsiTheme="majorHAnsi" w:cstheme="majorHAnsi"/>
          <w:sz w:val="16"/>
          <w:szCs w:val="16"/>
          <w:lang w:val="ro-MD"/>
        </w:rPr>
      </w:pPr>
      <w:r w:rsidRPr="002751FC">
        <w:rPr>
          <w:rFonts w:asciiTheme="majorHAnsi" w:hAnsiTheme="majorHAnsi" w:cstheme="majorHAnsi"/>
          <w:b/>
          <w:sz w:val="16"/>
          <w:szCs w:val="16"/>
          <w:lang w:val="ro-MD"/>
        </w:rPr>
        <w:t>Sursa:</w:t>
      </w:r>
      <w:r w:rsidRPr="002751FC">
        <w:rPr>
          <w:rFonts w:asciiTheme="majorHAnsi" w:hAnsiTheme="majorHAnsi" w:cstheme="majorHAnsi"/>
          <w:sz w:val="16"/>
          <w:szCs w:val="16"/>
          <w:lang w:val="ro-MD"/>
        </w:rPr>
        <w:t xml:space="preserve"> Datele ONVV.</w:t>
      </w:r>
    </w:p>
    <w:p w:rsidR="002B0C1F" w:rsidRPr="002751FC" w:rsidRDefault="002B0C1F" w:rsidP="00CD7C5A">
      <w:pPr>
        <w:spacing w:after="0"/>
        <w:jc w:val="both"/>
        <w:rPr>
          <w:rFonts w:asciiTheme="majorHAnsi" w:hAnsiTheme="majorHAnsi" w:cstheme="majorHAnsi"/>
          <w:sz w:val="28"/>
          <w:szCs w:val="28"/>
          <w:lang w:val="ro-MD"/>
        </w:rPr>
      </w:pP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Astfel, datele analizate denotă deficiențe în planificarea resurselor necesare pentru realizarea sarcinilor delegate ONVV (FVV) </w:t>
      </w:r>
      <w:r w:rsidR="00DC0364" w:rsidRPr="002751FC">
        <w:rPr>
          <w:rFonts w:asciiTheme="majorHAnsi" w:hAnsiTheme="majorHAnsi" w:cstheme="majorHAnsi"/>
          <w:sz w:val="28"/>
          <w:szCs w:val="28"/>
          <w:lang w:val="ro-MD"/>
        </w:rPr>
        <w:t>atât</w:t>
      </w:r>
      <w:r w:rsidRPr="002751FC">
        <w:rPr>
          <w:rFonts w:asciiTheme="majorHAnsi" w:hAnsiTheme="majorHAnsi" w:cstheme="majorHAnsi"/>
          <w:sz w:val="28"/>
          <w:szCs w:val="28"/>
          <w:lang w:val="ro-MD"/>
        </w:rPr>
        <w:t xml:space="preserve"> la nivelul limitelor aprobate prin Legea bugetului de stat</w:t>
      </w:r>
      <w:r w:rsidR="00DC0364"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w:t>
      </w:r>
      <w:r w:rsidR="00DC0364" w:rsidRPr="002751FC">
        <w:rPr>
          <w:rFonts w:asciiTheme="majorHAnsi" w:hAnsiTheme="majorHAnsi" w:cstheme="majorHAnsi"/>
          <w:sz w:val="28"/>
          <w:szCs w:val="28"/>
          <w:lang w:val="ro-MD"/>
        </w:rPr>
        <w:t>cât</w:t>
      </w:r>
      <w:r w:rsidRPr="002751FC">
        <w:rPr>
          <w:rFonts w:asciiTheme="majorHAnsi" w:hAnsiTheme="majorHAnsi" w:cstheme="majorHAnsi"/>
          <w:sz w:val="28"/>
          <w:szCs w:val="28"/>
          <w:lang w:val="ro-MD"/>
        </w:rPr>
        <w:t xml:space="preserve"> și </w:t>
      </w:r>
      <w:r w:rsidR="00296B36" w:rsidRPr="002751FC">
        <w:rPr>
          <w:rFonts w:asciiTheme="majorHAnsi" w:hAnsiTheme="majorHAnsi" w:cstheme="majorHAnsi"/>
          <w:sz w:val="28"/>
          <w:szCs w:val="28"/>
          <w:lang w:val="ro-MD"/>
        </w:rPr>
        <w:t xml:space="preserve">ale </w:t>
      </w:r>
      <w:r w:rsidRPr="002751FC">
        <w:rPr>
          <w:rFonts w:asciiTheme="majorHAnsi" w:hAnsiTheme="majorHAnsi" w:cstheme="majorHAnsi"/>
          <w:sz w:val="28"/>
          <w:szCs w:val="28"/>
          <w:lang w:val="ro-MD"/>
        </w:rPr>
        <w:t xml:space="preserve">celor aprobate de CC, cele aprobate prin </w:t>
      </w:r>
      <w:r w:rsidR="00DC0364" w:rsidRPr="002751FC">
        <w:rPr>
          <w:rFonts w:asciiTheme="majorHAnsi" w:hAnsiTheme="majorHAnsi" w:cstheme="majorHAnsi"/>
          <w:sz w:val="28"/>
          <w:szCs w:val="28"/>
          <w:lang w:val="ro-MD"/>
        </w:rPr>
        <w:t>Legea BS</w:t>
      </w:r>
      <w:r w:rsidRPr="002751FC">
        <w:rPr>
          <w:rFonts w:asciiTheme="majorHAnsi" w:hAnsiTheme="majorHAnsi" w:cstheme="majorHAnsi"/>
          <w:sz w:val="28"/>
          <w:szCs w:val="28"/>
          <w:lang w:val="ro-MD"/>
        </w:rPr>
        <w:t xml:space="preserve"> fiind mult mai realiste. </w:t>
      </w: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lastRenderedPageBreak/>
        <w:t>Situația constatată necesită întreprinderea măsurilor de consolidare a capacităților referitor la elaborarea propunerilor și aprobarea bugetelor realiste, cu analiza profundă a posibilităților de realizare a măsurilor incluse în bugetele respective.</w:t>
      </w:r>
    </w:p>
    <w:p w:rsidR="002B0C1F" w:rsidRPr="002751FC" w:rsidRDefault="002B0C1F" w:rsidP="00243401">
      <w:pPr>
        <w:spacing w:after="0"/>
        <w:jc w:val="both"/>
        <w:rPr>
          <w:rFonts w:asciiTheme="majorHAnsi" w:hAnsiTheme="majorHAnsi" w:cstheme="majorHAnsi"/>
          <w:sz w:val="28"/>
          <w:szCs w:val="28"/>
          <w:lang w:val="ro-MD"/>
        </w:rPr>
      </w:pPr>
    </w:p>
    <w:p w:rsidR="002B0C1F" w:rsidRPr="002751FC" w:rsidRDefault="002B0C1F" w:rsidP="00243401">
      <w:pPr>
        <w:pStyle w:val="1"/>
        <w:spacing w:before="0"/>
        <w:jc w:val="both"/>
        <w:rPr>
          <w:rFonts w:cstheme="majorHAnsi"/>
          <w:b/>
          <w:color w:val="auto"/>
          <w:sz w:val="28"/>
          <w:szCs w:val="28"/>
          <w:lang w:val="ro-MD"/>
        </w:rPr>
      </w:pPr>
      <w:bookmarkStart w:id="33" w:name="_Toc23259097"/>
      <w:r w:rsidRPr="002751FC">
        <w:rPr>
          <w:rFonts w:cstheme="majorHAnsi"/>
          <w:b/>
          <w:color w:val="auto"/>
          <w:sz w:val="28"/>
          <w:szCs w:val="28"/>
          <w:lang w:val="ro-MD"/>
        </w:rPr>
        <w:t xml:space="preserve">4.2. Activitatea </w:t>
      </w:r>
      <w:r w:rsidR="00296B36" w:rsidRPr="002751FC">
        <w:rPr>
          <w:rFonts w:cstheme="majorHAnsi"/>
          <w:b/>
          <w:color w:val="auto"/>
          <w:sz w:val="28"/>
          <w:szCs w:val="28"/>
          <w:lang w:val="ro-MD"/>
        </w:rPr>
        <w:t>C</w:t>
      </w:r>
      <w:r w:rsidRPr="002751FC">
        <w:rPr>
          <w:rFonts w:cstheme="majorHAnsi"/>
          <w:b/>
          <w:color w:val="auto"/>
          <w:sz w:val="28"/>
          <w:szCs w:val="28"/>
          <w:lang w:val="ro-MD"/>
        </w:rPr>
        <w:t xml:space="preserve">onsiliului s-a </w:t>
      </w:r>
      <w:r w:rsidR="00B94EF6" w:rsidRPr="002751FC">
        <w:rPr>
          <w:rFonts w:cstheme="majorHAnsi"/>
          <w:b/>
          <w:color w:val="auto"/>
          <w:sz w:val="28"/>
          <w:szCs w:val="28"/>
          <w:lang w:val="ro-MD"/>
        </w:rPr>
        <w:t xml:space="preserve">desfășurat cu nerespectarea </w:t>
      </w:r>
      <w:r w:rsidRPr="002751FC">
        <w:rPr>
          <w:rFonts w:cstheme="majorHAnsi"/>
          <w:b/>
          <w:color w:val="auto"/>
          <w:sz w:val="28"/>
          <w:szCs w:val="28"/>
          <w:lang w:val="ro-MD"/>
        </w:rPr>
        <w:t>prevederilor cadrului regulator</w:t>
      </w:r>
      <w:bookmarkEnd w:id="33"/>
    </w:p>
    <w:p w:rsidR="002B0C1F" w:rsidRPr="002751FC" w:rsidRDefault="002B0C1F" w:rsidP="00243401">
      <w:pPr>
        <w:spacing w:after="0"/>
        <w:rPr>
          <w:rFonts w:asciiTheme="majorHAnsi" w:hAnsiTheme="majorHAnsi" w:cstheme="majorHAnsi"/>
          <w:lang w:val="ro-MD"/>
        </w:rPr>
      </w:pPr>
    </w:p>
    <w:p w:rsidR="002B0C1F" w:rsidRPr="002751FC" w:rsidRDefault="002B0C1F" w:rsidP="00243401">
      <w:pPr>
        <w:pStyle w:val="1"/>
        <w:spacing w:before="0" w:line="240" w:lineRule="auto"/>
        <w:rPr>
          <w:rFonts w:cstheme="majorHAnsi"/>
          <w:b/>
          <w:color w:val="auto"/>
          <w:sz w:val="28"/>
          <w:szCs w:val="28"/>
          <w:lang w:val="ro-MD"/>
        </w:rPr>
      </w:pPr>
      <w:bookmarkStart w:id="34" w:name="_Toc23259098"/>
      <w:r w:rsidRPr="002751FC">
        <w:rPr>
          <w:rFonts w:cstheme="majorHAnsi"/>
          <w:b/>
          <w:color w:val="auto"/>
          <w:sz w:val="28"/>
          <w:szCs w:val="28"/>
          <w:lang w:val="ro-MD"/>
        </w:rPr>
        <w:t>4.2.1. C</w:t>
      </w:r>
      <w:r w:rsidR="00296B36" w:rsidRPr="002751FC">
        <w:rPr>
          <w:rFonts w:cstheme="majorHAnsi"/>
          <w:b/>
          <w:color w:val="auto"/>
          <w:sz w:val="28"/>
          <w:szCs w:val="28"/>
          <w:lang w:val="ro-MD"/>
        </w:rPr>
        <w:t xml:space="preserve">onsiliul de </w:t>
      </w:r>
      <w:r w:rsidR="00F345E3">
        <w:rPr>
          <w:rFonts w:cstheme="majorHAnsi"/>
          <w:b/>
          <w:color w:val="auto"/>
          <w:sz w:val="28"/>
          <w:szCs w:val="28"/>
          <w:lang w:val="ro-MD"/>
        </w:rPr>
        <w:t>c</w:t>
      </w:r>
      <w:r w:rsidR="00296B36" w:rsidRPr="002751FC">
        <w:rPr>
          <w:rFonts w:cstheme="majorHAnsi"/>
          <w:b/>
          <w:color w:val="auto"/>
          <w:sz w:val="28"/>
          <w:szCs w:val="28"/>
          <w:lang w:val="ro-MD"/>
        </w:rPr>
        <w:t>oordonare</w:t>
      </w:r>
      <w:r w:rsidRPr="002751FC">
        <w:rPr>
          <w:rFonts w:cstheme="majorHAnsi"/>
          <w:b/>
          <w:color w:val="auto"/>
          <w:sz w:val="28"/>
          <w:szCs w:val="28"/>
          <w:lang w:val="ro-MD"/>
        </w:rPr>
        <w:t xml:space="preserve"> a adoptat unele decizii în lipsă de cvorum</w:t>
      </w:r>
      <w:bookmarkEnd w:id="34"/>
    </w:p>
    <w:p w:rsidR="002B0C1F" w:rsidRPr="002751FC" w:rsidRDefault="002B0C1F" w:rsidP="00243401">
      <w:pPr>
        <w:spacing w:after="0" w:line="240" w:lineRule="auto"/>
        <w:rPr>
          <w:rFonts w:asciiTheme="majorHAnsi" w:hAnsiTheme="majorHAnsi" w:cstheme="majorHAnsi"/>
          <w:lang w:val="ro-MD"/>
        </w:rPr>
      </w:pP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Deși, conform prevederilor cadrului normativ</w:t>
      </w:r>
      <w:r w:rsidRPr="002751FC">
        <w:rPr>
          <w:rStyle w:val="ab"/>
          <w:rFonts w:asciiTheme="majorHAnsi" w:eastAsiaTheme="majorEastAsia" w:hAnsiTheme="majorHAnsi" w:cstheme="majorHAnsi"/>
          <w:sz w:val="28"/>
          <w:szCs w:val="28"/>
          <w:lang w:val="ro-MD"/>
        </w:rPr>
        <w:footnoteReference w:id="41"/>
      </w:r>
      <w:r w:rsidRPr="002751FC">
        <w:rPr>
          <w:rFonts w:asciiTheme="majorHAnsi" w:hAnsiTheme="majorHAnsi" w:cstheme="majorHAnsi"/>
          <w:sz w:val="28"/>
          <w:szCs w:val="28"/>
          <w:lang w:val="ro-MD"/>
        </w:rPr>
        <w:t>, ședința Consiliului se consideră deliberativă dacă sunt prezenți cel puţin 7 membri</w:t>
      </w:r>
      <w:r w:rsidR="00414E8A"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w:t>
      </w:r>
      <w:r w:rsidR="00414E8A" w:rsidRPr="002751FC">
        <w:rPr>
          <w:rFonts w:asciiTheme="majorHAnsi" w:hAnsiTheme="majorHAnsi" w:cstheme="majorHAnsi"/>
          <w:sz w:val="28"/>
          <w:szCs w:val="28"/>
          <w:lang w:val="ro-MD"/>
        </w:rPr>
        <w:t>a</w:t>
      </w:r>
      <w:r w:rsidRPr="002751FC">
        <w:rPr>
          <w:rFonts w:asciiTheme="majorHAnsi" w:hAnsiTheme="majorHAnsi" w:cstheme="majorHAnsi"/>
          <w:sz w:val="28"/>
          <w:szCs w:val="28"/>
          <w:lang w:val="ro-MD"/>
        </w:rPr>
        <w:t xml:space="preserve">naliza </w:t>
      </w:r>
      <w:r w:rsidR="00DB14E1" w:rsidRPr="002751FC">
        <w:rPr>
          <w:rFonts w:asciiTheme="majorHAnsi" w:hAnsiTheme="majorHAnsi" w:cstheme="majorHAnsi"/>
          <w:sz w:val="28"/>
          <w:szCs w:val="28"/>
          <w:lang w:val="ro-MD"/>
        </w:rPr>
        <w:t>p</w:t>
      </w:r>
      <w:r w:rsidRPr="002751FC">
        <w:rPr>
          <w:rFonts w:asciiTheme="majorHAnsi" w:hAnsiTheme="majorHAnsi" w:cstheme="majorHAnsi"/>
          <w:sz w:val="28"/>
          <w:szCs w:val="28"/>
          <w:lang w:val="ro-MD"/>
        </w:rPr>
        <w:t>rocesel</w:t>
      </w:r>
      <w:r w:rsidR="00414E8A" w:rsidRPr="002751FC">
        <w:rPr>
          <w:rFonts w:asciiTheme="majorHAnsi" w:hAnsiTheme="majorHAnsi" w:cstheme="majorHAnsi"/>
          <w:sz w:val="28"/>
          <w:szCs w:val="28"/>
          <w:lang w:val="ro-MD"/>
        </w:rPr>
        <w:t>or</w:t>
      </w:r>
      <w:r w:rsidR="00DB14E1"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verbale ale ședințelor CC pentru anul 2018 a constatat că la ședința din 18.04.2018 au fost </w:t>
      </w:r>
      <w:r w:rsidR="00414E8A" w:rsidRPr="002751FC">
        <w:rPr>
          <w:rFonts w:asciiTheme="majorHAnsi" w:hAnsiTheme="majorHAnsi" w:cstheme="majorHAnsi"/>
          <w:sz w:val="28"/>
          <w:szCs w:val="28"/>
          <w:lang w:val="ro-MD"/>
        </w:rPr>
        <w:t>prezenți</w:t>
      </w:r>
      <w:r w:rsidRPr="002751FC">
        <w:rPr>
          <w:rFonts w:asciiTheme="majorHAnsi" w:hAnsiTheme="majorHAnsi" w:cstheme="majorHAnsi"/>
          <w:sz w:val="28"/>
          <w:szCs w:val="28"/>
          <w:lang w:val="ro-MD"/>
        </w:rPr>
        <w:t xml:space="preserve"> doar 6 membri, aceeași situație </w:t>
      </w:r>
      <w:r w:rsidR="00414E8A" w:rsidRPr="002751FC">
        <w:rPr>
          <w:rFonts w:asciiTheme="majorHAnsi" w:hAnsiTheme="majorHAnsi" w:cstheme="majorHAnsi"/>
          <w:sz w:val="28"/>
          <w:szCs w:val="28"/>
          <w:lang w:val="ro-MD"/>
        </w:rPr>
        <w:t>fiind</w:t>
      </w:r>
      <w:r w:rsidRPr="002751FC">
        <w:rPr>
          <w:rFonts w:asciiTheme="majorHAnsi" w:hAnsiTheme="majorHAnsi" w:cstheme="majorHAnsi"/>
          <w:sz w:val="28"/>
          <w:szCs w:val="28"/>
          <w:lang w:val="ro-MD"/>
        </w:rPr>
        <w:t xml:space="preserve"> constatată și în anul 2017, </w:t>
      </w:r>
      <w:r w:rsidR="00414E8A" w:rsidRPr="002751FC">
        <w:rPr>
          <w:rFonts w:asciiTheme="majorHAnsi" w:hAnsiTheme="majorHAnsi" w:cstheme="majorHAnsi"/>
          <w:sz w:val="28"/>
          <w:szCs w:val="28"/>
          <w:lang w:val="ro-MD"/>
        </w:rPr>
        <w:t>la ședința</w:t>
      </w:r>
      <w:r w:rsidR="00777DCF" w:rsidRPr="002751FC">
        <w:rPr>
          <w:rFonts w:asciiTheme="majorHAnsi" w:hAnsiTheme="majorHAnsi" w:cstheme="majorHAnsi"/>
          <w:sz w:val="28"/>
          <w:szCs w:val="28"/>
          <w:lang w:val="ro-MD"/>
        </w:rPr>
        <w:t xml:space="preserve"> din 27.12.2017.</w:t>
      </w:r>
    </w:p>
    <w:p w:rsidR="00777DCF" w:rsidRPr="002751FC" w:rsidRDefault="00777DCF" w:rsidP="00243401">
      <w:pPr>
        <w:spacing w:after="0"/>
        <w:jc w:val="both"/>
        <w:rPr>
          <w:rFonts w:asciiTheme="majorHAnsi" w:hAnsiTheme="majorHAnsi" w:cstheme="majorHAnsi"/>
          <w:sz w:val="28"/>
          <w:szCs w:val="28"/>
          <w:lang w:val="ro-MD"/>
        </w:rPr>
      </w:pP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De menționat că, în </w:t>
      </w:r>
      <w:r w:rsidR="00414E8A" w:rsidRPr="002751FC">
        <w:rPr>
          <w:rFonts w:asciiTheme="majorHAnsi" w:hAnsiTheme="majorHAnsi" w:cstheme="majorHAnsi"/>
          <w:sz w:val="28"/>
          <w:szCs w:val="28"/>
          <w:lang w:val="ro-MD"/>
        </w:rPr>
        <w:t>cadrul</w:t>
      </w:r>
      <w:r w:rsidRPr="002751FC">
        <w:rPr>
          <w:rFonts w:asciiTheme="majorHAnsi" w:hAnsiTheme="majorHAnsi" w:cstheme="majorHAnsi"/>
          <w:sz w:val="28"/>
          <w:szCs w:val="28"/>
          <w:lang w:val="ro-MD"/>
        </w:rPr>
        <w:t xml:space="preserve"> celor 2 ședințe</w:t>
      </w:r>
      <w:r w:rsidR="00DB14E1"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au fost discutate </w:t>
      </w:r>
      <w:r w:rsidR="00DB14E1" w:rsidRPr="002751FC">
        <w:rPr>
          <w:rFonts w:asciiTheme="majorHAnsi" w:hAnsiTheme="majorHAnsi" w:cstheme="majorHAnsi"/>
          <w:sz w:val="28"/>
          <w:szCs w:val="28"/>
          <w:lang w:val="ro-MD"/>
        </w:rPr>
        <w:t xml:space="preserve">probleme </w:t>
      </w:r>
      <w:r w:rsidRPr="002751FC">
        <w:rPr>
          <w:rFonts w:asciiTheme="majorHAnsi" w:hAnsiTheme="majorHAnsi" w:cstheme="majorHAnsi"/>
          <w:sz w:val="28"/>
          <w:szCs w:val="28"/>
          <w:lang w:val="ro-MD"/>
        </w:rPr>
        <w:t>legate de bugetul FVV. Astfel, în cadrul ș</w:t>
      </w:r>
      <w:r w:rsidR="00414E8A" w:rsidRPr="002751FC">
        <w:rPr>
          <w:rFonts w:asciiTheme="majorHAnsi" w:hAnsiTheme="majorHAnsi" w:cstheme="majorHAnsi"/>
          <w:sz w:val="28"/>
          <w:szCs w:val="28"/>
          <w:lang w:val="ro-MD"/>
        </w:rPr>
        <w:t xml:space="preserve">edinței din 27.12.2017 a </w:t>
      </w:r>
      <w:r w:rsidRPr="002751FC">
        <w:rPr>
          <w:rFonts w:asciiTheme="majorHAnsi" w:hAnsiTheme="majorHAnsi" w:cstheme="majorHAnsi"/>
          <w:sz w:val="28"/>
          <w:szCs w:val="28"/>
          <w:lang w:val="ro-MD"/>
        </w:rPr>
        <w:t xml:space="preserve">fost propus spre aprobare bugetul FVV pentru anul 2018, fiind aprobate limitele bugetelor doar pentru </w:t>
      </w:r>
      <w:r w:rsidR="00414E8A" w:rsidRPr="002751FC">
        <w:rPr>
          <w:rFonts w:asciiTheme="majorHAnsi" w:hAnsiTheme="majorHAnsi" w:cstheme="majorHAnsi"/>
          <w:sz w:val="28"/>
          <w:szCs w:val="28"/>
          <w:lang w:val="ro-MD"/>
        </w:rPr>
        <w:t>4</w:t>
      </w:r>
      <w:r w:rsidRPr="002751FC">
        <w:rPr>
          <w:rFonts w:asciiTheme="majorHAnsi" w:hAnsiTheme="majorHAnsi" w:cstheme="majorHAnsi"/>
          <w:sz w:val="28"/>
          <w:szCs w:val="28"/>
          <w:lang w:val="ro-MD"/>
        </w:rPr>
        <w:t xml:space="preserve"> evenimente</w:t>
      </w:r>
      <w:r w:rsidRPr="002751FC">
        <w:rPr>
          <w:rStyle w:val="ab"/>
          <w:rFonts w:asciiTheme="majorHAnsi" w:hAnsiTheme="majorHAnsi" w:cstheme="majorHAnsi"/>
          <w:sz w:val="28"/>
          <w:szCs w:val="28"/>
          <w:lang w:val="ro-MD"/>
        </w:rPr>
        <w:footnoteReference w:id="42"/>
      </w:r>
      <w:r w:rsidRPr="002751FC">
        <w:rPr>
          <w:rFonts w:asciiTheme="majorHAnsi" w:hAnsiTheme="majorHAnsi" w:cstheme="majorHAnsi"/>
          <w:sz w:val="28"/>
          <w:szCs w:val="28"/>
          <w:lang w:val="ro-MD"/>
        </w:rPr>
        <w:t xml:space="preserve">, aprobarea </w:t>
      </w:r>
      <w:r w:rsidR="00414E8A" w:rsidRPr="002751FC">
        <w:rPr>
          <w:rFonts w:asciiTheme="majorHAnsi" w:hAnsiTheme="majorHAnsi" w:cstheme="majorHAnsi"/>
          <w:sz w:val="28"/>
          <w:szCs w:val="28"/>
          <w:lang w:val="ro-MD"/>
        </w:rPr>
        <w:t>l</w:t>
      </w:r>
      <w:r w:rsidRPr="002751FC">
        <w:rPr>
          <w:rFonts w:asciiTheme="majorHAnsi" w:hAnsiTheme="majorHAnsi" w:cstheme="majorHAnsi"/>
          <w:sz w:val="28"/>
          <w:szCs w:val="28"/>
          <w:lang w:val="ro-MD"/>
        </w:rPr>
        <w:t>imitelor de cheltuieli pentru cel</w:t>
      </w:r>
      <w:r w:rsidR="00414E8A" w:rsidRPr="002751FC">
        <w:rPr>
          <w:rFonts w:asciiTheme="majorHAnsi" w:hAnsiTheme="majorHAnsi" w:cstheme="majorHAnsi"/>
          <w:sz w:val="28"/>
          <w:szCs w:val="28"/>
          <w:lang w:val="ro-MD"/>
        </w:rPr>
        <w:t>e</w:t>
      </w:r>
      <w:r w:rsidRPr="002751FC">
        <w:rPr>
          <w:rFonts w:asciiTheme="majorHAnsi" w:hAnsiTheme="majorHAnsi" w:cstheme="majorHAnsi"/>
          <w:sz w:val="28"/>
          <w:szCs w:val="28"/>
          <w:lang w:val="ro-MD"/>
        </w:rPr>
        <w:t xml:space="preserve">lalte evenimente aferente anului 2018 fiind transferată pentru ședințele ulterioare. În cadrul ședinței CC din 18.04.2018 a fost aprobat Raportul ONVV privind realizarea activităților și bugetului FVV pentru </w:t>
      </w:r>
      <w:r w:rsidR="00414E8A" w:rsidRPr="002751FC">
        <w:rPr>
          <w:rFonts w:asciiTheme="majorHAnsi" w:hAnsiTheme="majorHAnsi" w:cstheme="majorHAnsi"/>
          <w:sz w:val="28"/>
          <w:szCs w:val="28"/>
          <w:lang w:val="ro-MD"/>
        </w:rPr>
        <w:t>trimestrul</w:t>
      </w:r>
      <w:r w:rsidRPr="002751FC">
        <w:rPr>
          <w:rFonts w:asciiTheme="majorHAnsi" w:hAnsiTheme="majorHAnsi" w:cstheme="majorHAnsi"/>
          <w:sz w:val="28"/>
          <w:szCs w:val="28"/>
          <w:lang w:val="ro-MD"/>
        </w:rPr>
        <w:t xml:space="preserve"> I al anului 2018.</w:t>
      </w:r>
    </w:p>
    <w:p w:rsidR="002B0C1F" w:rsidRPr="002751FC" w:rsidRDefault="002B0C1F" w:rsidP="00243401">
      <w:pPr>
        <w:spacing w:after="0"/>
        <w:jc w:val="both"/>
        <w:rPr>
          <w:rFonts w:asciiTheme="majorHAnsi" w:hAnsiTheme="majorHAnsi" w:cstheme="majorHAnsi"/>
          <w:sz w:val="28"/>
          <w:szCs w:val="28"/>
          <w:lang w:val="ro-MD"/>
        </w:rPr>
      </w:pPr>
    </w:p>
    <w:p w:rsidR="002B0C1F" w:rsidRPr="002751FC" w:rsidRDefault="002B0C1F" w:rsidP="00243401">
      <w:pPr>
        <w:pStyle w:val="ac"/>
        <w:numPr>
          <w:ilvl w:val="2"/>
          <w:numId w:val="15"/>
        </w:numPr>
        <w:spacing w:line="276" w:lineRule="auto"/>
        <w:ind w:left="0" w:firstLine="0"/>
        <w:outlineLvl w:val="0"/>
        <w:rPr>
          <w:rFonts w:asciiTheme="majorHAnsi" w:hAnsiTheme="majorHAnsi" w:cstheme="majorHAnsi"/>
          <w:b/>
          <w:szCs w:val="28"/>
          <w:lang w:val="ro-MD"/>
        </w:rPr>
      </w:pPr>
      <w:bookmarkStart w:id="35" w:name="_Toc23259099"/>
      <w:r w:rsidRPr="002751FC">
        <w:rPr>
          <w:rFonts w:asciiTheme="majorHAnsi" w:hAnsiTheme="majorHAnsi" w:cstheme="majorHAnsi"/>
          <w:b/>
          <w:szCs w:val="28"/>
          <w:lang w:val="ro-MD"/>
        </w:rPr>
        <w:t>Carențe</w:t>
      </w:r>
      <w:r w:rsidR="004D1732" w:rsidRPr="002751FC">
        <w:rPr>
          <w:rFonts w:asciiTheme="majorHAnsi" w:hAnsiTheme="majorHAnsi" w:cstheme="majorHAnsi"/>
          <w:b/>
          <w:szCs w:val="28"/>
          <w:lang w:val="ro-MD"/>
        </w:rPr>
        <w:t>le</w:t>
      </w:r>
      <w:r w:rsidRPr="002751FC">
        <w:rPr>
          <w:rFonts w:asciiTheme="majorHAnsi" w:hAnsiTheme="majorHAnsi" w:cstheme="majorHAnsi"/>
          <w:b/>
          <w:szCs w:val="28"/>
          <w:lang w:val="ro-MD"/>
        </w:rPr>
        <w:t xml:space="preserve"> în cadrul legal au condiționat imposibilitatea desemnării tuturor membrilor </w:t>
      </w:r>
      <w:bookmarkEnd w:id="35"/>
      <w:r w:rsidR="000E314F" w:rsidRPr="002751FC">
        <w:rPr>
          <w:rFonts w:asciiTheme="majorHAnsi" w:hAnsiTheme="majorHAnsi" w:cstheme="majorHAnsi"/>
          <w:b/>
          <w:szCs w:val="28"/>
          <w:lang w:val="ro-MD"/>
        </w:rPr>
        <w:t xml:space="preserve">Consiliului de </w:t>
      </w:r>
      <w:r w:rsidR="00F345E3">
        <w:rPr>
          <w:rFonts w:asciiTheme="majorHAnsi" w:hAnsiTheme="majorHAnsi" w:cstheme="majorHAnsi"/>
          <w:b/>
          <w:szCs w:val="28"/>
          <w:lang w:val="ro-MD"/>
        </w:rPr>
        <w:t>c</w:t>
      </w:r>
      <w:r w:rsidR="000E314F" w:rsidRPr="002751FC">
        <w:rPr>
          <w:rFonts w:asciiTheme="majorHAnsi" w:hAnsiTheme="majorHAnsi" w:cstheme="majorHAnsi"/>
          <w:b/>
          <w:szCs w:val="28"/>
          <w:lang w:val="ro-MD"/>
        </w:rPr>
        <w:t>oordonare</w:t>
      </w:r>
      <w:r w:rsidRPr="002751FC">
        <w:rPr>
          <w:rFonts w:asciiTheme="majorHAnsi" w:hAnsiTheme="majorHAnsi" w:cstheme="majorHAnsi"/>
          <w:b/>
          <w:szCs w:val="28"/>
          <w:lang w:val="ro-MD"/>
        </w:rPr>
        <w:t xml:space="preserve"> </w:t>
      </w:r>
    </w:p>
    <w:p w:rsidR="002B0C1F" w:rsidRPr="002751FC" w:rsidRDefault="002B0C1F" w:rsidP="00243401">
      <w:pPr>
        <w:spacing w:after="0"/>
        <w:jc w:val="both"/>
        <w:rPr>
          <w:rFonts w:asciiTheme="majorHAnsi" w:hAnsiTheme="majorHAnsi" w:cstheme="majorHAnsi"/>
          <w:sz w:val="24"/>
          <w:szCs w:val="24"/>
          <w:lang w:val="ro-MD"/>
        </w:rPr>
      </w:pP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Deși, conform cadrului legal</w:t>
      </w:r>
      <w:r w:rsidRPr="002751FC">
        <w:rPr>
          <w:rStyle w:val="ab"/>
          <w:rFonts w:asciiTheme="majorHAnsi" w:hAnsiTheme="majorHAnsi" w:cstheme="majorHAnsi"/>
          <w:sz w:val="28"/>
          <w:szCs w:val="28"/>
          <w:lang w:val="ro-MD"/>
        </w:rPr>
        <w:footnoteReference w:id="43"/>
      </w:r>
      <w:r w:rsidR="00D27531" w:rsidRPr="002751FC">
        <w:rPr>
          <w:rFonts w:asciiTheme="majorHAnsi" w:hAnsiTheme="majorHAnsi" w:cstheme="majorHAnsi"/>
          <w:sz w:val="28"/>
          <w:szCs w:val="28"/>
          <w:lang w:val="ro-MD"/>
        </w:rPr>
        <w:t xml:space="preserve">, CC urma a fi compus din 13 membri şi să </w:t>
      </w:r>
      <w:r w:rsidRPr="002751FC">
        <w:rPr>
          <w:rFonts w:asciiTheme="majorHAnsi" w:hAnsiTheme="majorHAnsi" w:cstheme="majorHAnsi"/>
          <w:sz w:val="28"/>
          <w:szCs w:val="28"/>
          <w:lang w:val="ro-MD"/>
        </w:rPr>
        <w:t xml:space="preserve">includă: trei </w:t>
      </w:r>
      <w:r w:rsidR="00D27531" w:rsidRPr="002751FC">
        <w:rPr>
          <w:rFonts w:asciiTheme="majorHAnsi" w:hAnsiTheme="majorHAnsi" w:cstheme="majorHAnsi"/>
          <w:sz w:val="28"/>
          <w:szCs w:val="28"/>
          <w:lang w:val="ro-MD"/>
        </w:rPr>
        <w:t>reprezentanți</w:t>
      </w:r>
      <w:r w:rsidRPr="002751FC">
        <w:rPr>
          <w:rFonts w:asciiTheme="majorHAnsi" w:hAnsiTheme="majorHAnsi" w:cstheme="majorHAnsi"/>
          <w:sz w:val="28"/>
          <w:szCs w:val="28"/>
          <w:lang w:val="ro-MD"/>
        </w:rPr>
        <w:t xml:space="preserve"> delegaţi de Minister, dintre care unul este angajat al Ministerului, </w:t>
      </w:r>
      <w:r w:rsidR="00D27531" w:rsidRPr="002751FC">
        <w:rPr>
          <w:rFonts w:asciiTheme="majorHAnsi" w:hAnsiTheme="majorHAnsi" w:cstheme="majorHAnsi"/>
          <w:sz w:val="28"/>
          <w:szCs w:val="28"/>
          <w:lang w:val="ro-MD"/>
        </w:rPr>
        <w:t>câte</w:t>
      </w:r>
      <w:r w:rsidRPr="002751FC">
        <w:rPr>
          <w:rFonts w:asciiTheme="majorHAnsi" w:hAnsiTheme="majorHAnsi" w:cstheme="majorHAnsi"/>
          <w:sz w:val="28"/>
          <w:szCs w:val="28"/>
          <w:lang w:val="ro-MD"/>
        </w:rPr>
        <w:t xml:space="preserve"> doi </w:t>
      </w:r>
      <w:r w:rsidR="00D27531" w:rsidRPr="002751FC">
        <w:rPr>
          <w:rFonts w:asciiTheme="majorHAnsi" w:hAnsiTheme="majorHAnsi" w:cstheme="majorHAnsi"/>
          <w:sz w:val="28"/>
          <w:szCs w:val="28"/>
          <w:lang w:val="ro-MD"/>
        </w:rPr>
        <w:t>reprezentanți</w:t>
      </w:r>
      <w:r w:rsidRPr="002751FC">
        <w:rPr>
          <w:rFonts w:asciiTheme="majorHAnsi" w:hAnsiTheme="majorHAnsi" w:cstheme="majorHAnsi"/>
          <w:sz w:val="28"/>
          <w:szCs w:val="28"/>
          <w:lang w:val="ro-MD"/>
        </w:rPr>
        <w:t xml:space="preserve"> delegaţi de </w:t>
      </w:r>
      <w:r w:rsidR="00D27531" w:rsidRPr="002751FC">
        <w:rPr>
          <w:rFonts w:asciiTheme="majorHAnsi" w:hAnsiTheme="majorHAnsi" w:cstheme="majorHAnsi"/>
          <w:sz w:val="28"/>
          <w:szCs w:val="28"/>
          <w:lang w:val="ro-MD"/>
        </w:rPr>
        <w:t>Asociația</w:t>
      </w:r>
      <w:r w:rsidRPr="002751FC">
        <w:rPr>
          <w:rFonts w:asciiTheme="majorHAnsi" w:hAnsiTheme="majorHAnsi" w:cstheme="majorHAnsi"/>
          <w:sz w:val="28"/>
          <w:szCs w:val="28"/>
          <w:lang w:val="ro-MD"/>
        </w:rPr>
        <w:t xml:space="preserve"> Vitivinicolă a Regiunii Geografice Delimitate </w:t>
      </w:r>
      <w:r w:rsidR="004D1732"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Codru” şi </w:t>
      </w:r>
      <w:r w:rsidR="00D27531" w:rsidRPr="002751FC">
        <w:rPr>
          <w:rFonts w:asciiTheme="majorHAnsi" w:hAnsiTheme="majorHAnsi" w:cstheme="majorHAnsi"/>
          <w:sz w:val="28"/>
          <w:szCs w:val="28"/>
          <w:lang w:val="ro-MD"/>
        </w:rPr>
        <w:t>Asociația</w:t>
      </w:r>
      <w:r w:rsidRPr="002751FC">
        <w:rPr>
          <w:rFonts w:asciiTheme="majorHAnsi" w:hAnsiTheme="majorHAnsi" w:cstheme="majorHAnsi"/>
          <w:sz w:val="28"/>
          <w:szCs w:val="28"/>
          <w:lang w:val="ro-MD"/>
        </w:rPr>
        <w:t xml:space="preserve"> Producătorilor de Vinuri cu IGP </w:t>
      </w:r>
      <w:r w:rsidR="004D1732" w:rsidRPr="002751FC">
        <w:rPr>
          <w:rFonts w:asciiTheme="majorHAnsi" w:hAnsiTheme="majorHAnsi" w:cstheme="majorHAnsi"/>
          <w:sz w:val="28"/>
          <w:szCs w:val="28"/>
          <w:lang w:val="ro-MD"/>
        </w:rPr>
        <w:t>„</w:t>
      </w:r>
      <w:r w:rsidR="00D27531" w:rsidRPr="002751FC">
        <w:rPr>
          <w:rFonts w:asciiTheme="majorHAnsi" w:hAnsiTheme="majorHAnsi" w:cstheme="majorHAnsi"/>
          <w:sz w:val="28"/>
          <w:szCs w:val="28"/>
          <w:lang w:val="ro-MD"/>
        </w:rPr>
        <w:t>Ștefan</w:t>
      </w:r>
      <w:r w:rsidRPr="002751FC">
        <w:rPr>
          <w:rFonts w:asciiTheme="majorHAnsi" w:hAnsiTheme="majorHAnsi" w:cstheme="majorHAnsi"/>
          <w:sz w:val="28"/>
          <w:szCs w:val="28"/>
          <w:lang w:val="ro-MD"/>
        </w:rPr>
        <w:t xml:space="preserve"> Vodă”, trei </w:t>
      </w:r>
      <w:r w:rsidR="00D27531" w:rsidRPr="002751FC">
        <w:rPr>
          <w:rFonts w:asciiTheme="majorHAnsi" w:hAnsiTheme="majorHAnsi" w:cstheme="majorHAnsi"/>
          <w:sz w:val="28"/>
          <w:szCs w:val="28"/>
          <w:lang w:val="ro-MD"/>
        </w:rPr>
        <w:t>reprezentanți</w:t>
      </w:r>
      <w:r w:rsidRPr="002751FC">
        <w:rPr>
          <w:rFonts w:asciiTheme="majorHAnsi" w:hAnsiTheme="majorHAnsi" w:cstheme="majorHAnsi"/>
          <w:sz w:val="28"/>
          <w:szCs w:val="28"/>
          <w:lang w:val="ro-MD"/>
        </w:rPr>
        <w:t xml:space="preserve"> delegaţi de Uniunea vitivinicolă a Regiunii Geografice Delimitate </w:t>
      </w:r>
      <w:r w:rsidR="004D1732"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Valul lui Traian”, </w:t>
      </w:r>
      <w:r w:rsidR="00D27531" w:rsidRPr="002751FC">
        <w:rPr>
          <w:rFonts w:asciiTheme="majorHAnsi" w:hAnsiTheme="majorHAnsi" w:cstheme="majorHAnsi"/>
          <w:sz w:val="28"/>
          <w:szCs w:val="28"/>
          <w:lang w:val="ro-MD"/>
        </w:rPr>
        <w:t>câte</w:t>
      </w:r>
      <w:r w:rsidRPr="002751FC">
        <w:rPr>
          <w:rFonts w:asciiTheme="majorHAnsi" w:hAnsiTheme="majorHAnsi" w:cstheme="majorHAnsi"/>
          <w:sz w:val="28"/>
          <w:szCs w:val="28"/>
          <w:lang w:val="ro-MD"/>
        </w:rPr>
        <w:t xml:space="preserve"> un reprezentant delegat de </w:t>
      </w:r>
      <w:r w:rsidR="00D27531" w:rsidRPr="002751FC">
        <w:rPr>
          <w:rFonts w:asciiTheme="majorHAnsi" w:hAnsiTheme="majorHAnsi" w:cstheme="majorHAnsi"/>
          <w:sz w:val="28"/>
          <w:szCs w:val="28"/>
          <w:lang w:val="ro-MD"/>
        </w:rPr>
        <w:t>Asociația</w:t>
      </w:r>
      <w:r w:rsidRPr="002751FC">
        <w:rPr>
          <w:rFonts w:asciiTheme="majorHAnsi" w:hAnsiTheme="majorHAnsi" w:cstheme="majorHAnsi"/>
          <w:sz w:val="28"/>
          <w:szCs w:val="28"/>
          <w:lang w:val="ro-MD"/>
        </w:rPr>
        <w:t xml:space="preserve"> producătorilor de vinuri cu IGP </w:t>
      </w:r>
      <w:r w:rsidR="004D1732" w:rsidRPr="002751FC">
        <w:rPr>
          <w:rFonts w:asciiTheme="majorHAnsi" w:hAnsiTheme="majorHAnsi" w:cstheme="majorHAnsi"/>
          <w:sz w:val="28"/>
          <w:szCs w:val="28"/>
          <w:lang w:val="ro-MD"/>
        </w:rPr>
        <w:t>„</w:t>
      </w:r>
      <w:r w:rsidR="00D27531" w:rsidRPr="002751FC">
        <w:rPr>
          <w:rFonts w:asciiTheme="majorHAnsi" w:hAnsiTheme="majorHAnsi" w:cstheme="majorHAnsi"/>
          <w:sz w:val="28"/>
          <w:szCs w:val="28"/>
          <w:lang w:val="ro-MD"/>
        </w:rPr>
        <w:t>Bălți</w:t>
      </w:r>
      <w:r w:rsidRPr="002751FC">
        <w:rPr>
          <w:rFonts w:asciiTheme="majorHAnsi" w:hAnsiTheme="majorHAnsi" w:cstheme="majorHAnsi"/>
          <w:sz w:val="28"/>
          <w:szCs w:val="28"/>
          <w:lang w:val="ro-MD"/>
        </w:rPr>
        <w:t xml:space="preserve">”, </w:t>
      </w:r>
      <w:r w:rsidR="00D27531" w:rsidRPr="002751FC">
        <w:rPr>
          <w:rFonts w:asciiTheme="majorHAnsi" w:hAnsiTheme="majorHAnsi" w:cstheme="majorHAnsi"/>
          <w:sz w:val="28"/>
          <w:szCs w:val="28"/>
          <w:lang w:val="ro-MD"/>
        </w:rPr>
        <w:t>Asociația</w:t>
      </w:r>
      <w:r w:rsidRPr="002751FC">
        <w:rPr>
          <w:rFonts w:asciiTheme="majorHAnsi" w:hAnsiTheme="majorHAnsi" w:cstheme="majorHAnsi"/>
          <w:sz w:val="28"/>
          <w:szCs w:val="28"/>
          <w:lang w:val="ro-MD"/>
        </w:rPr>
        <w:t xml:space="preserve"> Producătorilor de Divin şi Brandy de Moldova şi </w:t>
      </w:r>
      <w:r w:rsidR="00D27531" w:rsidRPr="002751FC">
        <w:rPr>
          <w:rFonts w:asciiTheme="majorHAnsi" w:hAnsiTheme="majorHAnsi" w:cstheme="majorHAnsi"/>
          <w:sz w:val="28"/>
          <w:szCs w:val="28"/>
          <w:lang w:val="ro-MD"/>
        </w:rPr>
        <w:t>Asociația</w:t>
      </w:r>
      <w:r w:rsidRPr="002751FC">
        <w:rPr>
          <w:rFonts w:asciiTheme="majorHAnsi" w:hAnsiTheme="majorHAnsi" w:cstheme="majorHAnsi"/>
          <w:sz w:val="28"/>
          <w:szCs w:val="28"/>
          <w:lang w:val="ro-MD"/>
        </w:rPr>
        <w:t xml:space="preserve"> </w:t>
      </w:r>
      <w:r w:rsidR="00D27531" w:rsidRPr="002751FC">
        <w:rPr>
          <w:rFonts w:asciiTheme="majorHAnsi" w:hAnsiTheme="majorHAnsi" w:cstheme="majorHAnsi"/>
          <w:sz w:val="28"/>
          <w:szCs w:val="28"/>
          <w:lang w:val="ro-MD"/>
        </w:rPr>
        <w:t>Pepinieriștilor</w:t>
      </w:r>
      <w:r w:rsidRPr="002751FC">
        <w:rPr>
          <w:rFonts w:asciiTheme="majorHAnsi" w:hAnsiTheme="majorHAnsi" w:cstheme="majorHAnsi"/>
          <w:sz w:val="28"/>
          <w:szCs w:val="28"/>
          <w:lang w:val="ro-MD"/>
        </w:rPr>
        <w:t xml:space="preserve"> Viticoli, acesta, în realitate, a activat în componenț</w:t>
      </w:r>
      <w:r w:rsidR="004D1732" w:rsidRPr="002751FC">
        <w:rPr>
          <w:rFonts w:asciiTheme="majorHAnsi" w:hAnsiTheme="majorHAnsi" w:cstheme="majorHAnsi"/>
          <w:sz w:val="28"/>
          <w:szCs w:val="28"/>
          <w:lang w:val="ro-MD"/>
        </w:rPr>
        <w:t>ă</w:t>
      </w:r>
      <w:r w:rsidRPr="002751FC">
        <w:rPr>
          <w:rFonts w:asciiTheme="majorHAnsi" w:hAnsiTheme="majorHAnsi" w:cstheme="majorHAnsi"/>
          <w:sz w:val="28"/>
          <w:szCs w:val="28"/>
          <w:lang w:val="ro-MD"/>
        </w:rPr>
        <w:t xml:space="preserve"> de 12 membri. Situația constatată este o </w:t>
      </w:r>
      <w:r w:rsidRPr="002751FC">
        <w:rPr>
          <w:rFonts w:asciiTheme="majorHAnsi" w:hAnsiTheme="majorHAnsi" w:cstheme="majorHAnsi"/>
          <w:sz w:val="28"/>
          <w:szCs w:val="28"/>
          <w:lang w:val="ro-MD"/>
        </w:rPr>
        <w:lastRenderedPageBreak/>
        <w:t xml:space="preserve">consecință a imperfecțiunii cadrului regulator, și anume, lipsa/inexistența </w:t>
      </w:r>
      <w:r w:rsidR="00D27531" w:rsidRPr="002751FC">
        <w:rPr>
          <w:rFonts w:asciiTheme="majorHAnsi" w:hAnsiTheme="majorHAnsi" w:cstheme="majorHAnsi"/>
          <w:sz w:val="28"/>
          <w:szCs w:val="28"/>
          <w:lang w:val="ro-MD"/>
        </w:rPr>
        <w:t>Asociației</w:t>
      </w:r>
      <w:r w:rsidRPr="002751FC">
        <w:rPr>
          <w:rFonts w:asciiTheme="majorHAnsi" w:hAnsiTheme="majorHAnsi" w:cstheme="majorHAnsi"/>
          <w:sz w:val="28"/>
          <w:szCs w:val="28"/>
          <w:lang w:val="ro-MD"/>
        </w:rPr>
        <w:t xml:space="preserve"> producătorilor de vinuri cu IGP </w:t>
      </w:r>
      <w:r w:rsidR="004D1732" w:rsidRPr="002751FC">
        <w:rPr>
          <w:rFonts w:asciiTheme="majorHAnsi" w:hAnsiTheme="majorHAnsi" w:cstheme="majorHAnsi"/>
          <w:sz w:val="28"/>
          <w:szCs w:val="28"/>
          <w:lang w:val="ro-MD"/>
        </w:rPr>
        <w:t>„</w:t>
      </w:r>
      <w:r w:rsidR="00D27531" w:rsidRPr="002751FC">
        <w:rPr>
          <w:rFonts w:asciiTheme="majorHAnsi" w:hAnsiTheme="majorHAnsi" w:cstheme="majorHAnsi"/>
          <w:sz w:val="28"/>
          <w:szCs w:val="28"/>
          <w:lang w:val="ro-MD"/>
        </w:rPr>
        <w:t>Bălți</w:t>
      </w:r>
      <w:r w:rsidRPr="002751FC">
        <w:rPr>
          <w:rFonts w:asciiTheme="majorHAnsi" w:hAnsiTheme="majorHAnsi" w:cstheme="majorHAnsi"/>
          <w:sz w:val="28"/>
          <w:szCs w:val="28"/>
          <w:lang w:val="ro-MD"/>
        </w:rPr>
        <w:t>”. Astfel, MADRM</w:t>
      </w:r>
      <w:r w:rsidR="004D1732"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de </w:t>
      </w:r>
      <w:r w:rsidR="00D27531" w:rsidRPr="002751FC">
        <w:rPr>
          <w:rFonts w:asciiTheme="majorHAnsi" w:hAnsiTheme="majorHAnsi" w:cstheme="majorHAnsi"/>
          <w:sz w:val="28"/>
          <w:szCs w:val="28"/>
          <w:lang w:val="ro-MD"/>
        </w:rPr>
        <w:t xml:space="preserve">comun </w:t>
      </w:r>
      <w:r w:rsidRPr="002751FC">
        <w:rPr>
          <w:rFonts w:asciiTheme="majorHAnsi" w:hAnsiTheme="majorHAnsi" w:cstheme="majorHAnsi"/>
          <w:sz w:val="28"/>
          <w:szCs w:val="28"/>
          <w:lang w:val="ro-MD"/>
        </w:rPr>
        <w:t>cu ONVV</w:t>
      </w:r>
      <w:r w:rsidR="004D1732"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urmează să întreprindă măsuri</w:t>
      </w:r>
      <w:r w:rsidR="004D1732" w:rsidRPr="002751FC">
        <w:rPr>
          <w:rFonts w:asciiTheme="majorHAnsi" w:hAnsiTheme="majorHAnsi" w:cstheme="majorHAnsi"/>
          <w:sz w:val="28"/>
          <w:szCs w:val="28"/>
          <w:lang w:val="ro-MD"/>
        </w:rPr>
        <w:t>le</w:t>
      </w:r>
      <w:r w:rsidRPr="002751FC">
        <w:rPr>
          <w:rFonts w:asciiTheme="majorHAnsi" w:hAnsiTheme="majorHAnsi" w:cstheme="majorHAnsi"/>
          <w:sz w:val="28"/>
          <w:szCs w:val="28"/>
          <w:lang w:val="ro-MD"/>
        </w:rPr>
        <w:t xml:space="preserve"> de rigoare pentru </w:t>
      </w:r>
      <w:r w:rsidR="004D1732" w:rsidRPr="002751FC">
        <w:rPr>
          <w:rFonts w:asciiTheme="majorHAnsi" w:hAnsiTheme="majorHAnsi" w:cstheme="majorHAnsi"/>
          <w:sz w:val="28"/>
          <w:szCs w:val="28"/>
          <w:lang w:val="ro-MD"/>
        </w:rPr>
        <w:t>ajustarea</w:t>
      </w:r>
      <w:r w:rsidRPr="002751FC">
        <w:rPr>
          <w:rFonts w:asciiTheme="majorHAnsi" w:hAnsiTheme="majorHAnsi" w:cstheme="majorHAnsi"/>
          <w:sz w:val="28"/>
          <w:szCs w:val="28"/>
          <w:lang w:val="ro-MD"/>
        </w:rPr>
        <w:t xml:space="preserve"> cadrului regulator la situația reală. </w:t>
      </w:r>
    </w:p>
    <w:p w:rsidR="00D27531" w:rsidRPr="002751FC" w:rsidRDefault="00D27531" w:rsidP="00243401">
      <w:pPr>
        <w:spacing w:after="0"/>
        <w:jc w:val="both"/>
        <w:rPr>
          <w:rFonts w:asciiTheme="majorHAnsi" w:hAnsiTheme="majorHAnsi" w:cstheme="majorHAnsi"/>
          <w:sz w:val="28"/>
          <w:szCs w:val="28"/>
          <w:lang w:val="ro-MD"/>
        </w:rPr>
      </w:pPr>
    </w:p>
    <w:p w:rsidR="002B0C1F" w:rsidRPr="002751FC" w:rsidRDefault="00D27531" w:rsidP="000C457C">
      <w:pPr>
        <w:pStyle w:val="1"/>
        <w:numPr>
          <w:ilvl w:val="2"/>
          <w:numId w:val="15"/>
        </w:numPr>
        <w:spacing w:before="0"/>
        <w:ind w:left="0" w:firstLine="0"/>
        <w:jc w:val="both"/>
        <w:rPr>
          <w:rFonts w:cstheme="majorHAnsi"/>
          <w:b/>
          <w:color w:val="auto"/>
          <w:sz w:val="28"/>
          <w:szCs w:val="28"/>
          <w:lang w:val="ro-MD"/>
        </w:rPr>
      </w:pPr>
      <w:bookmarkStart w:id="36" w:name="_Toc23259100"/>
      <w:r w:rsidRPr="002751FC">
        <w:rPr>
          <w:rFonts w:cstheme="majorHAnsi"/>
          <w:b/>
          <w:color w:val="auto"/>
          <w:sz w:val="28"/>
          <w:szCs w:val="28"/>
          <w:lang w:val="ro-MD"/>
        </w:rPr>
        <w:t>C</w:t>
      </w:r>
      <w:r w:rsidR="004D1732" w:rsidRPr="002751FC">
        <w:rPr>
          <w:rFonts w:cstheme="majorHAnsi"/>
          <w:b/>
          <w:color w:val="auto"/>
          <w:sz w:val="28"/>
          <w:szCs w:val="28"/>
          <w:lang w:val="ro-MD"/>
        </w:rPr>
        <w:t xml:space="preserve">onsiliul de </w:t>
      </w:r>
      <w:r w:rsidR="00F345E3">
        <w:rPr>
          <w:rFonts w:cstheme="majorHAnsi"/>
          <w:b/>
          <w:color w:val="auto"/>
          <w:sz w:val="28"/>
          <w:szCs w:val="28"/>
          <w:lang w:val="ro-MD"/>
        </w:rPr>
        <w:t>c</w:t>
      </w:r>
      <w:r w:rsidR="004D1732" w:rsidRPr="002751FC">
        <w:rPr>
          <w:rFonts w:cstheme="majorHAnsi"/>
          <w:b/>
          <w:color w:val="auto"/>
          <w:sz w:val="28"/>
          <w:szCs w:val="28"/>
          <w:lang w:val="ro-MD"/>
        </w:rPr>
        <w:t>oordonare</w:t>
      </w:r>
      <w:r w:rsidR="002B0C1F" w:rsidRPr="002751FC">
        <w:rPr>
          <w:rFonts w:cstheme="majorHAnsi"/>
          <w:b/>
          <w:color w:val="auto"/>
          <w:sz w:val="28"/>
          <w:szCs w:val="28"/>
          <w:lang w:val="ro-MD"/>
        </w:rPr>
        <w:t xml:space="preserve"> nu are un Președinte </w:t>
      </w:r>
      <w:r w:rsidRPr="002751FC">
        <w:rPr>
          <w:rFonts w:cstheme="majorHAnsi"/>
          <w:b/>
          <w:color w:val="auto"/>
          <w:sz w:val="28"/>
          <w:szCs w:val="28"/>
          <w:lang w:val="ro-MD"/>
        </w:rPr>
        <w:t>permanent</w:t>
      </w:r>
      <w:r w:rsidR="002B0C1F" w:rsidRPr="002751FC">
        <w:rPr>
          <w:rFonts w:cstheme="majorHAnsi"/>
          <w:b/>
          <w:color w:val="auto"/>
          <w:sz w:val="28"/>
          <w:szCs w:val="28"/>
          <w:lang w:val="ro-MD"/>
        </w:rPr>
        <w:t>, acesta fiind ales în cadrul fiecărei ședințe</w:t>
      </w:r>
      <w:bookmarkEnd w:id="36"/>
    </w:p>
    <w:p w:rsidR="002B0C1F" w:rsidRPr="002751FC" w:rsidRDefault="002B0C1F" w:rsidP="00243401">
      <w:pPr>
        <w:pStyle w:val="ac"/>
        <w:ind w:left="0"/>
        <w:rPr>
          <w:rFonts w:asciiTheme="majorHAnsi" w:hAnsiTheme="majorHAnsi" w:cstheme="majorHAnsi"/>
          <w:lang w:val="ro-MD"/>
        </w:rPr>
      </w:pP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Conform cadrului regulator, ședințele CC sunt prezidate de un membru ales al Consiliului. Astfel, probele de audit denotă că alegerea Preș</w:t>
      </w:r>
      <w:r w:rsidR="009E66EB" w:rsidRPr="002751FC">
        <w:rPr>
          <w:rFonts w:asciiTheme="majorHAnsi" w:hAnsiTheme="majorHAnsi" w:cstheme="majorHAnsi"/>
          <w:sz w:val="28"/>
          <w:szCs w:val="28"/>
          <w:lang w:val="ro-MD"/>
        </w:rPr>
        <w:t xml:space="preserve">edintelui CC este efectuată în </w:t>
      </w:r>
      <w:r w:rsidRPr="002751FC">
        <w:rPr>
          <w:rFonts w:asciiTheme="majorHAnsi" w:hAnsiTheme="majorHAnsi" w:cstheme="majorHAnsi"/>
          <w:sz w:val="28"/>
          <w:szCs w:val="28"/>
          <w:lang w:val="ro-MD"/>
        </w:rPr>
        <w:t>cadrul fiecărei ședințe, acestea fiind prezidate de fiecare dată de diferite persoane</w:t>
      </w:r>
      <w:r w:rsidR="004D1732"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w:t>
      </w:r>
      <w:r w:rsidR="004D1732" w:rsidRPr="002751FC">
        <w:rPr>
          <w:rFonts w:asciiTheme="majorHAnsi" w:hAnsiTheme="majorHAnsi" w:cstheme="majorHAnsi"/>
          <w:sz w:val="28"/>
          <w:szCs w:val="28"/>
          <w:lang w:val="ro-MD"/>
        </w:rPr>
        <w:t>Î</w:t>
      </w:r>
      <w:r w:rsidRPr="002751FC">
        <w:rPr>
          <w:rFonts w:asciiTheme="majorHAnsi" w:hAnsiTheme="majorHAnsi" w:cstheme="majorHAnsi"/>
          <w:sz w:val="28"/>
          <w:szCs w:val="28"/>
          <w:lang w:val="ro-MD"/>
        </w:rPr>
        <w:t xml:space="preserve">n anul 2017 au fost </w:t>
      </w:r>
      <w:r w:rsidR="004D1732" w:rsidRPr="002751FC">
        <w:rPr>
          <w:rFonts w:asciiTheme="majorHAnsi" w:hAnsiTheme="majorHAnsi" w:cstheme="majorHAnsi"/>
          <w:sz w:val="28"/>
          <w:szCs w:val="28"/>
          <w:lang w:val="ro-MD"/>
        </w:rPr>
        <w:t xml:space="preserve">organizate </w:t>
      </w:r>
      <w:r w:rsidRPr="002751FC">
        <w:rPr>
          <w:rFonts w:asciiTheme="majorHAnsi" w:hAnsiTheme="majorHAnsi" w:cstheme="majorHAnsi"/>
          <w:sz w:val="28"/>
          <w:szCs w:val="28"/>
          <w:lang w:val="ro-MD"/>
        </w:rPr>
        <w:t xml:space="preserve">6 ședințe, prezidate de </w:t>
      </w:r>
      <w:r w:rsidR="009E66EB" w:rsidRPr="002751FC">
        <w:rPr>
          <w:rFonts w:asciiTheme="majorHAnsi" w:hAnsiTheme="majorHAnsi" w:cstheme="majorHAnsi"/>
          <w:sz w:val="28"/>
          <w:szCs w:val="28"/>
          <w:lang w:val="ro-MD"/>
        </w:rPr>
        <w:t>6</w:t>
      </w:r>
      <w:r w:rsidRPr="002751FC">
        <w:rPr>
          <w:rFonts w:asciiTheme="majorHAnsi" w:hAnsiTheme="majorHAnsi" w:cstheme="majorHAnsi"/>
          <w:sz w:val="28"/>
          <w:szCs w:val="28"/>
          <w:lang w:val="ro-MD"/>
        </w:rPr>
        <w:t xml:space="preserve"> persoane, în anul 2018 – 7 ședin</w:t>
      </w:r>
      <w:r w:rsidR="004D1732" w:rsidRPr="002751FC">
        <w:rPr>
          <w:rFonts w:asciiTheme="majorHAnsi" w:hAnsiTheme="majorHAnsi" w:cstheme="majorHAnsi"/>
          <w:sz w:val="28"/>
          <w:szCs w:val="28"/>
          <w:lang w:val="ro-MD"/>
        </w:rPr>
        <w:t>ț</w:t>
      </w:r>
      <w:r w:rsidRPr="002751FC">
        <w:rPr>
          <w:rFonts w:asciiTheme="majorHAnsi" w:hAnsiTheme="majorHAnsi" w:cstheme="majorHAnsi"/>
          <w:sz w:val="28"/>
          <w:szCs w:val="28"/>
          <w:lang w:val="ro-MD"/>
        </w:rPr>
        <w:t>e, prezidate de 5 persoane, o persoană a prezidat 2 ședințe.</w:t>
      </w:r>
    </w:p>
    <w:p w:rsidR="009E66EB" w:rsidRPr="002751FC" w:rsidRDefault="009E66EB" w:rsidP="00243401">
      <w:pPr>
        <w:spacing w:after="0"/>
        <w:jc w:val="both"/>
        <w:rPr>
          <w:rFonts w:asciiTheme="majorHAnsi" w:hAnsiTheme="majorHAnsi" w:cstheme="majorHAnsi"/>
          <w:sz w:val="28"/>
          <w:szCs w:val="28"/>
          <w:lang w:val="ro-MD"/>
        </w:rPr>
      </w:pPr>
    </w:p>
    <w:p w:rsidR="002B0C1F" w:rsidRPr="002751FC" w:rsidRDefault="002B0C1F" w:rsidP="00243401">
      <w:pPr>
        <w:pStyle w:val="1"/>
        <w:numPr>
          <w:ilvl w:val="2"/>
          <w:numId w:val="15"/>
        </w:numPr>
        <w:spacing w:before="0"/>
        <w:ind w:left="0" w:firstLine="0"/>
        <w:rPr>
          <w:rFonts w:cstheme="majorHAnsi"/>
          <w:b/>
          <w:color w:val="auto"/>
          <w:sz w:val="28"/>
          <w:szCs w:val="28"/>
          <w:lang w:val="ro-MD"/>
        </w:rPr>
      </w:pPr>
      <w:bookmarkStart w:id="37" w:name="_Toc23259101"/>
      <w:r w:rsidRPr="002751FC">
        <w:rPr>
          <w:rFonts w:cstheme="majorHAnsi"/>
          <w:b/>
          <w:color w:val="auto"/>
          <w:sz w:val="28"/>
          <w:szCs w:val="28"/>
          <w:lang w:val="ro-MD"/>
        </w:rPr>
        <w:t>Structura și efectivul-limită a</w:t>
      </w:r>
      <w:r w:rsidR="004D1732" w:rsidRPr="002751FC">
        <w:rPr>
          <w:rFonts w:cstheme="majorHAnsi"/>
          <w:b/>
          <w:color w:val="auto"/>
          <w:sz w:val="28"/>
          <w:szCs w:val="28"/>
          <w:lang w:val="ro-MD"/>
        </w:rPr>
        <w:t>le</w:t>
      </w:r>
      <w:r w:rsidRPr="002751FC">
        <w:rPr>
          <w:rFonts w:cstheme="majorHAnsi"/>
          <w:b/>
          <w:color w:val="auto"/>
          <w:sz w:val="28"/>
          <w:szCs w:val="28"/>
          <w:lang w:val="ro-MD"/>
        </w:rPr>
        <w:t xml:space="preserve"> ONVV au fost </w:t>
      </w:r>
      <w:r w:rsidR="004D1732" w:rsidRPr="002751FC">
        <w:rPr>
          <w:rFonts w:cstheme="majorHAnsi"/>
          <w:b/>
          <w:color w:val="auto"/>
          <w:sz w:val="28"/>
          <w:szCs w:val="28"/>
          <w:lang w:val="ro-MD"/>
        </w:rPr>
        <w:t xml:space="preserve">aprobate </w:t>
      </w:r>
      <w:r w:rsidRPr="002751FC">
        <w:rPr>
          <w:rFonts w:cstheme="majorHAnsi"/>
          <w:b/>
          <w:color w:val="auto"/>
          <w:sz w:val="28"/>
          <w:szCs w:val="28"/>
          <w:lang w:val="ro-MD"/>
        </w:rPr>
        <w:t>cu derogare de la cadrul normativ</w:t>
      </w:r>
      <w:bookmarkEnd w:id="37"/>
    </w:p>
    <w:p w:rsidR="002B0C1F" w:rsidRPr="002751FC" w:rsidRDefault="002B0C1F" w:rsidP="00243401">
      <w:pPr>
        <w:pStyle w:val="ac"/>
        <w:ind w:left="0"/>
        <w:rPr>
          <w:rFonts w:asciiTheme="majorHAnsi" w:hAnsiTheme="majorHAnsi" w:cstheme="majorHAnsi"/>
          <w:lang w:val="ro-MD"/>
        </w:rPr>
      </w:pP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Conform pct.13 subpct.3) din Statutul ONVV</w:t>
      </w:r>
      <w:r w:rsidRPr="002751FC">
        <w:rPr>
          <w:rStyle w:val="ab"/>
          <w:rFonts w:asciiTheme="majorHAnsi" w:hAnsiTheme="majorHAnsi" w:cstheme="majorHAnsi"/>
          <w:sz w:val="28"/>
          <w:szCs w:val="28"/>
          <w:lang w:val="ro-MD"/>
        </w:rPr>
        <w:footnoteReference w:id="44"/>
      </w:r>
      <w:r w:rsidRPr="002751FC">
        <w:rPr>
          <w:rFonts w:asciiTheme="majorHAnsi" w:hAnsiTheme="majorHAnsi" w:cstheme="majorHAnsi"/>
          <w:sz w:val="28"/>
          <w:szCs w:val="28"/>
          <w:lang w:val="ro-MD"/>
        </w:rPr>
        <w:t>, CC examinează și propune spre aprobare MADRM structura, efectivul</w:t>
      </w:r>
      <w:r w:rsidR="0067504B"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limită și schema de </w:t>
      </w:r>
      <w:r w:rsidR="00024928" w:rsidRPr="002751FC">
        <w:rPr>
          <w:rFonts w:asciiTheme="majorHAnsi" w:hAnsiTheme="majorHAnsi" w:cstheme="majorHAnsi"/>
          <w:sz w:val="28"/>
          <w:szCs w:val="28"/>
          <w:lang w:val="ro-MD"/>
        </w:rPr>
        <w:t>încadrare</w:t>
      </w:r>
      <w:r w:rsidRPr="002751FC">
        <w:rPr>
          <w:rFonts w:asciiTheme="majorHAnsi" w:hAnsiTheme="majorHAnsi" w:cstheme="majorHAnsi"/>
          <w:sz w:val="28"/>
          <w:szCs w:val="28"/>
          <w:lang w:val="ro-MD"/>
        </w:rPr>
        <w:t xml:space="preserve"> ale ONVV.</w:t>
      </w: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Probele de audit au relevat că, prin derogare de la cadrul normativ, structura organizațională ș</w:t>
      </w:r>
      <w:r w:rsidR="00024928" w:rsidRPr="002751FC">
        <w:rPr>
          <w:rFonts w:asciiTheme="majorHAnsi" w:hAnsiTheme="majorHAnsi" w:cstheme="majorHAnsi"/>
          <w:sz w:val="28"/>
          <w:szCs w:val="28"/>
          <w:lang w:val="ro-MD"/>
        </w:rPr>
        <w:t>i efectivul</w:t>
      </w:r>
      <w:r w:rsidR="0067504B" w:rsidRPr="002751FC">
        <w:rPr>
          <w:rFonts w:asciiTheme="majorHAnsi" w:hAnsiTheme="majorHAnsi" w:cstheme="majorHAnsi"/>
          <w:sz w:val="28"/>
          <w:szCs w:val="28"/>
          <w:lang w:val="ro-MD"/>
        </w:rPr>
        <w:t>-</w:t>
      </w:r>
      <w:r w:rsidR="00024928" w:rsidRPr="002751FC">
        <w:rPr>
          <w:rFonts w:asciiTheme="majorHAnsi" w:hAnsiTheme="majorHAnsi" w:cstheme="majorHAnsi"/>
          <w:sz w:val="28"/>
          <w:szCs w:val="28"/>
          <w:lang w:val="ro-MD"/>
        </w:rPr>
        <w:t xml:space="preserve">limită ale ONVV </w:t>
      </w:r>
      <w:r w:rsidRPr="002751FC">
        <w:rPr>
          <w:rFonts w:asciiTheme="majorHAnsi" w:hAnsiTheme="majorHAnsi" w:cstheme="majorHAnsi"/>
          <w:sz w:val="28"/>
          <w:szCs w:val="28"/>
          <w:lang w:val="ro-MD"/>
        </w:rPr>
        <w:t>pentru anii 20</w:t>
      </w:r>
      <w:r w:rsidR="00024928" w:rsidRPr="002751FC">
        <w:rPr>
          <w:rFonts w:asciiTheme="majorHAnsi" w:hAnsiTheme="majorHAnsi" w:cstheme="majorHAnsi"/>
          <w:sz w:val="28"/>
          <w:szCs w:val="28"/>
          <w:lang w:val="ro-MD"/>
        </w:rPr>
        <w:t xml:space="preserve">17 și 2018 au fost aprobate de </w:t>
      </w:r>
      <w:r w:rsidRPr="002751FC">
        <w:rPr>
          <w:rFonts w:asciiTheme="majorHAnsi" w:hAnsiTheme="majorHAnsi" w:cstheme="majorHAnsi"/>
          <w:sz w:val="28"/>
          <w:szCs w:val="28"/>
          <w:lang w:val="ro-MD"/>
        </w:rPr>
        <w:t>CC</w:t>
      </w:r>
      <w:r w:rsidRPr="002751FC">
        <w:rPr>
          <w:rStyle w:val="ab"/>
          <w:rFonts w:asciiTheme="majorHAnsi" w:hAnsiTheme="majorHAnsi" w:cstheme="majorHAnsi"/>
          <w:sz w:val="28"/>
          <w:szCs w:val="28"/>
          <w:lang w:val="ro-MD"/>
        </w:rPr>
        <w:footnoteReference w:id="45"/>
      </w:r>
      <w:r w:rsidRPr="002751FC">
        <w:rPr>
          <w:rFonts w:asciiTheme="majorHAnsi" w:hAnsiTheme="majorHAnsi" w:cstheme="majorHAnsi"/>
          <w:sz w:val="28"/>
          <w:szCs w:val="28"/>
          <w:lang w:val="ro-MD"/>
        </w:rPr>
        <w:t xml:space="preserve"> nefiind </w:t>
      </w:r>
      <w:r w:rsidR="0067504B" w:rsidRPr="002751FC">
        <w:rPr>
          <w:rFonts w:asciiTheme="majorHAnsi" w:hAnsiTheme="majorHAnsi" w:cstheme="majorHAnsi"/>
          <w:sz w:val="28"/>
          <w:szCs w:val="28"/>
          <w:lang w:val="ro-MD"/>
        </w:rPr>
        <w:t xml:space="preserve">însă </w:t>
      </w:r>
      <w:r w:rsidRPr="002751FC">
        <w:rPr>
          <w:rFonts w:asciiTheme="majorHAnsi" w:hAnsiTheme="majorHAnsi" w:cstheme="majorHAnsi"/>
          <w:sz w:val="28"/>
          <w:szCs w:val="28"/>
          <w:lang w:val="ro-MD"/>
        </w:rPr>
        <w:t>prezentate MADRM</w:t>
      </w:r>
      <w:r w:rsidRPr="002751FC">
        <w:rPr>
          <w:rStyle w:val="ab"/>
          <w:rFonts w:asciiTheme="majorHAnsi" w:hAnsiTheme="majorHAnsi" w:cstheme="majorHAnsi"/>
          <w:sz w:val="28"/>
          <w:szCs w:val="28"/>
          <w:lang w:val="ro-MD"/>
        </w:rPr>
        <w:footnoteReference w:id="46"/>
      </w:r>
      <w:r w:rsidR="00024928" w:rsidRPr="002751FC">
        <w:rPr>
          <w:rFonts w:asciiTheme="majorHAnsi" w:hAnsiTheme="majorHAnsi" w:cstheme="majorHAnsi"/>
          <w:sz w:val="28"/>
          <w:szCs w:val="28"/>
          <w:lang w:val="ro-MD"/>
        </w:rPr>
        <w:t xml:space="preserve"> spre aprobare, </w:t>
      </w:r>
      <w:r w:rsidR="0067504B" w:rsidRPr="002751FC">
        <w:rPr>
          <w:rFonts w:asciiTheme="majorHAnsi" w:hAnsiTheme="majorHAnsi" w:cstheme="majorHAnsi"/>
          <w:sz w:val="28"/>
          <w:szCs w:val="28"/>
          <w:lang w:val="ro-MD"/>
        </w:rPr>
        <w:t>ministerul</w:t>
      </w:r>
      <w:r w:rsidRPr="002751FC">
        <w:rPr>
          <w:rFonts w:asciiTheme="majorHAnsi" w:hAnsiTheme="majorHAnsi" w:cstheme="majorHAnsi"/>
          <w:sz w:val="28"/>
          <w:szCs w:val="28"/>
          <w:lang w:val="ro-MD"/>
        </w:rPr>
        <w:t xml:space="preserve"> aprob</w:t>
      </w:r>
      <w:r w:rsidR="0067504B" w:rsidRPr="002751FC">
        <w:rPr>
          <w:rFonts w:asciiTheme="majorHAnsi" w:hAnsiTheme="majorHAnsi" w:cstheme="majorHAnsi"/>
          <w:sz w:val="28"/>
          <w:szCs w:val="28"/>
          <w:lang w:val="ro-MD"/>
        </w:rPr>
        <w:t>ând</w:t>
      </w:r>
      <w:r w:rsidRPr="002751FC">
        <w:rPr>
          <w:rFonts w:asciiTheme="majorHAnsi" w:hAnsiTheme="majorHAnsi" w:cstheme="majorHAnsi"/>
          <w:sz w:val="28"/>
          <w:szCs w:val="28"/>
          <w:lang w:val="ro-MD"/>
        </w:rPr>
        <w:t xml:space="preserve"> doar schema de încadrare</w:t>
      </w:r>
      <w:r w:rsidRPr="002751FC">
        <w:rPr>
          <w:rStyle w:val="ab"/>
          <w:rFonts w:asciiTheme="majorHAnsi" w:hAnsiTheme="majorHAnsi" w:cstheme="majorHAnsi"/>
          <w:sz w:val="28"/>
          <w:szCs w:val="28"/>
          <w:lang w:val="ro-MD"/>
        </w:rPr>
        <w:footnoteReference w:id="47"/>
      </w:r>
      <w:r w:rsidRPr="002751FC">
        <w:rPr>
          <w:rFonts w:asciiTheme="majorHAnsi" w:hAnsiTheme="majorHAnsi" w:cstheme="majorHAnsi"/>
          <w:sz w:val="28"/>
          <w:szCs w:val="28"/>
          <w:lang w:val="ro-MD"/>
        </w:rPr>
        <w:t>, cu un efectiv</w:t>
      </w:r>
      <w:r w:rsidR="007B4277"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limită de 20</w:t>
      </w:r>
      <w:r w:rsidR="007B4277" w:rsidRPr="002751FC">
        <w:rPr>
          <w:rFonts w:asciiTheme="majorHAnsi" w:hAnsiTheme="majorHAnsi" w:cstheme="majorHAnsi"/>
          <w:sz w:val="28"/>
          <w:szCs w:val="28"/>
          <w:lang w:val="ro-MD"/>
        </w:rPr>
        <w:t xml:space="preserve"> de</w:t>
      </w:r>
      <w:r w:rsidRPr="002751FC">
        <w:rPr>
          <w:rFonts w:asciiTheme="majorHAnsi" w:hAnsiTheme="majorHAnsi" w:cstheme="majorHAnsi"/>
          <w:sz w:val="28"/>
          <w:szCs w:val="28"/>
          <w:lang w:val="ro-MD"/>
        </w:rPr>
        <w:t xml:space="preserve"> persoane și fondul lunar de salarizare de 407,4 mii </w:t>
      </w:r>
      <w:r w:rsidR="00431516">
        <w:rPr>
          <w:rFonts w:asciiTheme="majorHAnsi" w:hAnsiTheme="majorHAnsi" w:cstheme="majorHAnsi"/>
          <w:sz w:val="28"/>
          <w:szCs w:val="28"/>
          <w:lang w:val="ro-MD"/>
        </w:rPr>
        <w:t>MDL</w:t>
      </w:r>
      <w:r w:rsidRPr="002751FC">
        <w:rPr>
          <w:rFonts w:asciiTheme="majorHAnsi" w:hAnsiTheme="majorHAnsi" w:cstheme="majorHAnsi"/>
          <w:sz w:val="28"/>
          <w:szCs w:val="28"/>
          <w:lang w:val="ro-MD"/>
        </w:rPr>
        <w:t>.</w:t>
      </w:r>
    </w:p>
    <w:p w:rsidR="00777DCF" w:rsidRPr="002751FC" w:rsidRDefault="00777DCF" w:rsidP="00243401">
      <w:pPr>
        <w:spacing w:after="0"/>
        <w:jc w:val="both"/>
        <w:rPr>
          <w:rFonts w:asciiTheme="majorHAnsi" w:hAnsiTheme="majorHAnsi" w:cstheme="majorHAnsi"/>
          <w:sz w:val="28"/>
          <w:szCs w:val="28"/>
          <w:lang w:val="ro-MD"/>
        </w:rPr>
      </w:pPr>
    </w:p>
    <w:p w:rsidR="00C24BA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De </w:t>
      </w:r>
      <w:r w:rsidR="00024928" w:rsidRPr="002751FC">
        <w:rPr>
          <w:rFonts w:asciiTheme="majorHAnsi" w:hAnsiTheme="majorHAnsi" w:cstheme="majorHAnsi"/>
          <w:sz w:val="28"/>
          <w:szCs w:val="28"/>
          <w:lang w:val="ro-MD"/>
        </w:rPr>
        <w:t>menționat</w:t>
      </w:r>
      <w:r w:rsidRPr="002751FC">
        <w:rPr>
          <w:rFonts w:asciiTheme="majorHAnsi" w:hAnsiTheme="majorHAnsi" w:cstheme="majorHAnsi"/>
          <w:sz w:val="28"/>
          <w:szCs w:val="28"/>
          <w:lang w:val="ro-MD"/>
        </w:rPr>
        <w:t xml:space="preserve"> că </w:t>
      </w:r>
      <w:r w:rsidR="007B4277" w:rsidRPr="002751FC">
        <w:rPr>
          <w:rFonts w:asciiTheme="majorHAnsi" w:hAnsiTheme="majorHAnsi" w:cstheme="majorHAnsi"/>
          <w:sz w:val="28"/>
          <w:szCs w:val="28"/>
          <w:lang w:val="ro-MD"/>
        </w:rPr>
        <w:t>efectivul-</w:t>
      </w:r>
      <w:r w:rsidRPr="002751FC">
        <w:rPr>
          <w:rFonts w:asciiTheme="majorHAnsi" w:hAnsiTheme="majorHAnsi" w:cstheme="majorHAnsi"/>
          <w:sz w:val="28"/>
          <w:szCs w:val="28"/>
          <w:lang w:val="ro-MD"/>
        </w:rPr>
        <w:t xml:space="preserve">limită pentru anul 2018 a fost majorat față de anul 2017 cu o unitate (expert coordonator, responsabil de </w:t>
      </w:r>
      <w:proofErr w:type="spellStart"/>
      <w:r w:rsidRPr="002751FC">
        <w:rPr>
          <w:rFonts w:asciiTheme="majorHAnsi" w:hAnsiTheme="majorHAnsi" w:cstheme="majorHAnsi"/>
          <w:sz w:val="28"/>
          <w:szCs w:val="28"/>
          <w:lang w:val="ro-MD"/>
        </w:rPr>
        <w:t>oenoturism</w:t>
      </w:r>
      <w:proofErr w:type="spellEnd"/>
      <w:r w:rsidRPr="002751FC">
        <w:rPr>
          <w:rFonts w:asciiTheme="majorHAnsi" w:hAnsiTheme="majorHAnsi" w:cstheme="majorHAnsi"/>
          <w:sz w:val="28"/>
          <w:szCs w:val="28"/>
          <w:lang w:val="ro-MD"/>
        </w:rPr>
        <w:t>), constituind 20 de unități.</w:t>
      </w: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 </w:t>
      </w: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Nerespectarea cadrului regulator este condiționată de practicile ONVV, conform cărora structura și efectivul</w:t>
      </w:r>
      <w:r w:rsidR="007B4277"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limită a</w:t>
      </w:r>
      <w:r w:rsidR="007B4277" w:rsidRPr="002751FC">
        <w:rPr>
          <w:rFonts w:asciiTheme="majorHAnsi" w:hAnsiTheme="majorHAnsi" w:cstheme="majorHAnsi"/>
          <w:sz w:val="28"/>
          <w:szCs w:val="28"/>
          <w:lang w:val="ro-MD"/>
        </w:rPr>
        <w:t>le</w:t>
      </w:r>
      <w:r w:rsidRPr="002751FC">
        <w:rPr>
          <w:rFonts w:asciiTheme="majorHAnsi" w:hAnsiTheme="majorHAnsi" w:cstheme="majorHAnsi"/>
          <w:sz w:val="28"/>
          <w:szCs w:val="28"/>
          <w:lang w:val="ro-MD"/>
        </w:rPr>
        <w:t xml:space="preserve"> ONVV fac parte integrantă </w:t>
      </w:r>
      <w:r w:rsidR="007B4277" w:rsidRPr="002751FC">
        <w:rPr>
          <w:rFonts w:asciiTheme="majorHAnsi" w:hAnsiTheme="majorHAnsi" w:cstheme="majorHAnsi"/>
          <w:sz w:val="28"/>
          <w:szCs w:val="28"/>
          <w:lang w:val="ro-MD"/>
        </w:rPr>
        <w:t>din</w:t>
      </w:r>
      <w:r w:rsidRPr="002751FC">
        <w:rPr>
          <w:rFonts w:asciiTheme="majorHAnsi" w:hAnsiTheme="majorHAnsi" w:cstheme="majorHAnsi"/>
          <w:sz w:val="28"/>
          <w:szCs w:val="28"/>
          <w:lang w:val="ro-MD"/>
        </w:rPr>
        <w:t xml:space="preserve"> Regulamentul intern al ONVV, iar modificările la el sunt aprobate de CC.</w:t>
      </w:r>
    </w:p>
    <w:p w:rsidR="00084FAB" w:rsidRPr="002751FC" w:rsidRDefault="00084FAB" w:rsidP="00243401">
      <w:pPr>
        <w:spacing w:after="0"/>
        <w:jc w:val="both"/>
        <w:rPr>
          <w:rFonts w:asciiTheme="majorHAnsi" w:hAnsiTheme="majorHAnsi" w:cstheme="majorHAnsi"/>
          <w:sz w:val="28"/>
          <w:szCs w:val="28"/>
          <w:lang w:val="ro-MD"/>
        </w:rPr>
      </w:pPr>
    </w:p>
    <w:p w:rsidR="002B0C1F" w:rsidRPr="002751FC" w:rsidRDefault="002B0C1F" w:rsidP="00243401">
      <w:pPr>
        <w:pStyle w:val="ac"/>
        <w:numPr>
          <w:ilvl w:val="1"/>
          <w:numId w:val="15"/>
        </w:numPr>
        <w:ind w:left="0" w:firstLine="142"/>
        <w:outlineLvl w:val="0"/>
        <w:rPr>
          <w:rFonts w:asciiTheme="majorHAnsi" w:hAnsiTheme="majorHAnsi" w:cstheme="majorHAnsi"/>
          <w:b/>
          <w:szCs w:val="28"/>
          <w:lang w:val="ro-MD"/>
        </w:rPr>
      </w:pPr>
      <w:bookmarkStart w:id="38" w:name="_Toc23259102"/>
      <w:r w:rsidRPr="002751FC">
        <w:rPr>
          <w:rFonts w:asciiTheme="majorHAnsi" w:hAnsiTheme="majorHAnsi" w:cstheme="majorHAnsi"/>
          <w:b/>
          <w:szCs w:val="28"/>
          <w:lang w:val="ro-MD"/>
        </w:rPr>
        <w:lastRenderedPageBreak/>
        <w:t>Activitatea operațională a ONVV s-a desfășura</w:t>
      </w:r>
      <w:r w:rsidR="00024928" w:rsidRPr="002751FC">
        <w:rPr>
          <w:rFonts w:asciiTheme="majorHAnsi" w:hAnsiTheme="majorHAnsi" w:cstheme="majorHAnsi"/>
          <w:b/>
          <w:szCs w:val="28"/>
          <w:lang w:val="ro-MD"/>
        </w:rPr>
        <w:t>t</w:t>
      </w:r>
      <w:r w:rsidRPr="002751FC">
        <w:rPr>
          <w:rFonts w:asciiTheme="majorHAnsi" w:hAnsiTheme="majorHAnsi" w:cstheme="majorHAnsi"/>
          <w:b/>
          <w:szCs w:val="28"/>
          <w:lang w:val="ro-MD"/>
        </w:rPr>
        <w:t xml:space="preserve"> cu nerespectarea prevederilor cadrului regulator</w:t>
      </w:r>
      <w:bookmarkEnd w:id="38"/>
    </w:p>
    <w:p w:rsidR="002B0C1F" w:rsidRPr="002751FC" w:rsidRDefault="002B0C1F" w:rsidP="00243401">
      <w:pPr>
        <w:spacing w:after="0"/>
        <w:rPr>
          <w:rFonts w:asciiTheme="majorHAnsi" w:hAnsiTheme="majorHAnsi" w:cstheme="majorHAnsi"/>
          <w:b/>
          <w:sz w:val="28"/>
          <w:szCs w:val="28"/>
          <w:lang w:val="ro-MD"/>
        </w:rPr>
      </w:pP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Cheltuielile operaționale ale ONVV sunt finanțate din mijloacele F</w:t>
      </w:r>
      <w:r w:rsidR="00A51332" w:rsidRPr="002751FC">
        <w:rPr>
          <w:rFonts w:asciiTheme="majorHAnsi" w:hAnsiTheme="majorHAnsi" w:cstheme="majorHAnsi"/>
          <w:sz w:val="28"/>
          <w:szCs w:val="28"/>
          <w:lang w:val="ro-MD"/>
        </w:rPr>
        <w:t>VV. Acestea, în anii 2014-2018</w:t>
      </w:r>
      <w:r w:rsidR="007B4277" w:rsidRPr="002751FC">
        <w:rPr>
          <w:rFonts w:asciiTheme="majorHAnsi" w:hAnsiTheme="majorHAnsi" w:cstheme="majorHAnsi"/>
          <w:sz w:val="28"/>
          <w:szCs w:val="28"/>
          <w:lang w:val="ro-MD"/>
        </w:rPr>
        <w:t>,</w:t>
      </w:r>
      <w:r w:rsidR="00A51332"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 xml:space="preserve">au înregistrat la aprobarea bugetelor o tendință neuniformă, </w:t>
      </w:r>
      <w:r w:rsidR="00EC1419" w:rsidRPr="002751FC">
        <w:rPr>
          <w:rFonts w:asciiTheme="majorHAnsi" w:hAnsiTheme="majorHAnsi" w:cstheme="majorHAnsi"/>
          <w:sz w:val="28"/>
          <w:szCs w:val="28"/>
          <w:lang w:val="ro-MD"/>
        </w:rPr>
        <w:t xml:space="preserve">variind de la 8,0 </w:t>
      </w:r>
      <w:proofErr w:type="spellStart"/>
      <w:r w:rsidR="00EC1419" w:rsidRPr="002751FC">
        <w:rPr>
          <w:rFonts w:asciiTheme="majorHAnsi" w:hAnsiTheme="majorHAnsi" w:cstheme="majorHAnsi"/>
          <w:sz w:val="28"/>
          <w:szCs w:val="28"/>
          <w:lang w:val="ro-MD"/>
        </w:rPr>
        <w:t>mil.MDL</w:t>
      </w:r>
      <w:proofErr w:type="spellEnd"/>
      <w:r w:rsidR="00EC1419" w:rsidRPr="002751FC">
        <w:rPr>
          <w:rFonts w:asciiTheme="majorHAnsi" w:hAnsiTheme="majorHAnsi" w:cstheme="majorHAnsi"/>
          <w:sz w:val="28"/>
          <w:szCs w:val="28"/>
          <w:lang w:val="ro-MD"/>
        </w:rPr>
        <w:t xml:space="preserve"> în anul 2014 până la 9,2 </w:t>
      </w:r>
      <w:proofErr w:type="spellStart"/>
      <w:r w:rsidR="00EC1419" w:rsidRPr="002751FC">
        <w:rPr>
          <w:rFonts w:asciiTheme="majorHAnsi" w:hAnsiTheme="majorHAnsi" w:cstheme="majorHAnsi"/>
          <w:sz w:val="28"/>
          <w:szCs w:val="28"/>
          <w:lang w:val="ro-MD"/>
        </w:rPr>
        <w:t>mil.MDL</w:t>
      </w:r>
      <w:proofErr w:type="spellEnd"/>
      <w:r w:rsidR="00EC1419" w:rsidRPr="002751FC">
        <w:rPr>
          <w:rFonts w:asciiTheme="majorHAnsi" w:hAnsiTheme="majorHAnsi" w:cstheme="majorHAnsi"/>
          <w:sz w:val="28"/>
          <w:szCs w:val="28"/>
          <w:lang w:val="ro-MD"/>
        </w:rPr>
        <w:t xml:space="preserve"> în anul 2018</w:t>
      </w:r>
      <w:r w:rsidRPr="002751FC">
        <w:rPr>
          <w:rFonts w:asciiTheme="majorHAnsi" w:hAnsiTheme="majorHAnsi" w:cstheme="majorHAnsi"/>
          <w:sz w:val="28"/>
          <w:szCs w:val="28"/>
          <w:lang w:val="ro-MD"/>
        </w:rPr>
        <w:t>, iar la realizarea bugetului a fost înregistrată o tendință de creștere</w:t>
      </w:r>
      <w:r w:rsidR="007B4277"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de la 4,1 </w:t>
      </w:r>
      <w:proofErr w:type="spellStart"/>
      <w:r w:rsidRPr="002751FC">
        <w:rPr>
          <w:rFonts w:asciiTheme="majorHAnsi" w:hAnsiTheme="majorHAnsi" w:cstheme="majorHAnsi"/>
          <w:sz w:val="28"/>
          <w:szCs w:val="28"/>
          <w:lang w:val="ro-MD"/>
        </w:rPr>
        <w:t>mil</w:t>
      </w:r>
      <w:r w:rsidR="00A0193B" w:rsidRPr="002751FC">
        <w:rPr>
          <w:rFonts w:asciiTheme="majorHAnsi" w:hAnsiTheme="majorHAnsi" w:cstheme="majorHAnsi"/>
          <w:sz w:val="28"/>
          <w:szCs w:val="28"/>
          <w:lang w:val="ro-MD"/>
        </w:rPr>
        <w:t>.MDL</w:t>
      </w:r>
      <w:proofErr w:type="spellEnd"/>
      <w:r w:rsidRPr="002751FC">
        <w:rPr>
          <w:rFonts w:asciiTheme="majorHAnsi" w:hAnsiTheme="majorHAnsi" w:cstheme="majorHAnsi"/>
          <w:sz w:val="28"/>
          <w:szCs w:val="28"/>
          <w:lang w:val="ro-MD"/>
        </w:rPr>
        <w:t xml:space="preserve"> în anul 2014 până la 9,1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 xml:space="preserve"> în anul 2018.</w:t>
      </w:r>
    </w:p>
    <w:p w:rsidR="000C457C" w:rsidRPr="002751FC" w:rsidRDefault="000C457C" w:rsidP="00243401">
      <w:pPr>
        <w:spacing w:after="0"/>
        <w:jc w:val="both"/>
        <w:rPr>
          <w:rFonts w:asciiTheme="majorHAnsi" w:hAnsiTheme="majorHAnsi" w:cstheme="majorHAnsi"/>
          <w:sz w:val="28"/>
          <w:szCs w:val="28"/>
          <w:lang w:val="ro-MD"/>
        </w:rPr>
      </w:pPr>
    </w:p>
    <w:p w:rsidR="002B0C1F" w:rsidRPr="002751FC" w:rsidRDefault="002B0C1F" w:rsidP="00243401">
      <w:pPr>
        <w:spacing w:after="0"/>
        <w:jc w:val="both"/>
        <w:rPr>
          <w:rFonts w:asciiTheme="majorHAnsi" w:hAnsiTheme="majorHAnsi" w:cstheme="majorHAnsi"/>
          <w:i/>
          <w:sz w:val="28"/>
          <w:szCs w:val="28"/>
          <w:lang w:val="ro-MD"/>
        </w:rPr>
      </w:pPr>
      <w:r w:rsidRPr="002751FC">
        <w:rPr>
          <w:rFonts w:asciiTheme="majorHAnsi" w:hAnsiTheme="majorHAnsi" w:cstheme="majorHAnsi"/>
          <w:sz w:val="28"/>
          <w:szCs w:val="28"/>
          <w:lang w:val="ro-MD"/>
        </w:rPr>
        <w:t xml:space="preserve">Ca și în cazul măsurilor destinate promovării politicilor statului în domeniul vitivinicol, ONVV nu a ținut cont de limitele de cheltuieli aprobate de CC, la unele poziții fiind constatată depășirea limitelor de cheltuieli, care a variat de la 0,1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 xml:space="preserve"> până la 0,3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 xml:space="preserve">. Cele constatate sunt </w:t>
      </w:r>
      <w:r w:rsidR="007B4277" w:rsidRPr="002751FC">
        <w:rPr>
          <w:rFonts w:asciiTheme="majorHAnsi" w:hAnsiTheme="majorHAnsi" w:cstheme="majorHAnsi"/>
          <w:sz w:val="28"/>
          <w:szCs w:val="28"/>
          <w:lang w:val="ro-MD"/>
        </w:rPr>
        <w:t xml:space="preserve">o </w:t>
      </w:r>
      <w:r w:rsidRPr="002751FC">
        <w:rPr>
          <w:rFonts w:asciiTheme="majorHAnsi" w:hAnsiTheme="majorHAnsi" w:cstheme="majorHAnsi"/>
          <w:sz w:val="28"/>
          <w:szCs w:val="28"/>
          <w:lang w:val="ro-MD"/>
        </w:rPr>
        <w:t xml:space="preserve">consecință a controlului intern slab instituit în </w:t>
      </w:r>
      <w:r w:rsidR="00CE441C" w:rsidRPr="002751FC">
        <w:rPr>
          <w:rFonts w:asciiTheme="majorHAnsi" w:hAnsiTheme="majorHAnsi" w:cstheme="majorHAnsi"/>
          <w:sz w:val="28"/>
          <w:szCs w:val="28"/>
          <w:lang w:val="ro-MD"/>
        </w:rPr>
        <w:t>cadrul</w:t>
      </w:r>
      <w:r w:rsidRPr="002751FC">
        <w:rPr>
          <w:rFonts w:asciiTheme="majorHAnsi" w:hAnsiTheme="majorHAnsi" w:cstheme="majorHAnsi"/>
          <w:sz w:val="28"/>
          <w:szCs w:val="28"/>
          <w:lang w:val="ro-MD"/>
        </w:rPr>
        <w:t xml:space="preserve"> ONVV, controlul fiind limitat doar asupra nedepășirii per total a bugetului operațional, deși cadrul regulator</w:t>
      </w:r>
      <w:r w:rsidRPr="002751FC">
        <w:rPr>
          <w:rStyle w:val="ab"/>
          <w:rFonts w:asciiTheme="majorHAnsi" w:hAnsiTheme="majorHAnsi" w:cstheme="majorHAnsi"/>
          <w:sz w:val="28"/>
          <w:szCs w:val="28"/>
          <w:lang w:val="ro-MD"/>
        </w:rPr>
        <w:footnoteReference w:id="48"/>
      </w:r>
      <w:r w:rsidRPr="002751FC">
        <w:rPr>
          <w:rFonts w:asciiTheme="majorHAnsi" w:hAnsiTheme="majorHAnsi" w:cstheme="majorHAnsi"/>
          <w:sz w:val="28"/>
          <w:szCs w:val="28"/>
          <w:lang w:val="ro-MD"/>
        </w:rPr>
        <w:t xml:space="preserve"> stipulează expres că </w:t>
      </w:r>
      <w:r w:rsidRPr="002751FC">
        <w:rPr>
          <w:rFonts w:asciiTheme="majorHAnsi" w:hAnsiTheme="majorHAnsi" w:cstheme="majorHAnsi"/>
          <w:i/>
          <w:sz w:val="28"/>
          <w:szCs w:val="28"/>
          <w:lang w:val="ro-MD"/>
        </w:rPr>
        <w:t>„darea de seamă privind bugetul anual al Oficiului include veniturile acumulate în Fond pe surse şi cheltuielile efectuate din Fond pe articole de cheltuieli pentru perioada de raportare</w:t>
      </w:r>
      <w:r w:rsidRPr="002751FC">
        <w:rPr>
          <w:rFonts w:asciiTheme="majorHAnsi" w:hAnsiTheme="majorHAnsi" w:cstheme="majorHAnsi"/>
          <w:sz w:val="28"/>
          <w:szCs w:val="28"/>
          <w:lang w:val="ro-MD"/>
        </w:rPr>
        <w:t xml:space="preserve">”. </w:t>
      </w:r>
      <w:r w:rsidRPr="002751FC">
        <w:rPr>
          <w:rFonts w:asciiTheme="majorHAnsi" w:hAnsiTheme="majorHAnsi" w:cstheme="majorHAnsi"/>
          <w:i/>
          <w:sz w:val="28"/>
          <w:szCs w:val="28"/>
          <w:lang w:val="ro-MD"/>
        </w:rPr>
        <w:t>Sinteza realizării cheltuielilor operaționale se prezint</w:t>
      </w:r>
      <w:r w:rsidR="009917C5" w:rsidRPr="002751FC">
        <w:rPr>
          <w:rFonts w:asciiTheme="majorHAnsi" w:hAnsiTheme="majorHAnsi" w:cstheme="majorHAnsi"/>
          <w:i/>
          <w:sz w:val="28"/>
          <w:szCs w:val="28"/>
          <w:lang w:val="ro-MD"/>
        </w:rPr>
        <w:t>ă</w:t>
      </w:r>
      <w:r w:rsidRPr="002751FC">
        <w:rPr>
          <w:rFonts w:asciiTheme="majorHAnsi" w:hAnsiTheme="majorHAnsi" w:cstheme="majorHAnsi"/>
          <w:i/>
          <w:sz w:val="28"/>
          <w:szCs w:val="28"/>
          <w:lang w:val="ro-MD"/>
        </w:rPr>
        <w:t xml:space="preserve"> în Anexa nr.9 la prezentul Raport de audit.</w:t>
      </w:r>
    </w:p>
    <w:p w:rsidR="000C457C" w:rsidRPr="002751FC" w:rsidRDefault="000C457C" w:rsidP="00243401">
      <w:pPr>
        <w:spacing w:after="0"/>
        <w:jc w:val="both"/>
        <w:rPr>
          <w:rFonts w:asciiTheme="majorHAnsi" w:hAnsiTheme="majorHAnsi" w:cstheme="majorHAnsi"/>
          <w:i/>
          <w:sz w:val="28"/>
          <w:szCs w:val="28"/>
          <w:lang w:val="ro-MD"/>
        </w:rPr>
      </w:pP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De menționat că, cauzele supracheltuielilor nu sunt menționate nici în </w:t>
      </w:r>
      <w:r w:rsidR="00CE441C" w:rsidRPr="002751FC">
        <w:rPr>
          <w:rFonts w:asciiTheme="majorHAnsi" w:hAnsiTheme="majorHAnsi" w:cstheme="majorHAnsi"/>
          <w:sz w:val="28"/>
          <w:szCs w:val="28"/>
          <w:lang w:val="ro-MD"/>
        </w:rPr>
        <w:t>D</w:t>
      </w:r>
      <w:r w:rsidRPr="002751FC">
        <w:rPr>
          <w:rFonts w:asciiTheme="majorHAnsi" w:hAnsiTheme="majorHAnsi" w:cstheme="majorHAnsi"/>
          <w:sz w:val="28"/>
          <w:szCs w:val="28"/>
          <w:lang w:val="ro-MD"/>
        </w:rPr>
        <w:t>area de seamă narativă privind executarea bugetelor anuale respective.</w:t>
      </w:r>
    </w:p>
    <w:p w:rsidR="000C457C" w:rsidRPr="002751FC" w:rsidRDefault="000C457C" w:rsidP="00243401">
      <w:pPr>
        <w:spacing w:after="0"/>
        <w:jc w:val="both"/>
        <w:rPr>
          <w:rFonts w:asciiTheme="majorHAnsi" w:hAnsiTheme="majorHAnsi" w:cstheme="majorHAnsi"/>
          <w:sz w:val="28"/>
          <w:szCs w:val="28"/>
          <w:lang w:val="ro-MD"/>
        </w:rPr>
      </w:pPr>
    </w:p>
    <w:p w:rsidR="00AE15AE" w:rsidRPr="002751FC" w:rsidRDefault="00AE15AE" w:rsidP="00AE15AE">
      <w:pPr>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Conform explicațiilor responsabililor de la ONVV, creșterea volumului de cheltuieli destinate activității operaționale este condiționată de majorarea unităților de personal</w:t>
      </w:r>
      <w:r w:rsidR="009917C5"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de la 14 în anul 2014 până la 20 </w:t>
      </w:r>
      <w:r w:rsidR="009917C5" w:rsidRPr="002751FC">
        <w:rPr>
          <w:rFonts w:asciiTheme="majorHAnsi" w:hAnsiTheme="majorHAnsi" w:cstheme="majorHAnsi"/>
          <w:sz w:val="28"/>
          <w:szCs w:val="28"/>
          <w:lang w:val="ro-MD"/>
        </w:rPr>
        <w:t xml:space="preserve">de </w:t>
      </w:r>
      <w:r w:rsidRPr="002751FC">
        <w:rPr>
          <w:rFonts w:asciiTheme="majorHAnsi" w:hAnsiTheme="majorHAnsi" w:cstheme="majorHAnsi"/>
          <w:sz w:val="28"/>
          <w:szCs w:val="28"/>
          <w:lang w:val="ro-MD"/>
        </w:rPr>
        <w:t xml:space="preserve">unități în anul 2018, efectivul mediu pentru anii respectivi constituind 6,4 persoane și, respectiv, 16,8 persoane. </w:t>
      </w:r>
    </w:p>
    <w:p w:rsidR="00CE441C" w:rsidRPr="002751FC" w:rsidRDefault="00CE441C" w:rsidP="00243401">
      <w:pPr>
        <w:spacing w:after="0"/>
        <w:jc w:val="both"/>
        <w:rPr>
          <w:rFonts w:asciiTheme="majorHAnsi" w:hAnsiTheme="majorHAnsi" w:cstheme="majorHAnsi"/>
          <w:sz w:val="28"/>
          <w:szCs w:val="28"/>
          <w:lang w:val="ro-MD"/>
        </w:rPr>
      </w:pPr>
    </w:p>
    <w:p w:rsidR="002B0C1F" w:rsidRPr="002751FC" w:rsidRDefault="002B0C1F" w:rsidP="00243401">
      <w:pPr>
        <w:pStyle w:val="ac"/>
        <w:ind w:left="0"/>
        <w:outlineLvl w:val="0"/>
        <w:rPr>
          <w:rFonts w:asciiTheme="majorHAnsi" w:hAnsiTheme="majorHAnsi" w:cstheme="majorHAnsi"/>
          <w:b/>
          <w:lang w:val="ro-MD"/>
        </w:rPr>
      </w:pPr>
      <w:bookmarkStart w:id="39" w:name="_Toc23259103"/>
      <w:r w:rsidRPr="002751FC">
        <w:rPr>
          <w:rFonts w:asciiTheme="majorHAnsi" w:hAnsiTheme="majorHAnsi" w:cstheme="majorHAnsi"/>
          <w:b/>
          <w:lang w:val="ro-MD"/>
        </w:rPr>
        <w:t xml:space="preserve">4.3.1. </w:t>
      </w:r>
      <w:r w:rsidR="00DA5319" w:rsidRPr="002751FC">
        <w:rPr>
          <w:rFonts w:asciiTheme="majorHAnsi" w:hAnsiTheme="majorHAnsi" w:cstheme="majorHAnsi"/>
          <w:b/>
          <w:lang w:val="ro-MD"/>
        </w:rPr>
        <w:t xml:space="preserve">Acordarea sporurilor </w:t>
      </w:r>
      <w:r w:rsidRPr="002751FC">
        <w:rPr>
          <w:rFonts w:asciiTheme="majorHAnsi" w:hAnsiTheme="majorHAnsi" w:cstheme="majorHAnsi"/>
          <w:b/>
          <w:lang w:val="ro-MD"/>
        </w:rPr>
        <w:t>angajaţilor ONVV a fost efectuată cu abateri de la cadrul regulator</w:t>
      </w:r>
      <w:bookmarkEnd w:id="39"/>
    </w:p>
    <w:p w:rsidR="002B0C1F" w:rsidRPr="002751FC" w:rsidRDefault="002B0C1F" w:rsidP="00243401">
      <w:pPr>
        <w:spacing w:after="0"/>
        <w:rPr>
          <w:rFonts w:asciiTheme="majorHAnsi" w:hAnsiTheme="majorHAnsi" w:cstheme="majorHAnsi"/>
          <w:b/>
          <w:lang w:val="ro-MD"/>
        </w:rPr>
      </w:pPr>
    </w:p>
    <w:p w:rsidR="002B0C1F" w:rsidRPr="002751FC" w:rsidRDefault="00FE7ED9" w:rsidP="00243401">
      <w:pPr>
        <w:spacing w:after="0"/>
        <w:jc w:val="both"/>
        <w:rPr>
          <w:rFonts w:asciiTheme="majorHAnsi" w:hAnsiTheme="majorHAnsi" w:cstheme="majorHAnsi"/>
          <w:i/>
          <w:sz w:val="28"/>
          <w:szCs w:val="28"/>
          <w:lang w:val="ro-MD"/>
        </w:rPr>
      </w:pPr>
      <w:r w:rsidRPr="002751FC">
        <w:rPr>
          <w:rFonts w:asciiTheme="majorHAnsi" w:hAnsiTheme="majorHAnsi" w:cstheme="majorHAnsi"/>
          <w:sz w:val="28"/>
          <w:szCs w:val="28"/>
          <w:lang w:val="ro-MD"/>
        </w:rPr>
        <w:t>Cheltuielile</w:t>
      </w:r>
      <w:r w:rsidR="002B0C1F" w:rsidRPr="002751FC">
        <w:rPr>
          <w:rFonts w:asciiTheme="majorHAnsi" w:hAnsiTheme="majorHAnsi" w:cstheme="majorHAnsi"/>
          <w:sz w:val="28"/>
          <w:szCs w:val="28"/>
          <w:lang w:val="ro-MD"/>
        </w:rPr>
        <w:t xml:space="preserve"> pentru remunerarea muncii </w:t>
      </w:r>
      <w:r w:rsidR="008C5479" w:rsidRPr="002751FC">
        <w:rPr>
          <w:rFonts w:asciiTheme="majorHAnsi" w:hAnsiTheme="majorHAnsi" w:cstheme="majorHAnsi"/>
          <w:sz w:val="28"/>
          <w:szCs w:val="28"/>
          <w:lang w:val="ro-MD"/>
        </w:rPr>
        <w:t>angajaților</w:t>
      </w:r>
      <w:r w:rsidR="002B0C1F" w:rsidRPr="002751FC">
        <w:rPr>
          <w:rFonts w:asciiTheme="majorHAnsi" w:hAnsiTheme="majorHAnsi" w:cstheme="majorHAnsi"/>
          <w:sz w:val="28"/>
          <w:szCs w:val="28"/>
          <w:lang w:val="ro-MD"/>
        </w:rPr>
        <w:t xml:space="preserve"> ONVV au înregistrat un trend </w:t>
      </w:r>
      <w:r w:rsidRPr="002751FC">
        <w:rPr>
          <w:rFonts w:asciiTheme="majorHAnsi" w:hAnsiTheme="majorHAnsi" w:cstheme="majorHAnsi"/>
          <w:sz w:val="28"/>
          <w:szCs w:val="28"/>
          <w:lang w:val="ro-MD"/>
        </w:rPr>
        <w:t>neuniform</w:t>
      </w:r>
      <w:r w:rsidR="002B0C1F" w:rsidRPr="002751FC">
        <w:rPr>
          <w:rFonts w:asciiTheme="majorHAnsi" w:hAnsiTheme="majorHAnsi" w:cstheme="majorHAnsi"/>
          <w:sz w:val="28"/>
          <w:szCs w:val="28"/>
          <w:lang w:val="ro-MD"/>
        </w:rPr>
        <w:t>, nivelul de realizare a acestuia variind de la 43,6%</w:t>
      </w:r>
      <w:r w:rsidRPr="002751FC">
        <w:rPr>
          <w:rFonts w:asciiTheme="majorHAnsi" w:hAnsiTheme="majorHAnsi" w:cstheme="majorHAnsi"/>
          <w:sz w:val="28"/>
          <w:szCs w:val="28"/>
          <w:lang w:val="ro-MD"/>
        </w:rPr>
        <w:t>,</w:t>
      </w:r>
      <w:r w:rsidR="002B0C1F" w:rsidRPr="002751FC">
        <w:rPr>
          <w:rFonts w:asciiTheme="majorHAnsi" w:hAnsiTheme="majorHAnsi" w:cstheme="majorHAnsi"/>
          <w:sz w:val="28"/>
          <w:szCs w:val="28"/>
          <w:lang w:val="ro-MD"/>
        </w:rPr>
        <w:t xml:space="preserve"> în anul 2014</w:t>
      </w:r>
      <w:r w:rsidRPr="002751FC">
        <w:rPr>
          <w:rFonts w:asciiTheme="majorHAnsi" w:hAnsiTheme="majorHAnsi" w:cstheme="majorHAnsi"/>
          <w:sz w:val="28"/>
          <w:szCs w:val="28"/>
          <w:lang w:val="ro-MD"/>
        </w:rPr>
        <w:t>,</w:t>
      </w:r>
      <w:r w:rsidR="002B0C1F" w:rsidRPr="002751FC">
        <w:rPr>
          <w:rFonts w:asciiTheme="majorHAnsi" w:hAnsiTheme="majorHAnsi" w:cstheme="majorHAnsi"/>
          <w:sz w:val="28"/>
          <w:szCs w:val="28"/>
          <w:lang w:val="ro-MD"/>
        </w:rPr>
        <w:t xml:space="preserve"> până la 93,0%</w:t>
      </w:r>
      <w:r w:rsidRPr="002751FC">
        <w:rPr>
          <w:rFonts w:asciiTheme="majorHAnsi" w:hAnsiTheme="majorHAnsi" w:cstheme="majorHAnsi"/>
          <w:sz w:val="28"/>
          <w:szCs w:val="28"/>
          <w:lang w:val="ro-MD"/>
        </w:rPr>
        <w:t>,</w:t>
      </w:r>
      <w:r w:rsidR="002B0C1F" w:rsidRPr="002751FC">
        <w:rPr>
          <w:rFonts w:asciiTheme="majorHAnsi" w:hAnsiTheme="majorHAnsi" w:cstheme="majorHAnsi"/>
          <w:sz w:val="28"/>
          <w:szCs w:val="28"/>
          <w:lang w:val="ro-MD"/>
        </w:rPr>
        <w:t xml:space="preserve"> în anul 2018.</w:t>
      </w:r>
      <w:r w:rsidR="002B0C1F" w:rsidRPr="002751FC">
        <w:rPr>
          <w:rFonts w:asciiTheme="majorHAnsi" w:hAnsiTheme="majorHAnsi" w:cstheme="majorHAnsi"/>
          <w:b/>
          <w:sz w:val="20"/>
          <w:szCs w:val="20"/>
          <w:lang w:val="ro-MD"/>
        </w:rPr>
        <w:t xml:space="preserve"> </w:t>
      </w:r>
      <w:r w:rsidR="002B0C1F" w:rsidRPr="002751FC">
        <w:rPr>
          <w:rFonts w:asciiTheme="majorHAnsi" w:hAnsiTheme="majorHAnsi" w:cstheme="majorHAnsi"/>
          <w:i/>
          <w:sz w:val="28"/>
          <w:szCs w:val="28"/>
          <w:lang w:val="ro-MD"/>
        </w:rPr>
        <w:t>Sinteza cheltuielilor pentru remunerarea mu</w:t>
      </w:r>
      <w:r w:rsidR="003B5DB6">
        <w:rPr>
          <w:rFonts w:asciiTheme="majorHAnsi" w:hAnsiTheme="majorHAnsi" w:cstheme="majorHAnsi"/>
          <w:i/>
          <w:sz w:val="28"/>
          <w:szCs w:val="28"/>
          <w:lang w:val="ro-MD"/>
        </w:rPr>
        <w:t>ncii efectuate în anii 2014-2018</w:t>
      </w:r>
      <w:r w:rsidR="002B0C1F" w:rsidRPr="002751FC">
        <w:rPr>
          <w:rFonts w:asciiTheme="majorHAnsi" w:hAnsiTheme="majorHAnsi" w:cstheme="majorHAnsi"/>
          <w:i/>
          <w:sz w:val="28"/>
          <w:szCs w:val="28"/>
          <w:lang w:val="ro-MD"/>
        </w:rPr>
        <w:t xml:space="preserve"> se </w:t>
      </w:r>
      <w:r w:rsidRPr="002751FC">
        <w:rPr>
          <w:rFonts w:asciiTheme="majorHAnsi" w:hAnsiTheme="majorHAnsi" w:cstheme="majorHAnsi"/>
          <w:i/>
          <w:sz w:val="28"/>
          <w:szCs w:val="28"/>
          <w:lang w:val="ro-MD"/>
        </w:rPr>
        <w:t>p</w:t>
      </w:r>
      <w:r w:rsidR="002B0C1F" w:rsidRPr="002751FC">
        <w:rPr>
          <w:rFonts w:asciiTheme="majorHAnsi" w:hAnsiTheme="majorHAnsi" w:cstheme="majorHAnsi"/>
          <w:i/>
          <w:sz w:val="28"/>
          <w:szCs w:val="28"/>
          <w:lang w:val="ro-MD"/>
        </w:rPr>
        <w:t>rezintă în Tabelul nr.9.</w:t>
      </w:r>
    </w:p>
    <w:p w:rsidR="006857DF" w:rsidRPr="002751FC" w:rsidRDefault="006857DF" w:rsidP="00ED35AD">
      <w:pPr>
        <w:spacing w:after="0"/>
        <w:jc w:val="right"/>
        <w:rPr>
          <w:rFonts w:asciiTheme="majorHAnsi" w:hAnsiTheme="majorHAnsi" w:cstheme="majorHAnsi"/>
          <w:b/>
          <w:sz w:val="20"/>
          <w:szCs w:val="20"/>
          <w:lang w:val="ro-MD"/>
        </w:rPr>
      </w:pPr>
    </w:p>
    <w:p w:rsidR="00ED35AD" w:rsidRPr="002751FC" w:rsidRDefault="006128BE" w:rsidP="00ED35AD">
      <w:pPr>
        <w:spacing w:after="0"/>
        <w:jc w:val="right"/>
        <w:rPr>
          <w:rFonts w:asciiTheme="majorHAnsi" w:hAnsiTheme="majorHAnsi" w:cstheme="majorHAnsi"/>
          <w:b/>
          <w:sz w:val="20"/>
          <w:szCs w:val="20"/>
          <w:lang w:val="ro-MD"/>
        </w:rPr>
      </w:pPr>
      <w:r>
        <w:rPr>
          <w:rFonts w:asciiTheme="majorHAnsi" w:hAnsiTheme="majorHAnsi" w:cstheme="majorHAnsi"/>
          <w:b/>
          <w:sz w:val="20"/>
          <w:szCs w:val="20"/>
          <w:lang w:val="ro-MD"/>
        </w:rPr>
        <w:lastRenderedPageBreak/>
        <w:t>Tabelul nr.9</w:t>
      </w:r>
    </w:p>
    <w:p w:rsidR="002B0C1F" w:rsidRPr="002751FC" w:rsidRDefault="002B0C1F" w:rsidP="003D61CA">
      <w:pPr>
        <w:spacing w:after="0"/>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Sinteza cheltuielilor pentru remunerarea mu</w:t>
      </w:r>
      <w:r w:rsidR="003B5DB6">
        <w:rPr>
          <w:rFonts w:asciiTheme="majorHAnsi" w:hAnsiTheme="majorHAnsi" w:cstheme="majorHAnsi"/>
          <w:b/>
          <w:sz w:val="20"/>
          <w:szCs w:val="20"/>
          <w:lang w:val="ro-MD"/>
        </w:rPr>
        <w:t>ncii efectuate în anii 2014-2018</w:t>
      </w:r>
      <w:r w:rsidRPr="002751FC">
        <w:rPr>
          <w:rFonts w:asciiTheme="majorHAnsi" w:hAnsiTheme="majorHAnsi" w:cstheme="majorHAnsi"/>
          <w:b/>
          <w:sz w:val="20"/>
          <w:szCs w:val="20"/>
          <w:lang w:val="ro-MD"/>
        </w:rPr>
        <w:t xml:space="preserve">, </w:t>
      </w:r>
      <w:proofErr w:type="spellStart"/>
      <w:r w:rsidRPr="002751FC">
        <w:rPr>
          <w:rFonts w:asciiTheme="majorHAnsi" w:hAnsiTheme="majorHAnsi" w:cstheme="majorHAnsi"/>
          <w:b/>
          <w:sz w:val="20"/>
          <w:szCs w:val="20"/>
          <w:lang w:val="ro-MD"/>
        </w:rPr>
        <w:t>mil.MDL</w:t>
      </w:r>
      <w:proofErr w:type="spellEnd"/>
    </w:p>
    <w:tbl>
      <w:tblPr>
        <w:tblStyle w:val="ae"/>
        <w:tblW w:w="9750" w:type="dxa"/>
        <w:tblLook w:val="04A0" w:firstRow="1" w:lastRow="0" w:firstColumn="1" w:lastColumn="0" w:noHBand="0" w:noVBand="1"/>
      </w:tblPr>
      <w:tblGrid>
        <w:gridCol w:w="5977"/>
        <w:gridCol w:w="769"/>
        <w:gridCol w:w="748"/>
        <w:gridCol w:w="760"/>
        <w:gridCol w:w="748"/>
        <w:gridCol w:w="748"/>
      </w:tblGrid>
      <w:tr w:rsidR="002B0C1F" w:rsidRPr="002751FC" w:rsidTr="008E6A80">
        <w:trPr>
          <w:trHeight w:val="253"/>
        </w:trPr>
        <w:tc>
          <w:tcPr>
            <w:tcW w:w="5977" w:type="dxa"/>
            <w:shd w:val="clear" w:color="auto" w:fill="DEEAF6" w:themeFill="accent1" w:themeFillTint="33"/>
          </w:tcPr>
          <w:p w:rsidR="002B0C1F" w:rsidRPr="002751FC" w:rsidRDefault="002B0C1F" w:rsidP="003D61CA">
            <w:pPr>
              <w:rPr>
                <w:rFonts w:asciiTheme="majorHAnsi" w:hAnsiTheme="majorHAnsi" w:cstheme="majorHAnsi"/>
                <w:b/>
                <w:sz w:val="20"/>
                <w:szCs w:val="20"/>
                <w:lang w:val="ro-MD"/>
              </w:rPr>
            </w:pPr>
            <w:r w:rsidRPr="002751FC">
              <w:rPr>
                <w:rFonts w:asciiTheme="majorHAnsi" w:hAnsiTheme="majorHAnsi" w:cstheme="majorHAnsi"/>
                <w:b/>
                <w:sz w:val="20"/>
                <w:szCs w:val="20"/>
                <w:lang w:val="ro-MD"/>
              </w:rPr>
              <w:t>Indicatorii</w:t>
            </w:r>
          </w:p>
        </w:tc>
        <w:tc>
          <w:tcPr>
            <w:tcW w:w="769" w:type="dxa"/>
            <w:shd w:val="clear" w:color="auto" w:fill="DEEAF6" w:themeFill="accent1" w:themeFillTint="33"/>
          </w:tcPr>
          <w:p w:rsidR="002B0C1F" w:rsidRPr="002751FC" w:rsidRDefault="002B0C1F" w:rsidP="003D61CA">
            <w:pPr>
              <w:rPr>
                <w:rFonts w:asciiTheme="majorHAnsi" w:hAnsiTheme="majorHAnsi" w:cstheme="majorHAnsi"/>
                <w:b/>
                <w:sz w:val="20"/>
                <w:szCs w:val="20"/>
                <w:lang w:val="ro-MD"/>
              </w:rPr>
            </w:pPr>
            <w:r w:rsidRPr="002751FC">
              <w:rPr>
                <w:rFonts w:asciiTheme="majorHAnsi" w:hAnsiTheme="majorHAnsi" w:cstheme="majorHAnsi"/>
                <w:b/>
                <w:sz w:val="20"/>
                <w:szCs w:val="20"/>
                <w:lang w:val="ro-MD"/>
              </w:rPr>
              <w:t>2014</w:t>
            </w:r>
          </w:p>
        </w:tc>
        <w:tc>
          <w:tcPr>
            <w:tcW w:w="748" w:type="dxa"/>
            <w:shd w:val="clear" w:color="auto" w:fill="DEEAF6" w:themeFill="accent1" w:themeFillTint="33"/>
          </w:tcPr>
          <w:p w:rsidR="002B0C1F" w:rsidRPr="002751FC" w:rsidRDefault="002B0C1F" w:rsidP="003D61CA">
            <w:pPr>
              <w:rPr>
                <w:rFonts w:asciiTheme="majorHAnsi" w:hAnsiTheme="majorHAnsi" w:cstheme="majorHAnsi"/>
                <w:b/>
                <w:sz w:val="20"/>
                <w:szCs w:val="20"/>
                <w:lang w:val="ro-MD"/>
              </w:rPr>
            </w:pPr>
            <w:r w:rsidRPr="002751FC">
              <w:rPr>
                <w:rFonts w:asciiTheme="majorHAnsi" w:hAnsiTheme="majorHAnsi" w:cstheme="majorHAnsi"/>
                <w:b/>
                <w:sz w:val="20"/>
                <w:szCs w:val="20"/>
                <w:lang w:val="ro-MD"/>
              </w:rPr>
              <w:t>2015</w:t>
            </w:r>
          </w:p>
        </w:tc>
        <w:tc>
          <w:tcPr>
            <w:tcW w:w="760" w:type="dxa"/>
            <w:shd w:val="clear" w:color="auto" w:fill="DEEAF6" w:themeFill="accent1" w:themeFillTint="33"/>
          </w:tcPr>
          <w:p w:rsidR="002B0C1F" w:rsidRPr="002751FC" w:rsidRDefault="002B0C1F" w:rsidP="003D61CA">
            <w:pPr>
              <w:rPr>
                <w:rFonts w:asciiTheme="majorHAnsi" w:hAnsiTheme="majorHAnsi" w:cstheme="majorHAnsi"/>
                <w:b/>
                <w:sz w:val="20"/>
                <w:szCs w:val="20"/>
                <w:lang w:val="ro-MD"/>
              </w:rPr>
            </w:pPr>
            <w:r w:rsidRPr="002751FC">
              <w:rPr>
                <w:rFonts w:asciiTheme="majorHAnsi" w:hAnsiTheme="majorHAnsi" w:cstheme="majorHAnsi"/>
                <w:b/>
                <w:sz w:val="20"/>
                <w:szCs w:val="20"/>
                <w:lang w:val="ro-MD"/>
              </w:rPr>
              <w:t>2016</w:t>
            </w:r>
          </w:p>
        </w:tc>
        <w:tc>
          <w:tcPr>
            <w:tcW w:w="748" w:type="dxa"/>
            <w:shd w:val="clear" w:color="auto" w:fill="DEEAF6" w:themeFill="accent1" w:themeFillTint="33"/>
          </w:tcPr>
          <w:p w:rsidR="002B0C1F" w:rsidRPr="002751FC" w:rsidRDefault="002B0C1F" w:rsidP="003D61CA">
            <w:pPr>
              <w:rPr>
                <w:rFonts w:asciiTheme="majorHAnsi" w:hAnsiTheme="majorHAnsi" w:cstheme="majorHAnsi"/>
                <w:b/>
                <w:sz w:val="20"/>
                <w:szCs w:val="20"/>
                <w:lang w:val="ro-MD"/>
              </w:rPr>
            </w:pPr>
            <w:r w:rsidRPr="002751FC">
              <w:rPr>
                <w:rFonts w:asciiTheme="majorHAnsi" w:hAnsiTheme="majorHAnsi" w:cstheme="majorHAnsi"/>
                <w:b/>
                <w:sz w:val="20"/>
                <w:szCs w:val="20"/>
                <w:lang w:val="ro-MD"/>
              </w:rPr>
              <w:t>2017</w:t>
            </w:r>
          </w:p>
        </w:tc>
        <w:tc>
          <w:tcPr>
            <w:tcW w:w="748" w:type="dxa"/>
            <w:shd w:val="clear" w:color="auto" w:fill="DEEAF6" w:themeFill="accent1" w:themeFillTint="33"/>
          </w:tcPr>
          <w:p w:rsidR="002B0C1F" w:rsidRPr="002751FC" w:rsidRDefault="002B0C1F" w:rsidP="003D61CA">
            <w:pPr>
              <w:rPr>
                <w:rFonts w:asciiTheme="majorHAnsi" w:hAnsiTheme="majorHAnsi" w:cstheme="majorHAnsi"/>
                <w:b/>
                <w:sz w:val="20"/>
                <w:szCs w:val="20"/>
                <w:lang w:val="ro-MD"/>
              </w:rPr>
            </w:pPr>
            <w:r w:rsidRPr="002751FC">
              <w:rPr>
                <w:rFonts w:asciiTheme="majorHAnsi" w:hAnsiTheme="majorHAnsi" w:cstheme="majorHAnsi"/>
                <w:b/>
                <w:sz w:val="20"/>
                <w:szCs w:val="20"/>
                <w:lang w:val="ro-MD"/>
              </w:rPr>
              <w:t>2018</w:t>
            </w:r>
          </w:p>
        </w:tc>
      </w:tr>
      <w:tr w:rsidR="002B0C1F" w:rsidRPr="002751FC" w:rsidTr="008E6A80">
        <w:trPr>
          <w:trHeight w:val="152"/>
        </w:trPr>
        <w:tc>
          <w:tcPr>
            <w:tcW w:w="5977" w:type="dxa"/>
          </w:tcPr>
          <w:p w:rsidR="002B0C1F" w:rsidRPr="002751FC" w:rsidRDefault="002B0C1F" w:rsidP="003D61CA">
            <w:pPr>
              <w:rPr>
                <w:rFonts w:asciiTheme="majorHAnsi" w:hAnsiTheme="majorHAnsi" w:cstheme="majorHAnsi"/>
                <w:sz w:val="20"/>
                <w:szCs w:val="20"/>
                <w:lang w:val="ro-MD"/>
              </w:rPr>
            </w:pPr>
            <w:r w:rsidRPr="002751FC">
              <w:rPr>
                <w:rFonts w:asciiTheme="majorHAnsi" w:hAnsiTheme="majorHAnsi" w:cstheme="majorHAnsi"/>
                <w:sz w:val="20"/>
                <w:szCs w:val="20"/>
                <w:lang w:val="ro-MD"/>
              </w:rPr>
              <w:t>Aprobat</w:t>
            </w:r>
          </w:p>
        </w:tc>
        <w:tc>
          <w:tcPr>
            <w:tcW w:w="769"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3,9</w:t>
            </w:r>
          </w:p>
        </w:tc>
        <w:tc>
          <w:tcPr>
            <w:tcW w:w="748"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4,8</w:t>
            </w:r>
          </w:p>
        </w:tc>
        <w:tc>
          <w:tcPr>
            <w:tcW w:w="760"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4,1</w:t>
            </w:r>
          </w:p>
        </w:tc>
        <w:tc>
          <w:tcPr>
            <w:tcW w:w="748"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5,3</w:t>
            </w:r>
          </w:p>
        </w:tc>
        <w:tc>
          <w:tcPr>
            <w:tcW w:w="748"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5,7</w:t>
            </w:r>
          </w:p>
        </w:tc>
      </w:tr>
      <w:tr w:rsidR="002B0C1F" w:rsidRPr="002751FC" w:rsidTr="008E6A80">
        <w:trPr>
          <w:trHeight w:val="253"/>
        </w:trPr>
        <w:tc>
          <w:tcPr>
            <w:tcW w:w="5977" w:type="dxa"/>
          </w:tcPr>
          <w:p w:rsidR="002B0C1F" w:rsidRPr="002751FC" w:rsidRDefault="004943A7" w:rsidP="003D61CA">
            <w:pPr>
              <w:rPr>
                <w:rFonts w:asciiTheme="majorHAnsi" w:hAnsiTheme="majorHAnsi" w:cstheme="majorHAnsi"/>
                <w:sz w:val="20"/>
                <w:szCs w:val="20"/>
                <w:lang w:val="ro-MD"/>
              </w:rPr>
            </w:pPr>
            <w:r w:rsidRPr="002751FC">
              <w:rPr>
                <w:rFonts w:asciiTheme="majorHAnsi" w:hAnsiTheme="majorHAnsi" w:cstheme="majorHAnsi"/>
                <w:sz w:val="20"/>
                <w:szCs w:val="20"/>
                <w:lang w:val="ro-MD"/>
              </w:rPr>
              <w:t>E</w:t>
            </w:r>
            <w:r w:rsidR="002B0C1F" w:rsidRPr="002751FC">
              <w:rPr>
                <w:rFonts w:asciiTheme="majorHAnsi" w:hAnsiTheme="majorHAnsi" w:cstheme="majorHAnsi"/>
                <w:sz w:val="20"/>
                <w:szCs w:val="20"/>
                <w:lang w:val="ro-MD"/>
              </w:rPr>
              <w:t>xecutat</w:t>
            </w:r>
          </w:p>
        </w:tc>
        <w:tc>
          <w:tcPr>
            <w:tcW w:w="769"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1,7</w:t>
            </w:r>
          </w:p>
        </w:tc>
        <w:tc>
          <w:tcPr>
            <w:tcW w:w="748"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3,4</w:t>
            </w:r>
          </w:p>
        </w:tc>
        <w:tc>
          <w:tcPr>
            <w:tcW w:w="760"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3,8</w:t>
            </w:r>
          </w:p>
        </w:tc>
        <w:tc>
          <w:tcPr>
            <w:tcW w:w="748"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4,9</w:t>
            </w:r>
          </w:p>
        </w:tc>
        <w:tc>
          <w:tcPr>
            <w:tcW w:w="748"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5,3</w:t>
            </w:r>
          </w:p>
        </w:tc>
      </w:tr>
      <w:tr w:rsidR="002B0C1F" w:rsidRPr="002751FC" w:rsidTr="008E6A80">
        <w:trPr>
          <w:trHeight w:val="262"/>
        </w:trPr>
        <w:tc>
          <w:tcPr>
            <w:tcW w:w="5977" w:type="dxa"/>
          </w:tcPr>
          <w:p w:rsidR="002B0C1F" w:rsidRPr="002751FC" w:rsidRDefault="002B0C1F" w:rsidP="003D61CA">
            <w:pPr>
              <w:rPr>
                <w:rFonts w:asciiTheme="majorHAnsi" w:hAnsiTheme="majorHAnsi" w:cstheme="majorHAnsi"/>
                <w:sz w:val="20"/>
                <w:szCs w:val="20"/>
                <w:lang w:val="ro-MD"/>
              </w:rPr>
            </w:pPr>
            <w:r w:rsidRPr="002751FC">
              <w:rPr>
                <w:rFonts w:asciiTheme="majorHAnsi" w:hAnsiTheme="majorHAnsi" w:cstheme="majorHAnsi"/>
                <w:sz w:val="20"/>
                <w:szCs w:val="20"/>
                <w:lang w:val="ro-MD"/>
              </w:rPr>
              <w:t>Devieri, suma</w:t>
            </w:r>
          </w:p>
        </w:tc>
        <w:tc>
          <w:tcPr>
            <w:tcW w:w="769"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-2,2</w:t>
            </w:r>
          </w:p>
        </w:tc>
        <w:tc>
          <w:tcPr>
            <w:tcW w:w="748"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-1,4</w:t>
            </w:r>
          </w:p>
        </w:tc>
        <w:tc>
          <w:tcPr>
            <w:tcW w:w="760"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-0,3</w:t>
            </w:r>
          </w:p>
        </w:tc>
        <w:tc>
          <w:tcPr>
            <w:tcW w:w="748"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-0,4</w:t>
            </w:r>
          </w:p>
        </w:tc>
        <w:tc>
          <w:tcPr>
            <w:tcW w:w="748"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-0,4</w:t>
            </w:r>
          </w:p>
        </w:tc>
      </w:tr>
      <w:tr w:rsidR="002B0C1F" w:rsidRPr="002751FC" w:rsidTr="008E6A80">
        <w:trPr>
          <w:trHeight w:val="253"/>
        </w:trPr>
        <w:tc>
          <w:tcPr>
            <w:tcW w:w="5977" w:type="dxa"/>
          </w:tcPr>
          <w:p w:rsidR="002B0C1F" w:rsidRPr="002751FC" w:rsidRDefault="002B0C1F" w:rsidP="003D61CA">
            <w:pPr>
              <w:rPr>
                <w:rFonts w:asciiTheme="majorHAnsi" w:hAnsiTheme="majorHAnsi" w:cstheme="majorHAnsi"/>
                <w:sz w:val="20"/>
                <w:szCs w:val="20"/>
                <w:lang w:val="ro-MD"/>
              </w:rPr>
            </w:pPr>
            <w:r w:rsidRPr="002751FC">
              <w:rPr>
                <w:rFonts w:asciiTheme="majorHAnsi" w:hAnsiTheme="majorHAnsi" w:cstheme="majorHAnsi"/>
                <w:sz w:val="20"/>
                <w:szCs w:val="20"/>
                <w:lang w:val="ro-MD"/>
              </w:rPr>
              <w:t>% realizat</w:t>
            </w:r>
          </w:p>
        </w:tc>
        <w:tc>
          <w:tcPr>
            <w:tcW w:w="769"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43,6%</w:t>
            </w:r>
          </w:p>
        </w:tc>
        <w:tc>
          <w:tcPr>
            <w:tcW w:w="748"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70,8%</w:t>
            </w:r>
          </w:p>
        </w:tc>
        <w:tc>
          <w:tcPr>
            <w:tcW w:w="760"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92,7%</w:t>
            </w:r>
          </w:p>
        </w:tc>
        <w:tc>
          <w:tcPr>
            <w:tcW w:w="748"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92,5%</w:t>
            </w:r>
          </w:p>
        </w:tc>
        <w:tc>
          <w:tcPr>
            <w:tcW w:w="748" w:type="dxa"/>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93,0%</w:t>
            </w:r>
          </w:p>
        </w:tc>
      </w:tr>
      <w:tr w:rsidR="002B0C1F" w:rsidRPr="002751FC" w:rsidTr="008E6A80">
        <w:trPr>
          <w:trHeight w:val="262"/>
        </w:trPr>
        <w:tc>
          <w:tcPr>
            <w:tcW w:w="5977" w:type="dxa"/>
            <w:shd w:val="clear" w:color="auto" w:fill="auto"/>
          </w:tcPr>
          <w:p w:rsidR="002B0C1F" w:rsidRPr="002751FC" w:rsidRDefault="002B0C1F" w:rsidP="003D61CA">
            <w:pPr>
              <w:rPr>
                <w:rFonts w:asciiTheme="majorHAnsi" w:hAnsiTheme="majorHAnsi" w:cstheme="majorHAnsi"/>
                <w:sz w:val="20"/>
                <w:szCs w:val="20"/>
                <w:lang w:val="ro-MD"/>
              </w:rPr>
            </w:pPr>
            <w:r w:rsidRPr="002751FC">
              <w:rPr>
                <w:rFonts w:asciiTheme="majorHAnsi" w:hAnsiTheme="majorHAnsi" w:cstheme="majorHAnsi"/>
                <w:sz w:val="20"/>
                <w:szCs w:val="20"/>
                <w:lang w:val="ro-MD"/>
              </w:rPr>
              <w:t>Efectivul-limită aprobat</w:t>
            </w:r>
          </w:p>
        </w:tc>
        <w:tc>
          <w:tcPr>
            <w:tcW w:w="769"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14</w:t>
            </w:r>
          </w:p>
        </w:tc>
        <w:tc>
          <w:tcPr>
            <w:tcW w:w="748"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14</w:t>
            </w:r>
          </w:p>
        </w:tc>
        <w:tc>
          <w:tcPr>
            <w:tcW w:w="760"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18</w:t>
            </w:r>
          </w:p>
        </w:tc>
        <w:tc>
          <w:tcPr>
            <w:tcW w:w="748"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19</w:t>
            </w:r>
          </w:p>
        </w:tc>
        <w:tc>
          <w:tcPr>
            <w:tcW w:w="748"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20</w:t>
            </w:r>
          </w:p>
        </w:tc>
      </w:tr>
      <w:tr w:rsidR="002B0C1F" w:rsidRPr="002751FC" w:rsidTr="008E6A80">
        <w:trPr>
          <w:trHeight w:val="253"/>
        </w:trPr>
        <w:tc>
          <w:tcPr>
            <w:tcW w:w="5977" w:type="dxa"/>
            <w:shd w:val="clear" w:color="auto" w:fill="auto"/>
          </w:tcPr>
          <w:p w:rsidR="002B0C1F" w:rsidRPr="002751FC" w:rsidRDefault="002B0C1F" w:rsidP="003D61CA">
            <w:pPr>
              <w:rPr>
                <w:rFonts w:asciiTheme="majorHAnsi" w:hAnsiTheme="majorHAnsi" w:cstheme="majorHAnsi"/>
                <w:sz w:val="20"/>
                <w:szCs w:val="20"/>
                <w:lang w:val="ro-MD"/>
              </w:rPr>
            </w:pPr>
            <w:r w:rsidRPr="002751FC">
              <w:rPr>
                <w:rFonts w:asciiTheme="majorHAnsi" w:hAnsiTheme="majorHAnsi" w:cstheme="majorHAnsi"/>
                <w:sz w:val="20"/>
                <w:szCs w:val="20"/>
                <w:lang w:val="ro-MD"/>
              </w:rPr>
              <w:t>Efectivul mediu</w:t>
            </w:r>
          </w:p>
        </w:tc>
        <w:tc>
          <w:tcPr>
            <w:tcW w:w="769"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6,4</w:t>
            </w:r>
          </w:p>
        </w:tc>
        <w:tc>
          <w:tcPr>
            <w:tcW w:w="748"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12,2</w:t>
            </w:r>
          </w:p>
        </w:tc>
        <w:tc>
          <w:tcPr>
            <w:tcW w:w="760"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16</w:t>
            </w:r>
          </w:p>
        </w:tc>
        <w:tc>
          <w:tcPr>
            <w:tcW w:w="748"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15,9</w:t>
            </w:r>
          </w:p>
        </w:tc>
        <w:tc>
          <w:tcPr>
            <w:tcW w:w="748"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16,8</w:t>
            </w:r>
          </w:p>
        </w:tc>
      </w:tr>
      <w:tr w:rsidR="002B0C1F" w:rsidRPr="002751FC" w:rsidTr="008E6A80">
        <w:trPr>
          <w:trHeight w:val="253"/>
        </w:trPr>
        <w:tc>
          <w:tcPr>
            <w:tcW w:w="5977" w:type="dxa"/>
            <w:shd w:val="clear" w:color="auto" w:fill="auto"/>
          </w:tcPr>
          <w:p w:rsidR="002B0C1F" w:rsidRPr="002751FC" w:rsidRDefault="004943A7" w:rsidP="003D61CA">
            <w:pPr>
              <w:rPr>
                <w:rFonts w:asciiTheme="majorHAnsi" w:hAnsiTheme="majorHAnsi" w:cstheme="majorHAnsi"/>
                <w:sz w:val="20"/>
                <w:szCs w:val="20"/>
                <w:lang w:val="ro-MD"/>
              </w:rPr>
            </w:pPr>
            <w:r w:rsidRPr="002751FC">
              <w:rPr>
                <w:rFonts w:asciiTheme="majorHAnsi" w:hAnsiTheme="majorHAnsi" w:cstheme="majorHAnsi"/>
                <w:sz w:val="20"/>
                <w:szCs w:val="20"/>
                <w:lang w:val="ro-MD"/>
              </w:rPr>
              <w:t>Angajați</w:t>
            </w:r>
            <w:r w:rsidR="002B0C1F" w:rsidRPr="002751FC">
              <w:rPr>
                <w:rFonts w:asciiTheme="majorHAnsi" w:hAnsiTheme="majorHAnsi" w:cstheme="majorHAnsi"/>
                <w:sz w:val="20"/>
                <w:szCs w:val="20"/>
                <w:lang w:val="ro-MD"/>
              </w:rPr>
              <w:t xml:space="preserve"> la începutul anului</w:t>
            </w:r>
          </w:p>
        </w:tc>
        <w:tc>
          <w:tcPr>
            <w:tcW w:w="769"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w:t>
            </w:r>
          </w:p>
        </w:tc>
        <w:tc>
          <w:tcPr>
            <w:tcW w:w="748"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11</w:t>
            </w:r>
          </w:p>
        </w:tc>
        <w:tc>
          <w:tcPr>
            <w:tcW w:w="760"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13</w:t>
            </w:r>
          </w:p>
        </w:tc>
        <w:tc>
          <w:tcPr>
            <w:tcW w:w="748"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18</w:t>
            </w:r>
          </w:p>
        </w:tc>
        <w:tc>
          <w:tcPr>
            <w:tcW w:w="748"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18</w:t>
            </w:r>
          </w:p>
        </w:tc>
      </w:tr>
      <w:tr w:rsidR="002B0C1F" w:rsidRPr="002751FC" w:rsidTr="008E6A80">
        <w:trPr>
          <w:trHeight w:val="262"/>
        </w:trPr>
        <w:tc>
          <w:tcPr>
            <w:tcW w:w="5977" w:type="dxa"/>
            <w:shd w:val="clear" w:color="auto" w:fill="auto"/>
          </w:tcPr>
          <w:p w:rsidR="002B0C1F" w:rsidRPr="002751FC" w:rsidRDefault="002B0C1F" w:rsidP="003D61CA">
            <w:pPr>
              <w:rPr>
                <w:rFonts w:asciiTheme="majorHAnsi" w:hAnsiTheme="majorHAnsi" w:cstheme="majorHAnsi"/>
                <w:sz w:val="20"/>
                <w:szCs w:val="20"/>
                <w:lang w:val="ro-MD"/>
              </w:rPr>
            </w:pPr>
            <w:r w:rsidRPr="002751FC">
              <w:rPr>
                <w:rFonts w:asciiTheme="majorHAnsi" w:hAnsiTheme="majorHAnsi" w:cstheme="majorHAnsi"/>
                <w:sz w:val="20"/>
                <w:szCs w:val="20"/>
                <w:lang w:val="ro-MD"/>
              </w:rPr>
              <w:t>Angajați la finele anului</w:t>
            </w:r>
          </w:p>
        </w:tc>
        <w:tc>
          <w:tcPr>
            <w:tcW w:w="769"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11</w:t>
            </w:r>
          </w:p>
        </w:tc>
        <w:tc>
          <w:tcPr>
            <w:tcW w:w="748"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13</w:t>
            </w:r>
          </w:p>
        </w:tc>
        <w:tc>
          <w:tcPr>
            <w:tcW w:w="760"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18</w:t>
            </w:r>
          </w:p>
        </w:tc>
        <w:tc>
          <w:tcPr>
            <w:tcW w:w="748"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18</w:t>
            </w:r>
          </w:p>
        </w:tc>
        <w:tc>
          <w:tcPr>
            <w:tcW w:w="748" w:type="dxa"/>
            <w:shd w:val="clear" w:color="auto" w:fill="auto"/>
          </w:tcPr>
          <w:p w:rsidR="002B0C1F" w:rsidRPr="002751FC" w:rsidRDefault="002B0C1F" w:rsidP="00993B9D">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20</w:t>
            </w:r>
          </w:p>
        </w:tc>
      </w:tr>
    </w:tbl>
    <w:p w:rsidR="002B0C1F" w:rsidRPr="002751FC" w:rsidRDefault="002B0C1F" w:rsidP="00243401">
      <w:pPr>
        <w:spacing w:after="0"/>
        <w:rPr>
          <w:rFonts w:asciiTheme="majorHAnsi" w:hAnsiTheme="majorHAnsi" w:cstheme="majorHAnsi"/>
          <w:sz w:val="16"/>
          <w:szCs w:val="16"/>
          <w:lang w:val="ro-MD"/>
        </w:rPr>
      </w:pPr>
      <w:r w:rsidRPr="002751FC">
        <w:rPr>
          <w:rFonts w:asciiTheme="majorHAnsi" w:hAnsiTheme="majorHAnsi" w:cstheme="majorHAnsi"/>
          <w:b/>
          <w:sz w:val="16"/>
          <w:szCs w:val="16"/>
          <w:lang w:val="ro-MD"/>
        </w:rPr>
        <w:t>Sursa:</w:t>
      </w:r>
      <w:r w:rsidRPr="002751FC">
        <w:rPr>
          <w:rFonts w:asciiTheme="majorHAnsi" w:hAnsiTheme="majorHAnsi" w:cstheme="majorHAnsi"/>
          <w:sz w:val="16"/>
          <w:szCs w:val="16"/>
          <w:lang w:val="ro-MD"/>
        </w:rPr>
        <w:t xml:space="preserve"> Datele ONVV.</w:t>
      </w:r>
    </w:p>
    <w:p w:rsidR="000C457C" w:rsidRPr="002751FC" w:rsidRDefault="000C457C" w:rsidP="00243401">
      <w:pPr>
        <w:spacing w:after="0"/>
        <w:jc w:val="both"/>
        <w:rPr>
          <w:rFonts w:asciiTheme="majorHAnsi" w:hAnsiTheme="majorHAnsi" w:cstheme="majorHAnsi"/>
          <w:sz w:val="28"/>
          <w:szCs w:val="28"/>
          <w:lang w:val="ro-MD"/>
        </w:rPr>
      </w:pPr>
    </w:p>
    <w:p w:rsidR="000C457C"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Numărul </w:t>
      </w:r>
      <w:r w:rsidR="00CB40BF" w:rsidRPr="002751FC">
        <w:rPr>
          <w:rFonts w:asciiTheme="majorHAnsi" w:hAnsiTheme="majorHAnsi" w:cstheme="majorHAnsi"/>
          <w:sz w:val="28"/>
          <w:szCs w:val="28"/>
          <w:lang w:val="ro-MD"/>
        </w:rPr>
        <w:t>unități</w:t>
      </w:r>
      <w:r w:rsidR="008C5479" w:rsidRPr="002751FC">
        <w:rPr>
          <w:rFonts w:asciiTheme="majorHAnsi" w:hAnsiTheme="majorHAnsi" w:cstheme="majorHAnsi"/>
          <w:sz w:val="28"/>
          <w:szCs w:val="28"/>
          <w:lang w:val="ro-MD"/>
        </w:rPr>
        <w:t>lor</w:t>
      </w:r>
      <w:r w:rsidR="00CB40BF" w:rsidRPr="002751FC">
        <w:rPr>
          <w:rFonts w:asciiTheme="majorHAnsi" w:hAnsiTheme="majorHAnsi" w:cstheme="majorHAnsi"/>
          <w:sz w:val="28"/>
          <w:szCs w:val="28"/>
          <w:lang w:val="ro-MD"/>
        </w:rPr>
        <w:t xml:space="preserve"> de personal</w:t>
      </w:r>
      <w:r w:rsidRPr="002751FC">
        <w:rPr>
          <w:rFonts w:asciiTheme="majorHAnsi" w:hAnsiTheme="majorHAnsi" w:cstheme="majorHAnsi"/>
          <w:sz w:val="28"/>
          <w:szCs w:val="28"/>
          <w:lang w:val="ro-MD"/>
        </w:rPr>
        <w:t xml:space="preserve"> aprobat de asemenea a ev</w:t>
      </w:r>
      <w:r w:rsidR="008C5479" w:rsidRPr="002751FC">
        <w:rPr>
          <w:rFonts w:asciiTheme="majorHAnsi" w:hAnsiTheme="majorHAnsi" w:cstheme="majorHAnsi"/>
          <w:sz w:val="28"/>
          <w:szCs w:val="28"/>
          <w:lang w:val="ro-MD"/>
        </w:rPr>
        <w:t>o</w:t>
      </w:r>
      <w:r w:rsidRPr="002751FC">
        <w:rPr>
          <w:rFonts w:asciiTheme="majorHAnsi" w:hAnsiTheme="majorHAnsi" w:cstheme="majorHAnsi"/>
          <w:sz w:val="28"/>
          <w:szCs w:val="28"/>
          <w:lang w:val="ro-MD"/>
        </w:rPr>
        <w:t>luat</w:t>
      </w:r>
      <w:r w:rsidR="008C5479"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de la 14 </w:t>
      </w:r>
      <w:r w:rsidR="00CB40BF" w:rsidRPr="002751FC">
        <w:rPr>
          <w:rFonts w:asciiTheme="majorHAnsi" w:hAnsiTheme="majorHAnsi" w:cstheme="majorHAnsi"/>
          <w:sz w:val="28"/>
          <w:szCs w:val="28"/>
          <w:lang w:val="ro-MD"/>
        </w:rPr>
        <w:t>unități</w:t>
      </w:r>
      <w:r w:rsidRPr="002751FC">
        <w:rPr>
          <w:rFonts w:asciiTheme="majorHAnsi" w:hAnsiTheme="majorHAnsi" w:cstheme="majorHAnsi"/>
          <w:sz w:val="28"/>
          <w:szCs w:val="28"/>
          <w:lang w:val="ro-MD"/>
        </w:rPr>
        <w:t xml:space="preserve"> în anul 2014</w:t>
      </w:r>
      <w:r w:rsidR="0068003C"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până la 20 de unități în anul 2018. Urmare a necompletării statelor de personal, la finele anului permanent se formau economii, </w:t>
      </w:r>
      <w:r w:rsidR="00CB40BF" w:rsidRPr="002751FC">
        <w:rPr>
          <w:rFonts w:asciiTheme="majorHAnsi" w:hAnsiTheme="majorHAnsi" w:cstheme="majorHAnsi"/>
          <w:sz w:val="28"/>
          <w:szCs w:val="28"/>
          <w:lang w:val="ro-MD"/>
        </w:rPr>
        <w:t>influențând</w:t>
      </w:r>
      <w:r w:rsidR="008C5479" w:rsidRPr="002751FC">
        <w:rPr>
          <w:rFonts w:asciiTheme="majorHAnsi" w:hAnsiTheme="majorHAnsi" w:cstheme="majorHAnsi"/>
          <w:sz w:val="28"/>
          <w:szCs w:val="28"/>
          <w:lang w:val="ro-MD"/>
        </w:rPr>
        <w:t xml:space="preserve"> astfel</w:t>
      </w:r>
      <w:r w:rsidRPr="002751FC">
        <w:rPr>
          <w:rFonts w:asciiTheme="majorHAnsi" w:hAnsiTheme="majorHAnsi" w:cstheme="majorHAnsi"/>
          <w:sz w:val="28"/>
          <w:szCs w:val="28"/>
          <w:lang w:val="ro-MD"/>
        </w:rPr>
        <w:t xml:space="preserve"> nivelul de realizare a cheltuielilor pentru retribuirea muncii.</w:t>
      </w:r>
    </w:p>
    <w:p w:rsidR="002B0C1F" w:rsidRPr="002751FC" w:rsidRDefault="002B0C1F" w:rsidP="00243401">
      <w:pPr>
        <w:spacing w:after="0"/>
        <w:jc w:val="both"/>
        <w:rPr>
          <w:rFonts w:asciiTheme="majorHAnsi" w:hAnsiTheme="majorHAnsi" w:cstheme="majorHAnsi"/>
          <w:sz w:val="28"/>
          <w:szCs w:val="28"/>
          <w:lang w:val="ro-MD"/>
        </w:rPr>
      </w:pP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Structura fondului de remunerare a muncii include salariul de bază și salariul suplimentar, care include un spor lunar în mărime de 15% din salariul de bază pentru munca peste normele stabilite, pentru munca eficientă și inventivitate, executare exemplară și </w:t>
      </w:r>
      <w:r w:rsidR="0068003C" w:rsidRPr="002751FC">
        <w:rPr>
          <w:rFonts w:asciiTheme="majorHAnsi" w:hAnsiTheme="majorHAnsi" w:cstheme="majorHAnsi"/>
          <w:sz w:val="28"/>
          <w:szCs w:val="28"/>
          <w:lang w:val="ro-MD"/>
        </w:rPr>
        <w:t>conștiincioasă</w:t>
      </w:r>
      <w:r w:rsidRPr="002751FC">
        <w:rPr>
          <w:rFonts w:asciiTheme="majorHAnsi" w:hAnsiTheme="majorHAnsi" w:cstheme="majorHAnsi"/>
          <w:sz w:val="28"/>
          <w:szCs w:val="28"/>
          <w:lang w:val="ro-MD"/>
        </w:rPr>
        <w:t xml:space="preserve"> a atribuțiilor de serviciu, precum și sporul de performanță individuală, care este stabilit urmare a evaluării realizării obiectivelor stabilite pentru fiecare angaj</w:t>
      </w:r>
      <w:r w:rsidR="0068003C" w:rsidRPr="002751FC">
        <w:rPr>
          <w:rFonts w:asciiTheme="majorHAnsi" w:hAnsiTheme="majorHAnsi" w:cstheme="majorHAnsi"/>
          <w:sz w:val="28"/>
          <w:szCs w:val="28"/>
          <w:lang w:val="ro-MD"/>
        </w:rPr>
        <w:t>at (indicatorii de performanță)</w:t>
      </w:r>
      <w:r w:rsidR="008C5479"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w:t>
      </w:r>
      <w:r w:rsidR="008C5479" w:rsidRPr="002751FC">
        <w:rPr>
          <w:rFonts w:asciiTheme="majorHAnsi" w:hAnsiTheme="majorHAnsi" w:cstheme="majorHAnsi"/>
          <w:sz w:val="28"/>
          <w:szCs w:val="28"/>
          <w:lang w:val="ro-MD"/>
        </w:rPr>
        <w:t>A</w:t>
      </w:r>
      <w:r w:rsidRPr="002751FC">
        <w:rPr>
          <w:rFonts w:asciiTheme="majorHAnsi" w:hAnsiTheme="majorHAnsi" w:cstheme="majorHAnsi"/>
          <w:sz w:val="28"/>
          <w:szCs w:val="28"/>
          <w:lang w:val="ro-MD"/>
        </w:rPr>
        <w:t>ngajați</w:t>
      </w:r>
      <w:r w:rsidR="0068003C" w:rsidRPr="002751FC">
        <w:rPr>
          <w:rFonts w:asciiTheme="majorHAnsi" w:hAnsiTheme="majorHAnsi" w:cstheme="majorHAnsi"/>
          <w:sz w:val="28"/>
          <w:szCs w:val="28"/>
          <w:lang w:val="ro-MD"/>
        </w:rPr>
        <w:t>lor</w:t>
      </w:r>
      <w:r w:rsidRPr="002751FC">
        <w:rPr>
          <w:rFonts w:asciiTheme="majorHAnsi" w:hAnsiTheme="majorHAnsi" w:cstheme="majorHAnsi"/>
          <w:sz w:val="28"/>
          <w:szCs w:val="28"/>
          <w:lang w:val="ro-MD"/>
        </w:rPr>
        <w:t xml:space="preserve"> care au primit calificativul „bine” și </w:t>
      </w:r>
      <w:r w:rsidR="008C5479"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foarte bine” li se acordă un spor de performanță în mărime de 10% din salariul de funcție anual</w:t>
      </w:r>
      <w:r w:rsidR="008C5479" w:rsidRPr="002751FC">
        <w:rPr>
          <w:rFonts w:asciiTheme="majorHAnsi" w:hAnsiTheme="majorHAnsi" w:cstheme="majorHAnsi"/>
          <w:sz w:val="28"/>
          <w:szCs w:val="28"/>
          <w:lang w:val="ro-MD"/>
        </w:rPr>
        <w:t xml:space="preserve"> și</w:t>
      </w:r>
      <w:r w:rsidRPr="002751FC">
        <w:rPr>
          <w:rFonts w:asciiTheme="majorHAnsi" w:hAnsiTheme="majorHAnsi" w:cstheme="majorHAnsi"/>
          <w:sz w:val="28"/>
          <w:szCs w:val="28"/>
          <w:lang w:val="ro-MD"/>
        </w:rPr>
        <w:t xml:space="preserve"> a </w:t>
      </w:r>
      <w:r w:rsidR="00146E85" w:rsidRPr="002751FC">
        <w:rPr>
          <w:rFonts w:asciiTheme="majorHAnsi" w:hAnsiTheme="majorHAnsi" w:cstheme="majorHAnsi"/>
          <w:sz w:val="28"/>
          <w:szCs w:val="28"/>
          <w:lang w:val="ro-MD"/>
        </w:rPr>
        <w:t>câte</w:t>
      </w:r>
      <w:r w:rsidRPr="002751FC">
        <w:rPr>
          <w:rFonts w:asciiTheme="majorHAnsi" w:hAnsiTheme="majorHAnsi" w:cstheme="majorHAnsi"/>
          <w:sz w:val="28"/>
          <w:szCs w:val="28"/>
          <w:lang w:val="ro-MD"/>
        </w:rPr>
        <w:t xml:space="preserve"> 5% semestrial.</w:t>
      </w:r>
    </w:p>
    <w:p w:rsidR="002B0C1F" w:rsidRPr="002751FC" w:rsidRDefault="002B0C1F" w:rsidP="00243401">
      <w:pPr>
        <w:spacing w:after="0"/>
        <w:jc w:val="both"/>
        <w:rPr>
          <w:rFonts w:asciiTheme="majorHAnsi" w:hAnsiTheme="majorHAnsi" w:cstheme="majorHAnsi"/>
          <w:sz w:val="28"/>
          <w:szCs w:val="28"/>
          <w:lang w:val="ro-MD"/>
        </w:rPr>
      </w:pPr>
    </w:p>
    <w:p w:rsidR="002B0C1F" w:rsidRPr="0082388F" w:rsidRDefault="00A4090F" w:rsidP="0082388F">
      <w:pPr>
        <w:spacing w:after="0"/>
        <w:outlineLvl w:val="0"/>
        <w:rPr>
          <w:rFonts w:asciiTheme="majorHAnsi" w:hAnsiTheme="majorHAnsi" w:cstheme="majorHAnsi"/>
          <w:b/>
          <w:sz w:val="28"/>
          <w:szCs w:val="28"/>
          <w:lang w:val="ro-MD"/>
        </w:rPr>
      </w:pPr>
      <w:bookmarkStart w:id="40" w:name="_Toc23259104"/>
      <w:r w:rsidRPr="002751FC">
        <w:rPr>
          <w:rFonts w:asciiTheme="majorHAnsi" w:hAnsiTheme="majorHAnsi" w:cstheme="majorHAnsi"/>
          <w:b/>
          <w:sz w:val="28"/>
          <w:szCs w:val="28"/>
          <w:lang w:val="ro-MD"/>
        </w:rPr>
        <w:t>4.3.1.1.</w:t>
      </w:r>
      <w:r w:rsidR="009A4BF7">
        <w:rPr>
          <w:rFonts w:asciiTheme="majorHAnsi" w:hAnsiTheme="majorHAnsi" w:cstheme="majorHAnsi"/>
          <w:b/>
          <w:sz w:val="28"/>
          <w:szCs w:val="28"/>
          <w:lang w:val="ro-MD"/>
        </w:rPr>
        <w:t xml:space="preserve"> </w:t>
      </w:r>
      <w:r w:rsidR="002B0C1F" w:rsidRPr="002751FC">
        <w:rPr>
          <w:rFonts w:asciiTheme="majorHAnsi" w:hAnsiTheme="majorHAnsi" w:cstheme="majorHAnsi"/>
          <w:b/>
          <w:sz w:val="28"/>
          <w:szCs w:val="28"/>
          <w:lang w:val="ro-MD"/>
        </w:rPr>
        <w:t>Acordarea sporului lunar în mărime de 15% s-a efectuat în lipsa unor criterii</w:t>
      </w:r>
      <w:r w:rsidR="008C5479" w:rsidRPr="002751FC">
        <w:rPr>
          <w:rFonts w:asciiTheme="majorHAnsi" w:hAnsiTheme="majorHAnsi" w:cstheme="majorHAnsi"/>
          <w:b/>
          <w:sz w:val="28"/>
          <w:szCs w:val="28"/>
          <w:lang w:val="ro-MD"/>
        </w:rPr>
        <w:t xml:space="preserve"> și</w:t>
      </w:r>
      <w:r w:rsidR="002B0C1F" w:rsidRPr="002751FC">
        <w:rPr>
          <w:rFonts w:asciiTheme="majorHAnsi" w:hAnsiTheme="majorHAnsi" w:cstheme="majorHAnsi"/>
          <w:b/>
          <w:sz w:val="28"/>
          <w:szCs w:val="28"/>
          <w:lang w:val="ro-MD"/>
        </w:rPr>
        <w:t xml:space="preserve"> indicatori </w:t>
      </w:r>
      <w:r w:rsidR="00146E85" w:rsidRPr="002751FC">
        <w:rPr>
          <w:rFonts w:asciiTheme="majorHAnsi" w:hAnsiTheme="majorHAnsi" w:cstheme="majorHAnsi"/>
          <w:b/>
          <w:sz w:val="28"/>
          <w:szCs w:val="28"/>
          <w:lang w:val="ro-MD"/>
        </w:rPr>
        <w:t>măsurabili</w:t>
      </w:r>
      <w:bookmarkEnd w:id="40"/>
    </w:p>
    <w:p w:rsidR="0082388F" w:rsidRPr="0082388F" w:rsidRDefault="002B0C1F" w:rsidP="00344619">
      <w:pPr>
        <w:spacing w:after="0"/>
        <w:jc w:val="both"/>
        <w:rPr>
          <w:rFonts w:asciiTheme="majorHAnsi" w:hAnsiTheme="majorHAnsi" w:cstheme="majorHAnsi"/>
          <w:sz w:val="26"/>
          <w:szCs w:val="26"/>
          <w:lang w:val="ro-MD"/>
        </w:rPr>
      </w:pPr>
      <w:r w:rsidRPr="0082388F">
        <w:rPr>
          <w:rFonts w:asciiTheme="majorHAnsi" w:hAnsiTheme="majorHAnsi" w:cstheme="majorHAnsi"/>
          <w:sz w:val="26"/>
          <w:szCs w:val="26"/>
          <w:lang w:val="ro-MD"/>
        </w:rPr>
        <w:t xml:space="preserve">Probele de audit au constatat că acordarea sporului lunar în mărime de 15% din salariul de bază pentru munca peste normele stabilite, pentru munca eficientă și inventivitate, executare exemplară și </w:t>
      </w:r>
      <w:r w:rsidR="00146E85" w:rsidRPr="0082388F">
        <w:rPr>
          <w:rFonts w:asciiTheme="majorHAnsi" w:hAnsiTheme="majorHAnsi" w:cstheme="majorHAnsi"/>
          <w:sz w:val="26"/>
          <w:szCs w:val="26"/>
          <w:lang w:val="ro-MD"/>
        </w:rPr>
        <w:t>conștiincioasă</w:t>
      </w:r>
      <w:r w:rsidRPr="0082388F">
        <w:rPr>
          <w:rFonts w:asciiTheme="majorHAnsi" w:hAnsiTheme="majorHAnsi" w:cstheme="majorHAnsi"/>
          <w:sz w:val="26"/>
          <w:szCs w:val="26"/>
          <w:lang w:val="ro-MD"/>
        </w:rPr>
        <w:t xml:space="preserve"> a atribuțiilor de serviciu s-a efectuat în lipsa unor criterii</w:t>
      </w:r>
      <w:r w:rsidR="00AF4B04" w:rsidRPr="0082388F">
        <w:rPr>
          <w:rFonts w:asciiTheme="majorHAnsi" w:hAnsiTheme="majorHAnsi" w:cstheme="majorHAnsi"/>
          <w:sz w:val="26"/>
          <w:szCs w:val="26"/>
          <w:lang w:val="ro-MD"/>
        </w:rPr>
        <w:t xml:space="preserve"> și</w:t>
      </w:r>
      <w:r w:rsidRPr="0082388F">
        <w:rPr>
          <w:rFonts w:asciiTheme="majorHAnsi" w:hAnsiTheme="majorHAnsi" w:cstheme="majorHAnsi"/>
          <w:sz w:val="26"/>
          <w:szCs w:val="26"/>
          <w:lang w:val="ro-MD"/>
        </w:rPr>
        <w:t xml:space="preserve"> indicatori </w:t>
      </w:r>
      <w:r w:rsidR="00146E85" w:rsidRPr="0082388F">
        <w:rPr>
          <w:rFonts w:asciiTheme="majorHAnsi" w:hAnsiTheme="majorHAnsi" w:cstheme="majorHAnsi"/>
          <w:sz w:val="26"/>
          <w:szCs w:val="26"/>
          <w:lang w:val="ro-MD"/>
        </w:rPr>
        <w:t>măsurabili</w:t>
      </w:r>
      <w:r w:rsidR="00AF4B04" w:rsidRPr="0082388F">
        <w:rPr>
          <w:rFonts w:asciiTheme="majorHAnsi" w:hAnsiTheme="majorHAnsi" w:cstheme="majorHAnsi"/>
          <w:sz w:val="26"/>
          <w:szCs w:val="26"/>
          <w:lang w:val="ro-MD"/>
        </w:rPr>
        <w:t>.</w:t>
      </w:r>
      <w:r w:rsidR="00AF4B04" w:rsidRPr="0082388F">
        <w:rPr>
          <w:rFonts w:asciiTheme="majorHAnsi" w:hAnsiTheme="majorHAnsi" w:cstheme="majorHAnsi"/>
          <w:sz w:val="27"/>
          <w:szCs w:val="27"/>
          <w:lang w:val="ro-MD"/>
        </w:rPr>
        <w:t xml:space="preserve"> Aceasta</w:t>
      </w:r>
      <w:r w:rsidRPr="0082388F">
        <w:rPr>
          <w:rFonts w:asciiTheme="majorHAnsi" w:hAnsiTheme="majorHAnsi" w:cstheme="majorHAnsi"/>
          <w:sz w:val="27"/>
          <w:szCs w:val="27"/>
          <w:lang w:val="ro-MD"/>
        </w:rPr>
        <w:t xml:space="preserve"> denotă că </w:t>
      </w:r>
      <w:r w:rsidR="0082388F" w:rsidRPr="0082388F">
        <w:rPr>
          <w:rFonts w:asciiTheme="majorHAnsi" w:hAnsiTheme="majorHAnsi" w:cstheme="majorHAnsi"/>
          <w:sz w:val="27"/>
          <w:szCs w:val="27"/>
          <w:lang w:val="ro-MD"/>
        </w:rPr>
        <w:t xml:space="preserve">   </w:t>
      </w:r>
      <w:r w:rsidR="00AF4B04" w:rsidRPr="0082388F">
        <w:rPr>
          <w:rFonts w:asciiTheme="majorHAnsi" w:hAnsiTheme="majorHAnsi" w:cstheme="majorHAnsi"/>
          <w:sz w:val="27"/>
          <w:szCs w:val="27"/>
          <w:lang w:val="ro-MD"/>
        </w:rPr>
        <w:t>salariul</w:t>
      </w:r>
      <w:r w:rsidRPr="0082388F">
        <w:rPr>
          <w:rFonts w:asciiTheme="majorHAnsi" w:hAnsiTheme="majorHAnsi" w:cstheme="majorHAnsi"/>
          <w:sz w:val="27"/>
          <w:szCs w:val="27"/>
          <w:lang w:val="ro-MD"/>
        </w:rPr>
        <w:t xml:space="preserve"> a fost </w:t>
      </w:r>
      <w:r w:rsidR="0082388F" w:rsidRPr="0082388F">
        <w:rPr>
          <w:rFonts w:asciiTheme="majorHAnsi" w:hAnsiTheme="majorHAnsi" w:cstheme="majorHAnsi"/>
          <w:sz w:val="27"/>
          <w:szCs w:val="27"/>
          <w:lang w:val="ro-MD"/>
        </w:rPr>
        <w:t xml:space="preserve">   </w:t>
      </w:r>
      <w:r w:rsidRPr="0082388F">
        <w:rPr>
          <w:rFonts w:asciiTheme="majorHAnsi" w:hAnsiTheme="majorHAnsi" w:cstheme="majorHAnsi"/>
          <w:sz w:val="27"/>
          <w:szCs w:val="27"/>
          <w:lang w:val="ro-MD"/>
        </w:rPr>
        <w:t xml:space="preserve">acordat </w:t>
      </w:r>
      <w:r w:rsidR="0082388F" w:rsidRPr="0082388F">
        <w:rPr>
          <w:rFonts w:asciiTheme="majorHAnsi" w:hAnsiTheme="majorHAnsi" w:cstheme="majorHAnsi"/>
          <w:sz w:val="27"/>
          <w:szCs w:val="27"/>
          <w:lang w:val="ro-MD"/>
        </w:rPr>
        <w:t xml:space="preserve">   </w:t>
      </w:r>
      <w:r w:rsidRPr="0082388F">
        <w:rPr>
          <w:rFonts w:asciiTheme="majorHAnsi" w:hAnsiTheme="majorHAnsi" w:cstheme="majorHAnsi"/>
          <w:sz w:val="27"/>
          <w:szCs w:val="27"/>
          <w:lang w:val="ro-MD"/>
        </w:rPr>
        <w:t xml:space="preserve">nejustificat, fiind emis doar ordinul de acordare a sporului, fără efectuarea evaluărilor, </w:t>
      </w:r>
      <w:r w:rsidR="00AF4B04" w:rsidRPr="0082388F">
        <w:rPr>
          <w:rFonts w:asciiTheme="majorHAnsi" w:hAnsiTheme="majorHAnsi" w:cstheme="majorHAnsi"/>
          <w:sz w:val="27"/>
          <w:szCs w:val="27"/>
          <w:lang w:val="ro-MD"/>
        </w:rPr>
        <w:t>în</w:t>
      </w:r>
      <w:r w:rsidR="0082388F" w:rsidRPr="0082388F">
        <w:rPr>
          <w:rFonts w:asciiTheme="majorHAnsi" w:hAnsiTheme="majorHAnsi" w:cstheme="majorHAnsi"/>
          <w:sz w:val="27"/>
          <w:szCs w:val="27"/>
          <w:lang w:val="ro-MD"/>
        </w:rPr>
        <w:t xml:space="preserve">  </w:t>
      </w:r>
      <w:r w:rsidR="00AF4B04" w:rsidRPr="0082388F">
        <w:rPr>
          <w:rFonts w:asciiTheme="majorHAnsi" w:hAnsiTheme="majorHAnsi" w:cstheme="majorHAnsi"/>
          <w:sz w:val="27"/>
          <w:szCs w:val="27"/>
          <w:lang w:val="ro-MD"/>
        </w:rPr>
        <w:t xml:space="preserve"> temeiul</w:t>
      </w:r>
      <w:r w:rsidRPr="0082388F">
        <w:rPr>
          <w:rFonts w:asciiTheme="majorHAnsi" w:hAnsiTheme="majorHAnsi" w:cstheme="majorHAnsi"/>
          <w:sz w:val="27"/>
          <w:szCs w:val="27"/>
          <w:lang w:val="ro-MD"/>
        </w:rPr>
        <w:t xml:space="preserve"> capitolul</w:t>
      </w:r>
      <w:r w:rsidR="00AF4B04" w:rsidRPr="0082388F">
        <w:rPr>
          <w:rFonts w:asciiTheme="majorHAnsi" w:hAnsiTheme="majorHAnsi" w:cstheme="majorHAnsi"/>
          <w:sz w:val="27"/>
          <w:szCs w:val="27"/>
          <w:lang w:val="ro-MD"/>
        </w:rPr>
        <w:t>ui</w:t>
      </w:r>
      <w:r w:rsidRPr="0082388F">
        <w:rPr>
          <w:rFonts w:asciiTheme="majorHAnsi" w:hAnsiTheme="majorHAnsi" w:cstheme="majorHAnsi"/>
          <w:sz w:val="27"/>
          <w:szCs w:val="27"/>
          <w:lang w:val="ro-MD"/>
        </w:rPr>
        <w:t xml:space="preserve"> VI</w:t>
      </w:r>
      <w:r w:rsidR="008002D6" w:rsidRPr="0082388F">
        <w:rPr>
          <w:rFonts w:asciiTheme="majorHAnsi" w:hAnsiTheme="majorHAnsi" w:cstheme="majorHAnsi"/>
          <w:sz w:val="27"/>
          <w:szCs w:val="27"/>
          <w:lang w:val="ro-RO"/>
        </w:rPr>
        <w:t xml:space="preserve"> din Regulamentul intern</w:t>
      </w:r>
      <w:r w:rsidR="008002D6" w:rsidRPr="0082388F">
        <w:rPr>
          <w:rFonts w:asciiTheme="majorHAnsi" w:hAnsiTheme="majorHAnsi" w:cstheme="majorHAnsi"/>
          <w:sz w:val="27"/>
          <w:szCs w:val="27"/>
          <w:lang w:val="ro-MD"/>
        </w:rPr>
        <w:t xml:space="preserve"> al</w:t>
      </w:r>
      <w:r w:rsidR="0082388F" w:rsidRPr="0082388F">
        <w:rPr>
          <w:rFonts w:asciiTheme="majorHAnsi" w:hAnsiTheme="majorHAnsi" w:cstheme="majorHAnsi"/>
          <w:sz w:val="27"/>
          <w:szCs w:val="27"/>
          <w:lang w:val="ro-MD"/>
        </w:rPr>
        <w:t xml:space="preserve">  </w:t>
      </w:r>
      <w:r w:rsidR="008002D6" w:rsidRPr="0082388F">
        <w:rPr>
          <w:rFonts w:asciiTheme="majorHAnsi" w:hAnsiTheme="majorHAnsi" w:cstheme="majorHAnsi"/>
          <w:sz w:val="27"/>
          <w:szCs w:val="27"/>
          <w:lang w:val="ro-MD"/>
        </w:rPr>
        <w:t xml:space="preserve"> ONVV</w:t>
      </w:r>
      <w:r w:rsidRPr="0082388F">
        <w:rPr>
          <w:rFonts w:asciiTheme="majorHAnsi" w:hAnsiTheme="majorHAnsi" w:cstheme="majorHAnsi"/>
          <w:sz w:val="27"/>
          <w:szCs w:val="27"/>
          <w:lang w:val="ro-MD"/>
        </w:rPr>
        <w:t xml:space="preserve"> „Salarizarea angajaților ONVV”</w:t>
      </w:r>
      <w:r w:rsidR="006F051D" w:rsidRPr="0082388F">
        <w:rPr>
          <w:rFonts w:asciiTheme="majorHAnsi" w:hAnsiTheme="majorHAnsi" w:cstheme="majorHAnsi"/>
          <w:sz w:val="27"/>
          <w:szCs w:val="27"/>
          <w:lang w:val="ro-MD"/>
        </w:rPr>
        <w:t>,</w:t>
      </w:r>
      <w:r w:rsidRPr="0082388F">
        <w:rPr>
          <w:rFonts w:asciiTheme="majorHAnsi" w:hAnsiTheme="majorHAnsi" w:cstheme="majorHAnsi"/>
          <w:sz w:val="27"/>
          <w:szCs w:val="27"/>
          <w:lang w:val="ro-MD"/>
        </w:rPr>
        <w:t xml:space="preserve"> fără specificare</w:t>
      </w:r>
      <w:r w:rsidR="006F051D" w:rsidRPr="0082388F">
        <w:rPr>
          <w:rFonts w:asciiTheme="majorHAnsi" w:hAnsiTheme="majorHAnsi" w:cstheme="majorHAnsi"/>
          <w:sz w:val="27"/>
          <w:szCs w:val="27"/>
          <w:lang w:val="ro-MD"/>
        </w:rPr>
        <w:t>a</w:t>
      </w:r>
      <w:r w:rsidRPr="0082388F">
        <w:rPr>
          <w:rFonts w:asciiTheme="majorHAnsi" w:hAnsiTheme="majorHAnsi" w:cstheme="majorHAnsi"/>
          <w:sz w:val="27"/>
          <w:szCs w:val="27"/>
          <w:lang w:val="ro-MD"/>
        </w:rPr>
        <w:t xml:space="preserve"> </w:t>
      </w:r>
      <w:r w:rsidR="00AF4B04" w:rsidRPr="0082388F">
        <w:rPr>
          <w:rFonts w:asciiTheme="majorHAnsi" w:hAnsiTheme="majorHAnsi" w:cstheme="majorHAnsi"/>
          <w:sz w:val="27"/>
          <w:szCs w:val="27"/>
          <w:lang w:val="ro-MD"/>
        </w:rPr>
        <w:t>tipului</w:t>
      </w:r>
      <w:r w:rsidRPr="0082388F">
        <w:rPr>
          <w:rFonts w:asciiTheme="majorHAnsi" w:hAnsiTheme="majorHAnsi" w:cstheme="majorHAnsi"/>
          <w:sz w:val="27"/>
          <w:szCs w:val="27"/>
          <w:lang w:val="ro-MD"/>
        </w:rPr>
        <w:t xml:space="preserve"> </w:t>
      </w:r>
      <w:r w:rsidR="00AF4B04" w:rsidRPr="0082388F">
        <w:rPr>
          <w:rFonts w:asciiTheme="majorHAnsi" w:hAnsiTheme="majorHAnsi" w:cstheme="majorHAnsi"/>
          <w:sz w:val="27"/>
          <w:szCs w:val="27"/>
          <w:lang w:val="ro-MD"/>
        </w:rPr>
        <w:t xml:space="preserve">de </w:t>
      </w:r>
      <w:r w:rsidR="006F051D" w:rsidRPr="0082388F">
        <w:rPr>
          <w:rFonts w:asciiTheme="majorHAnsi" w:hAnsiTheme="majorHAnsi" w:cstheme="majorHAnsi"/>
          <w:sz w:val="27"/>
          <w:szCs w:val="27"/>
          <w:lang w:val="ro-MD"/>
        </w:rPr>
        <w:t>spor</w:t>
      </w:r>
      <w:r w:rsidR="00AF4B04" w:rsidRPr="0082388F">
        <w:rPr>
          <w:rFonts w:asciiTheme="majorHAnsi" w:hAnsiTheme="majorHAnsi" w:cstheme="majorHAnsi"/>
          <w:sz w:val="27"/>
          <w:szCs w:val="27"/>
          <w:lang w:val="ro-MD"/>
        </w:rPr>
        <w:t xml:space="preserve"> care</w:t>
      </w:r>
      <w:r w:rsidRPr="0082388F">
        <w:rPr>
          <w:rFonts w:asciiTheme="majorHAnsi" w:hAnsiTheme="majorHAnsi" w:cstheme="majorHAnsi"/>
          <w:sz w:val="27"/>
          <w:szCs w:val="27"/>
          <w:lang w:val="ro-MD"/>
        </w:rPr>
        <w:t xml:space="preserve"> se acordă. </w:t>
      </w:r>
      <w:r w:rsidR="0082388F" w:rsidRPr="0082388F">
        <w:rPr>
          <w:rFonts w:asciiTheme="majorHAnsi" w:hAnsiTheme="majorHAnsi" w:cstheme="majorHAnsi"/>
          <w:sz w:val="27"/>
          <w:szCs w:val="27"/>
          <w:lang w:val="ro-MD"/>
        </w:rPr>
        <w:t xml:space="preserve">  </w:t>
      </w:r>
      <w:r w:rsidRPr="0082388F">
        <w:rPr>
          <w:rFonts w:asciiTheme="majorHAnsi" w:hAnsiTheme="majorHAnsi" w:cstheme="majorHAnsi"/>
          <w:sz w:val="27"/>
          <w:szCs w:val="27"/>
          <w:lang w:val="ro-MD"/>
        </w:rPr>
        <w:t xml:space="preserve">Totodată, </w:t>
      </w:r>
      <w:r w:rsidR="006F051D" w:rsidRPr="0082388F">
        <w:rPr>
          <w:rFonts w:asciiTheme="majorHAnsi" w:hAnsiTheme="majorHAnsi" w:cstheme="majorHAnsi"/>
          <w:sz w:val="27"/>
          <w:szCs w:val="27"/>
          <w:lang w:val="ro-MD"/>
        </w:rPr>
        <w:t>ținând</w:t>
      </w:r>
      <w:r w:rsidRPr="0082388F">
        <w:rPr>
          <w:rFonts w:asciiTheme="majorHAnsi" w:hAnsiTheme="majorHAnsi" w:cstheme="majorHAnsi"/>
          <w:sz w:val="27"/>
          <w:szCs w:val="27"/>
          <w:lang w:val="ro-MD"/>
        </w:rPr>
        <w:t xml:space="preserve"> cont </w:t>
      </w:r>
      <w:r w:rsidR="00AF4B04" w:rsidRPr="0082388F">
        <w:rPr>
          <w:rFonts w:asciiTheme="majorHAnsi" w:hAnsiTheme="majorHAnsi" w:cstheme="majorHAnsi"/>
          <w:sz w:val="27"/>
          <w:szCs w:val="27"/>
          <w:lang w:val="ro-MD"/>
        </w:rPr>
        <w:t>de</w:t>
      </w:r>
      <w:r w:rsidR="0082388F" w:rsidRPr="0082388F">
        <w:rPr>
          <w:rFonts w:asciiTheme="majorHAnsi" w:hAnsiTheme="majorHAnsi" w:cstheme="majorHAnsi"/>
          <w:sz w:val="27"/>
          <w:szCs w:val="27"/>
          <w:lang w:val="ro-MD"/>
        </w:rPr>
        <w:t xml:space="preserve">  </w:t>
      </w:r>
      <w:r w:rsidR="00AF4B04" w:rsidRPr="0082388F">
        <w:rPr>
          <w:rFonts w:asciiTheme="majorHAnsi" w:hAnsiTheme="majorHAnsi" w:cstheme="majorHAnsi"/>
          <w:sz w:val="27"/>
          <w:szCs w:val="27"/>
          <w:lang w:val="ro-MD"/>
        </w:rPr>
        <w:t xml:space="preserve"> faptul </w:t>
      </w:r>
      <w:r w:rsidRPr="0082388F">
        <w:rPr>
          <w:rFonts w:asciiTheme="majorHAnsi" w:hAnsiTheme="majorHAnsi" w:cstheme="majorHAnsi"/>
          <w:sz w:val="27"/>
          <w:szCs w:val="27"/>
          <w:lang w:val="ro-MD"/>
        </w:rPr>
        <w:t xml:space="preserve">că pentru munca peste normele </w:t>
      </w:r>
      <w:r w:rsidRPr="0082388F">
        <w:rPr>
          <w:rFonts w:asciiTheme="majorHAnsi" w:hAnsiTheme="majorHAnsi" w:cstheme="majorHAnsi"/>
          <w:sz w:val="26"/>
          <w:szCs w:val="26"/>
          <w:lang w:val="ro-MD"/>
        </w:rPr>
        <w:t>stabilite nu au fost întocmite fișele de pontaj,</w:t>
      </w:r>
      <w:r w:rsidR="0082388F">
        <w:rPr>
          <w:rFonts w:asciiTheme="majorHAnsi" w:hAnsiTheme="majorHAnsi" w:cstheme="majorHAnsi"/>
          <w:sz w:val="26"/>
          <w:szCs w:val="26"/>
          <w:lang w:val="ro-MD"/>
        </w:rPr>
        <w:t xml:space="preserve"> în care să fie indicat </w:t>
      </w:r>
      <w:proofErr w:type="spellStart"/>
      <w:r w:rsidR="0082388F">
        <w:rPr>
          <w:rFonts w:asciiTheme="majorHAnsi" w:hAnsiTheme="majorHAnsi" w:cstheme="majorHAnsi"/>
          <w:sz w:val="26"/>
          <w:szCs w:val="26"/>
          <w:lang w:val="ro-MD"/>
        </w:rPr>
        <w:t>numărul</w:t>
      </w:r>
      <w:r w:rsidRPr="0082388F">
        <w:rPr>
          <w:rFonts w:asciiTheme="majorHAnsi" w:hAnsiTheme="majorHAnsi" w:cstheme="majorHAnsi"/>
          <w:sz w:val="26"/>
          <w:szCs w:val="26"/>
          <w:lang w:val="ro-MD"/>
        </w:rPr>
        <w:t>orelor</w:t>
      </w:r>
      <w:proofErr w:type="spellEnd"/>
      <w:r w:rsidR="0082388F">
        <w:rPr>
          <w:rFonts w:asciiTheme="majorHAnsi" w:hAnsiTheme="majorHAnsi" w:cstheme="majorHAnsi"/>
          <w:sz w:val="26"/>
          <w:szCs w:val="26"/>
          <w:lang w:val="ro-MD"/>
        </w:rPr>
        <w:t xml:space="preserve"> </w:t>
      </w:r>
      <w:r w:rsidRPr="0082388F">
        <w:rPr>
          <w:rFonts w:asciiTheme="majorHAnsi" w:hAnsiTheme="majorHAnsi" w:cstheme="majorHAnsi"/>
          <w:sz w:val="26"/>
          <w:szCs w:val="26"/>
          <w:lang w:val="ro-MD"/>
        </w:rPr>
        <w:t xml:space="preserve"> </w:t>
      </w:r>
      <w:proofErr w:type="spellStart"/>
      <w:r w:rsidRPr="0082388F">
        <w:rPr>
          <w:rFonts w:asciiTheme="majorHAnsi" w:hAnsiTheme="majorHAnsi" w:cstheme="majorHAnsi"/>
          <w:sz w:val="26"/>
          <w:szCs w:val="26"/>
          <w:lang w:val="ro-MD"/>
        </w:rPr>
        <w:t>supranorm</w:t>
      </w:r>
      <w:r w:rsidR="00AF4B04" w:rsidRPr="0082388F">
        <w:rPr>
          <w:rFonts w:asciiTheme="majorHAnsi" w:hAnsiTheme="majorHAnsi" w:cstheme="majorHAnsi"/>
          <w:sz w:val="26"/>
          <w:szCs w:val="26"/>
          <w:lang w:val="ro-MD"/>
        </w:rPr>
        <w:t>ă</w:t>
      </w:r>
      <w:proofErr w:type="spellEnd"/>
      <w:r w:rsidR="0082388F">
        <w:rPr>
          <w:rFonts w:asciiTheme="majorHAnsi" w:hAnsiTheme="majorHAnsi" w:cstheme="majorHAnsi"/>
          <w:sz w:val="26"/>
          <w:szCs w:val="26"/>
          <w:lang w:val="ro-MD"/>
        </w:rPr>
        <w:t xml:space="preserve">, </w:t>
      </w:r>
      <w:r w:rsidR="00AF4B04" w:rsidRPr="0082388F">
        <w:rPr>
          <w:rFonts w:asciiTheme="majorHAnsi" w:hAnsiTheme="majorHAnsi" w:cstheme="majorHAnsi"/>
          <w:sz w:val="26"/>
          <w:szCs w:val="26"/>
          <w:lang w:val="ro-MD"/>
        </w:rPr>
        <w:t>deducem</w:t>
      </w:r>
      <w:r w:rsidR="0082388F">
        <w:rPr>
          <w:rFonts w:asciiTheme="majorHAnsi" w:hAnsiTheme="majorHAnsi" w:cstheme="majorHAnsi"/>
          <w:sz w:val="26"/>
          <w:szCs w:val="26"/>
          <w:lang w:val="ro-MD"/>
        </w:rPr>
        <w:t xml:space="preserve"> </w:t>
      </w:r>
      <w:r w:rsidRPr="0082388F">
        <w:rPr>
          <w:rFonts w:asciiTheme="majorHAnsi" w:hAnsiTheme="majorHAnsi" w:cstheme="majorHAnsi"/>
          <w:sz w:val="26"/>
          <w:szCs w:val="26"/>
          <w:lang w:val="ro-MD"/>
        </w:rPr>
        <w:t xml:space="preserve">că </w:t>
      </w:r>
      <w:r w:rsidR="0082388F">
        <w:rPr>
          <w:rFonts w:asciiTheme="majorHAnsi" w:hAnsiTheme="majorHAnsi" w:cstheme="majorHAnsi"/>
          <w:sz w:val="26"/>
          <w:szCs w:val="26"/>
          <w:lang w:val="ro-MD"/>
        </w:rPr>
        <w:t xml:space="preserve">  </w:t>
      </w:r>
      <w:r w:rsidRPr="0082388F">
        <w:rPr>
          <w:rFonts w:asciiTheme="majorHAnsi" w:hAnsiTheme="majorHAnsi" w:cstheme="majorHAnsi"/>
          <w:sz w:val="26"/>
          <w:szCs w:val="26"/>
          <w:lang w:val="ro-MD"/>
        </w:rPr>
        <w:t xml:space="preserve">sporul </w:t>
      </w:r>
      <w:r w:rsidR="0082388F">
        <w:rPr>
          <w:rFonts w:asciiTheme="majorHAnsi" w:hAnsiTheme="majorHAnsi" w:cstheme="majorHAnsi"/>
          <w:sz w:val="26"/>
          <w:szCs w:val="26"/>
          <w:lang w:val="ro-MD"/>
        </w:rPr>
        <w:t xml:space="preserve">  </w:t>
      </w:r>
      <w:r w:rsidRPr="0082388F">
        <w:rPr>
          <w:rFonts w:asciiTheme="majorHAnsi" w:hAnsiTheme="majorHAnsi" w:cstheme="majorHAnsi"/>
          <w:sz w:val="26"/>
          <w:szCs w:val="26"/>
          <w:lang w:val="ro-MD"/>
        </w:rPr>
        <w:t>a fost</w:t>
      </w:r>
      <w:r w:rsidR="0082388F">
        <w:rPr>
          <w:rFonts w:asciiTheme="majorHAnsi" w:hAnsiTheme="majorHAnsi" w:cstheme="majorHAnsi"/>
          <w:sz w:val="26"/>
          <w:szCs w:val="26"/>
          <w:lang w:val="ro-MD"/>
        </w:rPr>
        <w:t xml:space="preserve">  </w:t>
      </w:r>
      <w:r w:rsidRPr="0082388F">
        <w:rPr>
          <w:rFonts w:asciiTheme="majorHAnsi" w:hAnsiTheme="majorHAnsi" w:cstheme="majorHAnsi"/>
          <w:sz w:val="26"/>
          <w:szCs w:val="26"/>
          <w:lang w:val="ro-MD"/>
        </w:rPr>
        <w:t xml:space="preserve"> acordat</w:t>
      </w:r>
      <w:r w:rsidR="0082388F">
        <w:rPr>
          <w:rFonts w:asciiTheme="majorHAnsi" w:hAnsiTheme="majorHAnsi" w:cstheme="majorHAnsi"/>
          <w:sz w:val="26"/>
          <w:szCs w:val="26"/>
          <w:lang w:val="ro-MD"/>
        </w:rPr>
        <w:t xml:space="preserve">   </w:t>
      </w:r>
      <w:r w:rsidRPr="0082388F">
        <w:rPr>
          <w:rFonts w:asciiTheme="majorHAnsi" w:hAnsiTheme="majorHAnsi" w:cstheme="majorHAnsi"/>
          <w:sz w:val="26"/>
          <w:szCs w:val="26"/>
          <w:lang w:val="ro-MD"/>
        </w:rPr>
        <w:t xml:space="preserve"> pentru</w:t>
      </w:r>
      <w:r w:rsidR="0082388F">
        <w:rPr>
          <w:rFonts w:asciiTheme="majorHAnsi" w:hAnsiTheme="majorHAnsi" w:cstheme="majorHAnsi"/>
          <w:sz w:val="26"/>
          <w:szCs w:val="26"/>
          <w:lang w:val="ro-MD"/>
        </w:rPr>
        <w:t xml:space="preserve">   </w:t>
      </w:r>
      <w:r w:rsidRPr="0082388F">
        <w:rPr>
          <w:rFonts w:asciiTheme="majorHAnsi" w:hAnsiTheme="majorHAnsi" w:cstheme="majorHAnsi"/>
          <w:sz w:val="26"/>
          <w:szCs w:val="26"/>
          <w:lang w:val="ro-MD"/>
        </w:rPr>
        <w:t xml:space="preserve"> munc</w:t>
      </w:r>
      <w:r w:rsidR="00AF4B04" w:rsidRPr="0082388F">
        <w:rPr>
          <w:rFonts w:asciiTheme="majorHAnsi" w:hAnsiTheme="majorHAnsi" w:cstheme="majorHAnsi"/>
          <w:sz w:val="26"/>
          <w:szCs w:val="26"/>
          <w:lang w:val="ro-MD"/>
        </w:rPr>
        <w:t>ă</w:t>
      </w:r>
      <w:r w:rsidR="0082388F">
        <w:rPr>
          <w:rFonts w:asciiTheme="majorHAnsi" w:hAnsiTheme="majorHAnsi" w:cstheme="majorHAnsi"/>
          <w:sz w:val="26"/>
          <w:szCs w:val="26"/>
          <w:lang w:val="ro-MD"/>
        </w:rPr>
        <w:t xml:space="preserve">   </w:t>
      </w:r>
      <w:r w:rsidRPr="0082388F">
        <w:rPr>
          <w:rFonts w:asciiTheme="majorHAnsi" w:hAnsiTheme="majorHAnsi" w:cstheme="majorHAnsi"/>
          <w:sz w:val="26"/>
          <w:szCs w:val="26"/>
          <w:lang w:val="ro-MD"/>
        </w:rPr>
        <w:t xml:space="preserve"> eficientă </w:t>
      </w:r>
      <w:bookmarkStart w:id="41" w:name="_GoBack"/>
      <w:r w:rsidRPr="0082388F">
        <w:rPr>
          <w:rFonts w:asciiTheme="majorHAnsi" w:hAnsiTheme="majorHAnsi" w:cstheme="majorHAnsi"/>
          <w:sz w:val="26"/>
          <w:szCs w:val="26"/>
          <w:lang w:val="ro-MD"/>
        </w:rPr>
        <w:t>și</w:t>
      </w:r>
      <w:bookmarkEnd w:id="41"/>
      <w:r w:rsidRPr="0082388F">
        <w:rPr>
          <w:rFonts w:asciiTheme="majorHAnsi" w:hAnsiTheme="majorHAnsi" w:cstheme="majorHAnsi"/>
          <w:sz w:val="26"/>
          <w:szCs w:val="26"/>
          <w:lang w:val="ro-MD"/>
        </w:rPr>
        <w:t xml:space="preserve"> inventivitate, executare </w:t>
      </w:r>
    </w:p>
    <w:p w:rsidR="0082388F" w:rsidRPr="0082388F" w:rsidRDefault="0082388F" w:rsidP="00344619">
      <w:pPr>
        <w:spacing w:after="0"/>
        <w:jc w:val="both"/>
        <w:rPr>
          <w:rFonts w:asciiTheme="majorHAnsi" w:hAnsiTheme="majorHAnsi" w:cstheme="majorHAnsi"/>
          <w:sz w:val="27"/>
          <w:szCs w:val="27"/>
          <w:lang w:val="ro-MD"/>
        </w:rPr>
      </w:pPr>
    </w:p>
    <w:p w:rsidR="0082388F" w:rsidRDefault="0082388F" w:rsidP="00344619">
      <w:pPr>
        <w:spacing w:after="0"/>
        <w:jc w:val="both"/>
        <w:rPr>
          <w:rFonts w:asciiTheme="majorHAnsi" w:hAnsiTheme="majorHAnsi" w:cstheme="majorHAnsi"/>
          <w:sz w:val="27"/>
          <w:szCs w:val="27"/>
          <w:lang w:val="ro-MD"/>
        </w:rPr>
      </w:pPr>
    </w:p>
    <w:p w:rsidR="0082388F" w:rsidRPr="0082388F" w:rsidRDefault="0082388F" w:rsidP="00344619">
      <w:pPr>
        <w:spacing w:after="0"/>
        <w:jc w:val="both"/>
        <w:rPr>
          <w:rFonts w:asciiTheme="majorHAnsi" w:hAnsiTheme="majorHAnsi" w:cstheme="majorHAnsi"/>
          <w:sz w:val="27"/>
          <w:szCs w:val="27"/>
          <w:lang w:val="ro-MD"/>
        </w:rPr>
      </w:pPr>
    </w:p>
    <w:p w:rsidR="002B0C1F" w:rsidRPr="002751FC" w:rsidRDefault="002B0C1F" w:rsidP="00344619">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exemplară și </w:t>
      </w:r>
      <w:r w:rsidR="00974002" w:rsidRPr="002751FC">
        <w:rPr>
          <w:rFonts w:asciiTheme="majorHAnsi" w:hAnsiTheme="majorHAnsi" w:cstheme="majorHAnsi"/>
          <w:sz w:val="28"/>
          <w:szCs w:val="28"/>
          <w:lang w:val="ro-MD"/>
        </w:rPr>
        <w:t>conștiincioasă</w:t>
      </w:r>
      <w:r w:rsidRPr="002751FC">
        <w:rPr>
          <w:rFonts w:asciiTheme="majorHAnsi" w:hAnsiTheme="majorHAnsi" w:cstheme="majorHAnsi"/>
          <w:sz w:val="28"/>
          <w:szCs w:val="28"/>
          <w:lang w:val="ro-MD"/>
        </w:rPr>
        <w:t xml:space="preserve"> a atribuțiilor de serviciu. </w:t>
      </w:r>
      <w:r w:rsidR="00974002" w:rsidRPr="002751FC">
        <w:rPr>
          <w:rFonts w:asciiTheme="majorHAnsi" w:hAnsiTheme="majorHAnsi" w:cstheme="majorHAnsi"/>
          <w:sz w:val="28"/>
          <w:szCs w:val="28"/>
          <w:lang w:val="ro-MD"/>
        </w:rPr>
        <w:t>Totuşi,</w:t>
      </w:r>
      <w:r w:rsidRPr="002751FC">
        <w:rPr>
          <w:rFonts w:asciiTheme="majorHAnsi" w:hAnsiTheme="majorHAnsi" w:cstheme="majorHAnsi"/>
          <w:sz w:val="28"/>
          <w:szCs w:val="28"/>
          <w:lang w:val="ro-MD"/>
        </w:rPr>
        <w:t xml:space="preserve"> urmare a nerealizării tuturor măsurilor planificate în buget și </w:t>
      </w:r>
      <w:r w:rsidR="0096305C" w:rsidRPr="002751FC">
        <w:rPr>
          <w:rFonts w:asciiTheme="majorHAnsi" w:hAnsiTheme="majorHAnsi" w:cstheme="majorHAnsi"/>
          <w:sz w:val="28"/>
          <w:szCs w:val="28"/>
          <w:lang w:val="ro-MD"/>
        </w:rPr>
        <w:t xml:space="preserve">în </w:t>
      </w:r>
      <w:r w:rsidRPr="002751FC">
        <w:rPr>
          <w:rFonts w:asciiTheme="majorHAnsi" w:hAnsiTheme="majorHAnsi" w:cstheme="majorHAnsi"/>
          <w:sz w:val="28"/>
          <w:szCs w:val="28"/>
          <w:lang w:val="ro-MD"/>
        </w:rPr>
        <w:t>Planul de măsuri pentru anul 2018, aprobate de CC, nu este clar ce a stat la baza deciziilor de acordare</w:t>
      </w:r>
      <w:r w:rsidRPr="002751FC">
        <w:rPr>
          <w:rFonts w:asciiTheme="majorHAnsi" w:hAnsiTheme="majorHAnsi" w:cstheme="majorHAnsi"/>
          <w:b/>
          <w:sz w:val="28"/>
          <w:szCs w:val="28"/>
          <w:lang w:val="ro-MD"/>
        </w:rPr>
        <w:t xml:space="preserve"> </w:t>
      </w:r>
      <w:r w:rsidRPr="002751FC">
        <w:rPr>
          <w:rFonts w:asciiTheme="majorHAnsi" w:hAnsiTheme="majorHAnsi" w:cstheme="majorHAnsi"/>
          <w:sz w:val="28"/>
          <w:szCs w:val="28"/>
          <w:lang w:val="ro-MD"/>
        </w:rPr>
        <w:t xml:space="preserve">a sporului </w:t>
      </w:r>
      <w:r w:rsidR="00974002" w:rsidRPr="002751FC">
        <w:rPr>
          <w:rFonts w:asciiTheme="majorHAnsi" w:hAnsiTheme="majorHAnsi" w:cstheme="majorHAnsi"/>
          <w:sz w:val="28"/>
          <w:szCs w:val="28"/>
          <w:lang w:val="ro-MD"/>
        </w:rPr>
        <w:t>respectiv</w:t>
      </w:r>
      <w:r w:rsidRPr="002751FC">
        <w:rPr>
          <w:rFonts w:asciiTheme="majorHAnsi" w:hAnsiTheme="majorHAnsi" w:cstheme="majorHAnsi"/>
          <w:sz w:val="28"/>
          <w:szCs w:val="28"/>
          <w:lang w:val="ro-MD"/>
        </w:rPr>
        <w:t xml:space="preserve"> în mărime deplină de 15%. În aceste condiții, angajații ONVV au primit nejustificat, doar în anul 2018</w:t>
      </w:r>
      <w:r w:rsidR="0096305C" w:rsidRPr="002751FC">
        <w:rPr>
          <w:rFonts w:asciiTheme="majorHAnsi" w:hAnsiTheme="majorHAnsi" w:cstheme="majorHAnsi"/>
          <w:sz w:val="28"/>
          <w:szCs w:val="28"/>
          <w:lang w:val="ro-MD"/>
        </w:rPr>
        <w:t>, suma de</w:t>
      </w:r>
      <w:r w:rsidRPr="002751FC">
        <w:rPr>
          <w:rFonts w:asciiTheme="majorHAnsi" w:hAnsiTheme="majorHAnsi" w:cstheme="majorHAnsi"/>
          <w:sz w:val="28"/>
          <w:szCs w:val="28"/>
          <w:lang w:val="ro-MD"/>
        </w:rPr>
        <w:t xml:space="preserve"> 0,6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w:t>
      </w:r>
    </w:p>
    <w:p w:rsidR="003074E0" w:rsidRPr="002751FC" w:rsidRDefault="003074E0" w:rsidP="00344619">
      <w:pPr>
        <w:spacing w:after="0"/>
        <w:jc w:val="both"/>
        <w:rPr>
          <w:rFonts w:asciiTheme="majorHAnsi" w:hAnsiTheme="majorHAnsi" w:cstheme="majorHAnsi"/>
          <w:sz w:val="28"/>
          <w:szCs w:val="28"/>
          <w:lang w:val="ro-MD"/>
        </w:rPr>
      </w:pPr>
    </w:p>
    <w:p w:rsidR="00F74A85" w:rsidRPr="009A4BF7" w:rsidRDefault="00F74A85" w:rsidP="00F74A85">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Conform explicațiilor responsabililor de la ONVV, în sensul pct.15 din capitolul VI </w:t>
      </w:r>
      <w:r w:rsidR="009A4BF7">
        <w:rPr>
          <w:rFonts w:asciiTheme="majorHAnsi" w:hAnsiTheme="majorHAnsi" w:cstheme="majorHAnsi"/>
          <w:sz w:val="28"/>
          <w:szCs w:val="28"/>
          <w:lang w:val="ro-MD"/>
        </w:rPr>
        <w:t>al</w:t>
      </w:r>
      <w:r w:rsidRPr="002751FC">
        <w:rPr>
          <w:rFonts w:asciiTheme="majorHAnsi" w:hAnsiTheme="majorHAnsi" w:cstheme="majorHAnsi"/>
          <w:sz w:val="28"/>
          <w:szCs w:val="28"/>
          <w:lang w:val="ro-MD"/>
        </w:rPr>
        <w:t xml:space="preserve"> Regulamentul</w:t>
      </w:r>
      <w:r w:rsidR="009A4BF7">
        <w:rPr>
          <w:rFonts w:asciiTheme="majorHAnsi" w:hAnsiTheme="majorHAnsi" w:cstheme="majorHAnsi"/>
          <w:sz w:val="28"/>
          <w:szCs w:val="28"/>
          <w:lang w:val="ro-MD"/>
        </w:rPr>
        <w:t>ui</w:t>
      </w:r>
      <w:r w:rsidRPr="002751FC">
        <w:rPr>
          <w:rFonts w:asciiTheme="majorHAnsi" w:hAnsiTheme="majorHAnsi" w:cstheme="majorHAnsi"/>
          <w:sz w:val="28"/>
          <w:szCs w:val="28"/>
          <w:lang w:val="ro-MD"/>
        </w:rPr>
        <w:t xml:space="preserve"> intern al ONVV, sporul lunar în mărime de 15% din salariul de bază se achită fără condiționarea efectuării evaluărilor. Totodată, angajații prezintă săptăm</w:t>
      </w:r>
      <w:r w:rsidR="0096305C" w:rsidRPr="002751FC">
        <w:rPr>
          <w:rFonts w:asciiTheme="majorHAnsi" w:hAnsiTheme="majorHAnsi" w:cstheme="majorHAnsi"/>
          <w:sz w:val="28"/>
          <w:szCs w:val="28"/>
          <w:lang w:val="ro-MD"/>
        </w:rPr>
        <w:t>â</w:t>
      </w:r>
      <w:r w:rsidRPr="002751FC">
        <w:rPr>
          <w:rFonts w:asciiTheme="majorHAnsi" w:hAnsiTheme="majorHAnsi" w:cstheme="majorHAnsi"/>
          <w:sz w:val="28"/>
          <w:szCs w:val="28"/>
          <w:lang w:val="ro-MD"/>
        </w:rPr>
        <w:t>na</w:t>
      </w:r>
      <w:r w:rsidRPr="009A4BF7">
        <w:rPr>
          <w:rFonts w:asciiTheme="majorHAnsi" w:hAnsiTheme="majorHAnsi" w:cstheme="majorHAnsi"/>
          <w:sz w:val="28"/>
          <w:szCs w:val="28"/>
          <w:lang w:val="ro-MD"/>
        </w:rPr>
        <w:t>l</w:t>
      </w:r>
      <w:r w:rsidRPr="00C347EB">
        <w:rPr>
          <w:rStyle w:val="ab"/>
          <w:rFonts w:asciiTheme="majorHAnsi" w:hAnsiTheme="majorHAnsi" w:cstheme="majorHAnsi"/>
          <w:sz w:val="28"/>
          <w:szCs w:val="28"/>
          <w:lang w:val="ro-MD"/>
        </w:rPr>
        <w:footnoteReference w:id="49"/>
      </w:r>
      <w:r w:rsidRPr="009A4BF7">
        <w:rPr>
          <w:rFonts w:asciiTheme="majorHAnsi" w:hAnsiTheme="majorHAnsi" w:cstheme="majorHAnsi"/>
          <w:sz w:val="28"/>
          <w:szCs w:val="28"/>
          <w:lang w:val="ro-MD"/>
        </w:rPr>
        <w:t xml:space="preserve"> rapoarte cu priv</w:t>
      </w:r>
      <w:r w:rsidR="0096305C" w:rsidRPr="009A4BF7">
        <w:rPr>
          <w:rFonts w:asciiTheme="majorHAnsi" w:hAnsiTheme="majorHAnsi" w:cstheme="majorHAnsi"/>
          <w:sz w:val="28"/>
          <w:szCs w:val="28"/>
          <w:lang w:val="ro-MD"/>
        </w:rPr>
        <w:t>i</w:t>
      </w:r>
      <w:r w:rsidRPr="002737F0">
        <w:rPr>
          <w:rFonts w:asciiTheme="majorHAnsi" w:hAnsiTheme="majorHAnsi" w:cstheme="majorHAnsi"/>
          <w:sz w:val="28"/>
          <w:szCs w:val="28"/>
          <w:lang w:val="ro-MD"/>
        </w:rPr>
        <w:t>re la activitățile, acțiunile, sarcinile efectuate pe parcursul peri</w:t>
      </w:r>
      <w:r w:rsidR="00974002" w:rsidRPr="009A4BF7">
        <w:rPr>
          <w:rFonts w:asciiTheme="majorHAnsi" w:hAnsiTheme="majorHAnsi" w:cstheme="majorHAnsi"/>
          <w:sz w:val="28"/>
          <w:szCs w:val="28"/>
          <w:lang w:val="ro-MD"/>
        </w:rPr>
        <w:t xml:space="preserve">oadei respective. De asemenea, </w:t>
      </w:r>
      <w:r w:rsidRPr="009A4BF7">
        <w:rPr>
          <w:rFonts w:asciiTheme="majorHAnsi" w:hAnsiTheme="majorHAnsi" w:cstheme="majorHAnsi"/>
          <w:sz w:val="28"/>
          <w:szCs w:val="28"/>
          <w:lang w:val="ro-MD"/>
        </w:rPr>
        <w:t>trime</w:t>
      </w:r>
      <w:r w:rsidR="007023C7" w:rsidRPr="009A4BF7">
        <w:rPr>
          <w:rFonts w:asciiTheme="majorHAnsi" w:hAnsiTheme="majorHAnsi" w:cstheme="majorHAnsi"/>
          <w:sz w:val="28"/>
          <w:szCs w:val="28"/>
          <w:lang w:val="ro-MD"/>
        </w:rPr>
        <w:t xml:space="preserve">strial </w:t>
      </w:r>
      <w:r w:rsidR="00974002" w:rsidRPr="009A4BF7">
        <w:rPr>
          <w:rFonts w:asciiTheme="majorHAnsi" w:hAnsiTheme="majorHAnsi" w:cstheme="majorHAnsi"/>
          <w:sz w:val="28"/>
          <w:szCs w:val="28"/>
          <w:lang w:val="ro-MD"/>
        </w:rPr>
        <w:t>întocme</w:t>
      </w:r>
      <w:r w:rsidRPr="009A4BF7">
        <w:rPr>
          <w:rFonts w:asciiTheme="majorHAnsi" w:hAnsiTheme="majorHAnsi" w:cstheme="majorHAnsi"/>
          <w:sz w:val="28"/>
          <w:szCs w:val="28"/>
          <w:lang w:val="ro-MD"/>
        </w:rPr>
        <w:t>sc</w:t>
      </w:r>
      <w:r w:rsidR="00974002" w:rsidRPr="009A4BF7">
        <w:rPr>
          <w:rFonts w:asciiTheme="majorHAnsi" w:hAnsiTheme="majorHAnsi" w:cstheme="majorHAnsi"/>
          <w:sz w:val="28"/>
          <w:szCs w:val="28"/>
          <w:lang w:val="ro-MD"/>
        </w:rPr>
        <w:t xml:space="preserve"> un</w:t>
      </w:r>
      <w:r w:rsidRPr="009A4BF7">
        <w:rPr>
          <w:rFonts w:asciiTheme="majorHAnsi" w:hAnsiTheme="majorHAnsi" w:cstheme="majorHAnsi"/>
          <w:sz w:val="28"/>
          <w:szCs w:val="28"/>
          <w:lang w:val="ro-MD"/>
        </w:rPr>
        <w:t xml:space="preserve"> raport de activitate care </w:t>
      </w:r>
      <w:r w:rsidR="0096305C" w:rsidRPr="009A4BF7">
        <w:rPr>
          <w:rFonts w:asciiTheme="majorHAnsi" w:hAnsiTheme="majorHAnsi" w:cstheme="majorHAnsi"/>
          <w:sz w:val="28"/>
          <w:szCs w:val="28"/>
          <w:lang w:val="ro-MD"/>
        </w:rPr>
        <w:t>este</w:t>
      </w:r>
      <w:r w:rsidRPr="009A4BF7">
        <w:rPr>
          <w:rFonts w:asciiTheme="majorHAnsi" w:hAnsiTheme="majorHAnsi" w:cstheme="majorHAnsi"/>
          <w:sz w:val="28"/>
          <w:szCs w:val="28"/>
          <w:lang w:val="ro-MD"/>
        </w:rPr>
        <w:t xml:space="preserve"> </w:t>
      </w:r>
      <w:r w:rsidR="00974002" w:rsidRPr="009A4BF7">
        <w:rPr>
          <w:rFonts w:asciiTheme="majorHAnsi" w:hAnsiTheme="majorHAnsi" w:cstheme="majorHAnsi"/>
          <w:sz w:val="28"/>
          <w:szCs w:val="28"/>
          <w:lang w:val="ro-MD"/>
        </w:rPr>
        <w:t>prez</w:t>
      </w:r>
      <w:r w:rsidR="0096305C" w:rsidRPr="009A4BF7">
        <w:rPr>
          <w:rFonts w:asciiTheme="majorHAnsi" w:hAnsiTheme="majorHAnsi" w:cstheme="majorHAnsi"/>
          <w:sz w:val="28"/>
          <w:szCs w:val="28"/>
          <w:lang w:val="ro-MD"/>
        </w:rPr>
        <w:t>entat</w:t>
      </w:r>
      <w:r w:rsidRPr="009A4BF7">
        <w:rPr>
          <w:rFonts w:asciiTheme="majorHAnsi" w:hAnsiTheme="majorHAnsi" w:cstheme="majorHAnsi"/>
          <w:sz w:val="28"/>
          <w:szCs w:val="28"/>
          <w:lang w:val="ro-MD"/>
        </w:rPr>
        <w:t xml:space="preserve"> CC. În opinia conducerii ONVV, aceasta cunoaște activitatea și performanțele angajaților, ceea ce </w:t>
      </w:r>
      <w:r w:rsidR="00974002" w:rsidRPr="009A4BF7">
        <w:rPr>
          <w:rFonts w:asciiTheme="majorHAnsi" w:hAnsiTheme="majorHAnsi" w:cstheme="majorHAnsi"/>
          <w:sz w:val="28"/>
          <w:szCs w:val="28"/>
          <w:lang w:val="ro-MD"/>
        </w:rPr>
        <w:t>constituie</w:t>
      </w:r>
      <w:r w:rsidRPr="009A4BF7">
        <w:rPr>
          <w:rFonts w:asciiTheme="majorHAnsi" w:hAnsiTheme="majorHAnsi" w:cstheme="majorHAnsi"/>
          <w:sz w:val="28"/>
          <w:szCs w:val="28"/>
          <w:lang w:val="ro-MD"/>
        </w:rPr>
        <w:t xml:space="preserve"> temei pentru luarea deciziei de acordare a sporului lunar. De asemenea</w:t>
      </w:r>
      <w:r w:rsidR="00974002" w:rsidRPr="009A4BF7">
        <w:rPr>
          <w:rFonts w:asciiTheme="majorHAnsi" w:hAnsiTheme="majorHAnsi" w:cstheme="majorHAnsi"/>
          <w:sz w:val="28"/>
          <w:szCs w:val="28"/>
          <w:lang w:val="ro-MD"/>
        </w:rPr>
        <w:t>,</w:t>
      </w:r>
      <w:r w:rsidRPr="009A4BF7">
        <w:rPr>
          <w:rFonts w:asciiTheme="majorHAnsi" w:hAnsiTheme="majorHAnsi" w:cstheme="majorHAnsi"/>
          <w:sz w:val="28"/>
          <w:szCs w:val="28"/>
          <w:lang w:val="ro-MD"/>
        </w:rPr>
        <w:t xml:space="preserve"> ONVV a comunicat că, odată cu implementarea sistemului de </w:t>
      </w:r>
      <w:r w:rsidR="00974002" w:rsidRPr="009A4BF7">
        <w:rPr>
          <w:rFonts w:asciiTheme="majorHAnsi" w:hAnsiTheme="majorHAnsi" w:cstheme="majorHAnsi"/>
          <w:sz w:val="28"/>
          <w:szCs w:val="28"/>
          <w:lang w:val="ro-MD"/>
        </w:rPr>
        <w:t>management</w:t>
      </w:r>
      <w:r w:rsidRPr="009A4BF7">
        <w:rPr>
          <w:rFonts w:asciiTheme="majorHAnsi" w:hAnsiTheme="majorHAnsi" w:cstheme="majorHAnsi"/>
          <w:sz w:val="28"/>
          <w:szCs w:val="28"/>
          <w:lang w:val="ro-MD"/>
        </w:rPr>
        <w:t xml:space="preserve"> al calității ISO 9001:2015, </w:t>
      </w:r>
      <w:r w:rsidR="00974002" w:rsidRPr="009A4BF7">
        <w:rPr>
          <w:rFonts w:asciiTheme="majorHAnsi" w:hAnsiTheme="majorHAnsi" w:cstheme="majorHAnsi"/>
          <w:sz w:val="28"/>
          <w:szCs w:val="28"/>
          <w:lang w:val="ro-MD"/>
        </w:rPr>
        <w:t>fiecărui</w:t>
      </w:r>
      <w:r w:rsidRPr="009A4BF7">
        <w:rPr>
          <w:rFonts w:asciiTheme="majorHAnsi" w:hAnsiTheme="majorHAnsi" w:cstheme="majorHAnsi"/>
          <w:sz w:val="28"/>
          <w:szCs w:val="28"/>
          <w:lang w:val="ro-MD"/>
        </w:rPr>
        <w:t xml:space="preserve"> angajat i se vor atribui indicatori de performanță, în baza cărora vor fi evaluați.</w:t>
      </w:r>
    </w:p>
    <w:p w:rsidR="002B0C1F" w:rsidRPr="009A4BF7" w:rsidRDefault="002B0C1F" w:rsidP="00243401">
      <w:pPr>
        <w:spacing w:after="0"/>
        <w:jc w:val="both"/>
        <w:rPr>
          <w:rFonts w:asciiTheme="majorHAnsi" w:hAnsiTheme="majorHAnsi" w:cstheme="majorHAnsi"/>
          <w:sz w:val="28"/>
          <w:szCs w:val="28"/>
          <w:lang w:val="ro-MD"/>
        </w:rPr>
      </w:pPr>
    </w:p>
    <w:p w:rsidR="002B0C1F" w:rsidRPr="00C347EB" w:rsidRDefault="00DF1DAF" w:rsidP="00B72C3E">
      <w:pPr>
        <w:spacing w:after="0"/>
        <w:outlineLvl w:val="0"/>
        <w:rPr>
          <w:rFonts w:asciiTheme="majorHAnsi" w:hAnsiTheme="majorHAnsi" w:cstheme="majorHAnsi"/>
          <w:b/>
          <w:sz w:val="28"/>
          <w:szCs w:val="28"/>
          <w:lang w:val="ro-MD"/>
        </w:rPr>
      </w:pPr>
      <w:bookmarkStart w:id="42" w:name="_Toc23259105"/>
      <w:r w:rsidRPr="009A4BF7">
        <w:rPr>
          <w:rFonts w:asciiTheme="majorHAnsi" w:hAnsiTheme="majorHAnsi" w:cstheme="majorHAnsi"/>
          <w:b/>
          <w:sz w:val="28"/>
          <w:szCs w:val="28"/>
          <w:lang w:val="ro-MD"/>
        </w:rPr>
        <w:t>4.3.1.2.</w:t>
      </w:r>
      <w:r w:rsidRPr="00C347EB">
        <w:rPr>
          <w:rFonts w:asciiTheme="majorHAnsi" w:hAnsiTheme="majorHAnsi" w:cstheme="majorHAnsi"/>
          <w:b/>
          <w:sz w:val="28"/>
          <w:szCs w:val="28"/>
          <w:lang w:val="ro-MD"/>
        </w:rPr>
        <w:t xml:space="preserve"> </w:t>
      </w:r>
      <w:r w:rsidR="002B0C1F" w:rsidRPr="009A4BF7">
        <w:rPr>
          <w:rFonts w:asciiTheme="majorHAnsi" w:eastAsia="Times New Roman" w:hAnsiTheme="majorHAnsi" w:cstheme="majorHAnsi"/>
          <w:b/>
          <w:sz w:val="28"/>
          <w:szCs w:val="28"/>
          <w:lang w:val="ro-MD" w:eastAsia="ro-RO"/>
        </w:rPr>
        <w:t>Acordarea sporului pentru performanță</w:t>
      </w:r>
      <w:r w:rsidR="00ED35AD" w:rsidRPr="009A4BF7">
        <w:rPr>
          <w:rFonts w:asciiTheme="majorHAnsi" w:eastAsia="Times New Roman" w:hAnsiTheme="majorHAnsi" w:cstheme="majorHAnsi"/>
          <w:b/>
          <w:sz w:val="28"/>
          <w:szCs w:val="28"/>
          <w:lang w:val="ro-MD" w:eastAsia="ro-RO"/>
        </w:rPr>
        <w:t xml:space="preserve"> individuală s-a efectuat în lipsa unor obiective stabilite pentru fiecare angajat</w:t>
      </w:r>
      <w:bookmarkEnd w:id="42"/>
      <w:r w:rsidR="00ED35AD" w:rsidRPr="009A4BF7">
        <w:rPr>
          <w:rFonts w:asciiTheme="majorHAnsi" w:eastAsia="Times New Roman" w:hAnsiTheme="majorHAnsi" w:cstheme="majorHAnsi"/>
          <w:b/>
          <w:sz w:val="28"/>
          <w:szCs w:val="28"/>
          <w:lang w:val="ro-MD" w:eastAsia="ro-RO"/>
        </w:rPr>
        <w:t xml:space="preserve"> </w:t>
      </w:r>
    </w:p>
    <w:p w:rsidR="002B0C1F" w:rsidRPr="009A4BF7" w:rsidRDefault="002B0C1F" w:rsidP="00B72C3E">
      <w:pPr>
        <w:pStyle w:val="ac"/>
        <w:ind w:left="0"/>
        <w:rPr>
          <w:rFonts w:asciiTheme="majorHAnsi" w:hAnsiTheme="majorHAnsi" w:cstheme="majorHAnsi"/>
          <w:b/>
          <w:szCs w:val="28"/>
          <w:lang w:val="ro-MD"/>
        </w:rPr>
      </w:pPr>
    </w:p>
    <w:p w:rsidR="002B0C1F" w:rsidRPr="002751FC" w:rsidRDefault="002737F0" w:rsidP="00B72C3E">
      <w:pPr>
        <w:pStyle w:val="ac"/>
        <w:ind w:left="0"/>
        <w:rPr>
          <w:rFonts w:asciiTheme="majorHAnsi" w:hAnsiTheme="majorHAnsi" w:cstheme="majorHAnsi"/>
          <w:szCs w:val="28"/>
          <w:lang w:val="ro-MD"/>
        </w:rPr>
      </w:pPr>
      <w:r>
        <w:rPr>
          <w:rFonts w:asciiTheme="majorHAnsi" w:hAnsiTheme="majorHAnsi" w:cstheme="majorHAnsi"/>
          <w:szCs w:val="28"/>
          <w:lang w:val="ro-MD"/>
        </w:rPr>
        <w:t>A</w:t>
      </w:r>
      <w:r w:rsidR="002B0C1F" w:rsidRPr="002737F0">
        <w:rPr>
          <w:rFonts w:asciiTheme="majorHAnsi" w:hAnsiTheme="majorHAnsi" w:cstheme="majorHAnsi"/>
          <w:szCs w:val="28"/>
          <w:lang w:val="ro-MD"/>
        </w:rPr>
        <w:t>naliza conformității acordării sporului pentru performa</w:t>
      </w:r>
      <w:r w:rsidR="00554F6B" w:rsidRPr="002737F0">
        <w:rPr>
          <w:rFonts w:asciiTheme="majorHAnsi" w:hAnsiTheme="majorHAnsi" w:cstheme="majorHAnsi"/>
          <w:szCs w:val="28"/>
          <w:lang w:val="ro-MD"/>
        </w:rPr>
        <w:t>n</w:t>
      </w:r>
      <w:r w:rsidR="002B0C1F" w:rsidRPr="002737F0">
        <w:rPr>
          <w:rFonts w:asciiTheme="majorHAnsi" w:hAnsiTheme="majorHAnsi" w:cstheme="majorHAnsi"/>
          <w:szCs w:val="28"/>
          <w:lang w:val="ro-MD"/>
        </w:rPr>
        <w:t xml:space="preserve">ța individuală a </w:t>
      </w:r>
      <w:r>
        <w:rPr>
          <w:rFonts w:asciiTheme="majorHAnsi" w:hAnsiTheme="majorHAnsi" w:cstheme="majorHAnsi"/>
          <w:szCs w:val="28"/>
          <w:lang w:val="ro-MD"/>
        </w:rPr>
        <w:t>relevat</w:t>
      </w:r>
      <w:r w:rsidRPr="002737F0">
        <w:rPr>
          <w:rFonts w:asciiTheme="majorHAnsi" w:hAnsiTheme="majorHAnsi" w:cstheme="majorHAnsi"/>
          <w:szCs w:val="28"/>
          <w:lang w:val="ro-MD"/>
        </w:rPr>
        <w:t xml:space="preserve"> </w:t>
      </w:r>
      <w:r w:rsidR="002B0C1F" w:rsidRPr="002737F0">
        <w:rPr>
          <w:rFonts w:asciiTheme="majorHAnsi" w:hAnsiTheme="majorHAnsi" w:cstheme="majorHAnsi"/>
          <w:szCs w:val="28"/>
          <w:lang w:val="ro-MD"/>
        </w:rPr>
        <w:t xml:space="preserve">că acesta a fost acordat în lipsa unor obiective stabilite. Astfel, deși pct.9 din capitolul VII „Sporul pentru performanța individuală” din Regulamentul intern al ONVV stipulează expres că </w:t>
      </w:r>
      <w:r w:rsidR="002B0C1F" w:rsidRPr="00C347EB">
        <w:rPr>
          <w:rFonts w:asciiTheme="majorHAnsi" w:hAnsiTheme="majorHAnsi" w:cstheme="majorHAnsi"/>
          <w:i/>
          <w:szCs w:val="28"/>
          <w:lang w:val="ro-MD"/>
        </w:rPr>
        <w:t>„în planul anual de acțiuni ..</w:t>
      </w:r>
      <w:r w:rsidR="00554F6B" w:rsidRPr="00C347EB">
        <w:rPr>
          <w:rFonts w:asciiTheme="majorHAnsi" w:hAnsiTheme="majorHAnsi" w:cstheme="majorHAnsi"/>
          <w:i/>
          <w:szCs w:val="28"/>
          <w:lang w:val="ro-MD"/>
        </w:rPr>
        <w:t xml:space="preserve">. la nivel </w:t>
      </w:r>
      <w:r w:rsidR="002B0C1F" w:rsidRPr="00C347EB">
        <w:rPr>
          <w:rFonts w:asciiTheme="majorHAnsi" w:hAnsiTheme="majorHAnsi" w:cstheme="majorHAnsi"/>
          <w:i/>
          <w:szCs w:val="28"/>
          <w:lang w:val="ro-MD"/>
        </w:rPr>
        <w:t xml:space="preserve">de angajat se stabilesc obiectivele, pentru fiecare obiectiv se stabilesc acțiuni, </w:t>
      </w:r>
      <w:proofErr w:type="spellStart"/>
      <w:r w:rsidR="002B0C1F" w:rsidRPr="00C347EB">
        <w:rPr>
          <w:rFonts w:asciiTheme="majorHAnsi" w:hAnsiTheme="majorHAnsi" w:cstheme="majorHAnsi"/>
          <w:i/>
          <w:szCs w:val="28"/>
          <w:lang w:val="ro-MD"/>
        </w:rPr>
        <w:t>subacțiuni</w:t>
      </w:r>
      <w:proofErr w:type="spellEnd"/>
      <w:r w:rsidR="002B0C1F" w:rsidRPr="00C347EB">
        <w:rPr>
          <w:rFonts w:asciiTheme="majorHAnsi" w:hAnsiTheme="majorHAnsi" w:cstheme="majorHAnsi"/>
          <w:i/>
          <w:szCs w:val="28"/>
          <w:lang w:val="ro-MD"/>
        </w:rPr>
        <w:t>, indicatori de produs/rezultate, precum și termenele de realizare indicate pe trimestre”</w:t>
      </w:r>
      <w:r w:rsidR="002B0C1F" w:rsidRPr="002751FC">
        <w:rPr>
          <w:rFonts w:asciiTheme="majorHAnsi" w:hAnsiTheme="majorHAnsi" w:cstheme="majorHAnsi"/>
          <w:szCs w:val="28"/>
          <w:lang w:val="ro-MD"/>
        </w:rPr>
        <w:t xml:space="preserve">, acest lucru nu a fost realizat integral. Probele de audit </w:t>
      </w:r>
      <w:r>
        <w:rPr>
          <w:rFonts w:asciiTheme="majorHAnsi" w:hAnsiTheme="majorHAnsi" w:cstheme="majorHAnsi"/>
          <w:szCs w:val="28"/>
          <w:lang w:val="ro-MD"/>
        </w:rPr>
        <w:t>denotă</w:t>
      </w:r>
      <w:r w:rsidR="002B0C1F" w:rsidRPr="002751FC">
        <w:rPr>
          <w:rFonts w:asciiTheme="majorHAnsi" w:hAnsiTheme="majorHAnsi" w:cstheme="majorHAnsi"/>
          <w:szCs w:val="28"/>
          <w:lang w:val="ro-MD"/>
        </w:rPr>
        <w:t xml:space="preserve"> că Planurile individuale de implementare a acțiunilor în anul 2018 nu includ obiective, în acest</w:t>
      </w:r>
      <w:r>
        <w:rPr>
          <w:rFonts w:asciiTheme="majorHAnsi" w:hAnsiTheme="majorHAnsi" w:cstheme="majorHAnsi"/>
          <w:szCs w:val="28"/>
          <w:lang w:val="ro-MD"/>
        </w:rPr>
        <w:t>ea</w:t>
      </w:r>
      <w:r w:rsidR="002B0C1F" w:rsidRPr="002751FC">
        <w:rPr>
          <w:rFonts w:asciiTheme="majorHAnsi" w:hAnsiTheme="majorHAnsi" w:cstheme="majorHAnsi"/>
          <w:szCs w:val="28"/>
          <w:lang w:val="ro-MD"/>
        </w:rPr>
        <w:t xml:space="preserve"> fiind incluse doar acțiunile (măsurile pentru realizare), </w:t>
      </w:r>
      <w:r w:rsidR="0096305C" w:rsidRPr="002751FC">
        <w:rPr>
          <w:rFonts w:asciiTheme="majorHAnsi" w:hAnsiTheme="majorHAnsi" w:cstheme="majorHAnsi"/>
          <w:szCs w:val="28"/>
          <w:lang w:val="ro-MD"/>
        </w:rPr>
        <w:t>repartizate</w:t>
      </w:r>
      <w:r w:rsidR="002B0C1F" w:rsidRPr="002751FC">
        <w:rPr>
          <w:rFonts w:asciiTheme="majorHAnsi" w:hAnsiTheme="majorHAnsi" w:cstheme="majorHAnsi"/>
          <w:szCs w:val="28"/>
          <w:lang w:val="ro-MD"/>
        </w:rPr>
        <w:t xml:space="preserve"> pe luni. </w:t>
      </w:r>
    </w:p>
    <w:p w:rsidR="002B0C1F" w:rsidRPr="002751FC" w:rsidRDefault="002B0C1F" w:rsidP="00B72C3E">
      <w:pPr>
        <w:pStyle w:val="ac"/>
        <w:ind w:left="0"/>
        <w:rPr>
          <w:rFonts w:asciiTheme="majorHAnsi" w:hAnsiTheme="majorHAnsi" w:cstheme="majorHAnsi"/>
          <w:szCs w:val="28"/>
          <w:lang w:val="ro-MD"/>
        </w:rPr>
      </w:pPr>
    </w:p>
    <w:p w:rsidR="002B0C1F" w:rsidRPr="002751FC" w:rsidRDefault="002B0C1F" w:rsidP="00B72C3E">
      <w:pPr>
        <w:pStyle w:val="ac"/>
        <w:ind w:left="0"/>
        <w:rPr>
          <w:rFonts w:asciiTheme="majorHAnsi" w:hAnsiTheme="majorHAnsi" w:cstheme="majorHAnsi"/>
          <w:szCs w:val="28"/>
          <w:lang w:val="ro-MD"/>
        </w:rPr>
      </w:pPr>
      <w:r w:rsidRPr="002751FC">
        <w:rPr>
          <w:rFonts w:asciiTheme="majorHAnsi" w:hAnsiTheme="majorHAnsi" w:cstheme="majorHAnsi"/>
          <w:szCs w:val="28"/>
          <w:lang w:val="ro-MD"/>
        </w:rPr>
        <w:t>Totodată, Fișa de evaluare a angajatului nu include nivelul de realizare a obiectivelor, ci doar evaluarea competențelor acestuia, care sunt prezentate ca obiective: (obiectivul 1) asigurarea unui niv</w:t>
      </w:r>
      <w:r w:rsidR="00D70EC6" w:rsidRPr="002751FC">
        <w:rPr>
          <w:rFonts w:asciiTheme="majorHAnsi" w:hAnsiTheme="majorHAnsi" w:cstheme="majorHAnsi"/>
          <w:szCs w:val="28"/>
          <w:lang w:val="ro-MD"/>
        </w:rPr>
        <w:t>el de profesionalism în cadrul exercitării atribuțiilor</w:t>
      </w:r>
      <w:r w:rsidRPr="002751FC">
        <w:rPr>
          <w:rFonts w:asciiTheme="majorHAnsi" w:hAnsiTheme="majorHAnsi" w:cstheme="majorHAnsi"/>
          <w:szCs w:val="28"/>
          <w:lang w:val="ro-MD"/>
        </w:rPr>
        <w:t xml:space="preserve"> de serviciu</w:t>
      </w:r>
      <w:r w:rsidRPr="002751FC">
        <w:rPr>
          <w:rStyle w:val="ab"/>
          <w:rFonts w:asciiTheme="majorHAnsi" w:hAnsiTheme="majorHAnsi" w:cstheme="majorHAnsi"/>
          <w:szCs w:val="28"/>
          <w:lang w:val="ro-MD"/>
        </w:rPr>
        <w:footnoteReference w:id="50"/>
      </w:r>
      <w:r w:rsidRPr="002751FC">
        <w:rPr>
          <w:rFonts w:asciiTheme="majorHAnsi" w:hAnsiTheme="majorHAnsi" w:cstheme="majorHAnsi"/>
          <w:szCs w:val="28"/>
          <w:lang w:val="ro-MD"/>
        </w:rPr>
        <w:t xml:space="preserve">, (obiectivul 2) asigurarea unei atitudini </w:t>
      </w:r>
      <w:proofErr w:type="spellStart"/>
      <w:r w:rsidRPr="002751FC">
        <w:rPr>
          <w:rFonts w:asciiTheme="majorHAnsi" w:hAnsiTheme="majorHAnsi" w:cstheme="majorHAnsi"/>
          <w:szCs w:val="28"/>
          <w:lang w:val="ro-MD"/>
        </w:rPr>
        <w:t>proactive</w:t>
      </w:r>
      <w:proofErr w:type="spellEnd"/>
      <w:r w:rsidRPr="002751FC">
        <w:rPr>
          <w:rFonts w:asciiTheme="majorHAnsi" w:hAnsiTheme="majorHAnsi" w:cstheme="majorHAnsi"/>
          <w:szCs w:val="28"/>
          <w:lang w:val="ro-MD"/>
        </w:rPr>
        <w:t xml:space="preserve"> în cadrul exercitării atribuțiilor de </w:t>
      </w:r>
      <w:r w:rsidRPr="002751FC">
        <w:rPr>
          <w:rFonts w:asciiTheme="majorHAnsi" w:hAnsiTheme="majorHAnsi" w:cstheme="majorHAnsi"/>
          <w:szCs w:val="28"/>
          <w:lang w:val="ro-MD"/>
        </w:rPr>
        <w:lastRenderedPageBreak/>
        <w:t>serviciu</w:t>
      </w:r>
      <w:r w:rsidRPr="002751FC">
        <w:rPr>
          <w:rStyle w:val="ab"/>
          <w:rFonts w:asciiTheme="majorHAnsi" w:hAnsiTheme="majorHAnsi" w:cstheme="majorHAnsi"/>
          <w:szCs w:val="28"/>
          <w:lang w:val="ro-MD"/>
        </w:rPr>
        <w:footnoteReference w:id="51"/>
      </w:r>
      <w:r w:rsidRPr="002751FC">
        <w:rPr>
          <w:rFonts w:asciiTheme="majorHAnsi" w:hAnsiTheme="majorHAnsi" w:cstheme="majorHAnsi"/>
          <w:szCs w:val="28"/>
          <w:lang w:val="ro-MD"/>
        </w:rPr>
        <w:t>, (obiectivul 3) a</w:t>
      </w:r>
      <w:r w:rsidR="00D70EC6" w:rsidRPr="002751FC">
        <w:rPr>
          <w:rFonts w:asciiTheme="majorHAnsi" w:hAnsiTheme="majorHAnsi" w:cstheme="majorHAnsi"/>
          <w:szCs w:val="28"/>
          <w:lang w:val="ro-MD"/>
        </w:rPr>
        <w:t>sigurarea unei comu</w:t>
      </w:r>
      <w:r w:rsidRPr="002751FC">
        <w:rPr>
          <w:rFonts w:asciiTheme="majorHAnsi" w:hAnsiTheme="majorHAnsi" w:cstheme="majorHAnsi"/>
          <w:szCs w:val="28"/>
          <w:lang w:val="ro-MD"/>
        </w:rPr>
        <w:t>nicări și conlucră</w:t>
      </w:r>
      <w:r w:rsidR="00D70EC6" w:rsidRPr="002751FC">
        <w:rPr>
          <w:rFonts w:asciiTheme="majorHAnsi" w:hAnsiTheme="majorHAnsi" w:cstheme="majorHAnsi"/>
          <w:szCs w:val="28"/>
          <w:lang w:val="ro-MD"/>
        </w:rPr>
        <w:t>ri eficiente cu conducerea</w:t>
      </w:r>
      <w:r w:rsidRPr="002751FC">
        <w:rPr>
          <w:rFonts w:asciiTheme="majorHAnsi" w:hAnsiTheme="majorHAnsi" w:cstheme="majorHAnsi"/>
          <w:szCs w:val="28"/>
          <w:lang w:val="ro-MD"/>
        </w:rPr>
        <w:t>, colegii și persoanele cu care interacționează în cadrul exercitării atribuțiilor de serviciu</w:t>
      </w:r>
      <w:r w:rsidRPr="002751FC">
        <w:rPr>
          <w:rStyle w:val="ab"/>
          <w:rFonts w:asciiTheme="majorHAnsi" w:hAnsiTheme="majorHAnsi" w:cstheme="majorHAnsi"/>
          <w:szCs w:val="28"/>
          <w:lang w:val="ro-MD"/>
        </w:rPr>
        <w:footnoteReference w:id="52"/>
      </w:r>
      <w:r w:rsidRPr="002751FC">
        <w:rPr>
          <w:rFonts w:asciiTheme="majorHAnsi" w:hAnsiTheme="majorHAnsi" w:cstheme="majorHAnsi"/>
          <w:szCs w:val="28"/>
          <w:lang w:val="ro-MD"/>
        </w:rPr>
        <w:t>. Astfel, prin Fișele de evaluare nu au fost evaluate performanțele individuale ale angajaților prin prisma realizării obiectivelor și indicatorilor de produs/rezultat, ci au fost evaluate calitățile personale și profesionale ale acestora.</w:t>
      </w:r>
    </w:p>
    <w:p w:rsidR="002B0C1F" w:rsidRPr="002751FC" w:rsidRDefault="002B0C1F" w:rsidP="00B72C3E">
      <w:pPr>
        <w:pStyle w:val="ac"/>
        <w:ind w:left="567"/>
        <w:rPr>
          <w:rFonts w:asciiTheme="majorHAnsi" w:hAnsiTheme="majorHAnsi" w:cstheme="majorHAnsi"/>
          <w:szCs w:val="28"/>
          <w:lang w:val="ro-MD"/>
        </w:rPr>
      </w:pPr>
    </w:p>
    <w:p w:rsidR="002B0C1F" w:rsidRPr="002751FC" w:rsidRDefault="002B0C1F" w:rsidP="00B72C3E">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De asemenea, analiza evaluării realizării de către ONVV a Planurilor </w:t>
      </w:r>
      <w:r w:rsidR="00D70EC6" w:rsidRPr="002751FC">
        <w:rPr>
          <w:rFonts w:asciiTheme="majorHAnsi" w:hAnsiTheme="majorHAnsi" w:cstheme="majorHAnsi"/>
          <w:sz w:val="28"/>
          <w:szCs w:val="28"/>
          <w:lang w:val="ro-MD"/>
        </w:rPr>
        <w:t>individuale</w:t>
      </w:r>
      <w:r w:rsidRPr="002751FC">
        <w:rPr>
          <w:rFonts w:asciiTheme="majorHAnsi" w:hAnsiTheme="majorHAnsi" w:cstheme="majorHAnsi"/>
          <w:sz w:val="28"/>
          <w:szCs w:val="28"/>
          <w:lang w:val="ro-MD"/>
        </w:rPr>
        <w:t xml:space="preserve"> ale angajaților pentru anul 2018 a </w:t>
      </w:r>
      <w:r w:rsidR="00302AF1">
        <w:rPr>
          <w:rFonts w:asciiTheme="majorHAnsi" w:hAnsiTheme="majorHAnsi" w:cstheme="majorHAnsi"/>
          <w:sz w:val="28"/>
          <w:szCs w:val="28"/>
          <w:lang w:val="ro-MD"/>
        </w:rPr>
        <w:t>evidențiat</w:t>
      </w:r>
      <w:r w:rsidR="00302AF1"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 xml:space="preserve">că unele măsuri din acestea nu au fost </w:t>
      </w:r>
      <w:r w:rsidR="00016C66" w:rsidRPr="002751FC">
        <w:rPr>
          <w:rFonts w:asciiTheme="majorHAnsi" w:hAnsiTheme="majorHAnsi" w:cstheme="majorHAnsi"/>
          <w:sz w:val="28"/>
          <w:szCs w:val="28"/>
          <w:lang w:val="ro-MD"/>
        </w:rPr>
        <w:t>îndeplinite</w:t>
      </w:r>
      <w:r w:rsidRPr="002751FC">
        <w:rPr>
          <w:rFonts w:asciiTheme="majorHAnsi" w:hAnsiTheme="majorHAnsi" w:cstheme="majorHAnsi"/>
          <w:sz w:val="28"/>
          <w:szCs w:val="28"/>
          <w:lang w:val="ro-MD"/>
        </w:rPr>
        <w:t xml:space="preserve">. </w:t>
      </w:r>
      <w:r w:rsidR="00D70EC6" w:rsidRPr="002751FC">
        <w:rPr>
          <w:rFonts w:asciiTheme="majorHAnsi" w:hAnsiTheme="majorHAnsi" w:cstheme="majorHAnsi"/>
          <w:sz w:val="28"/>
          <w:szCs w:val="28"/>
          <w:lang w:val="ro-MD"/>
        </w:rPr>
        <w:t>În acest sens,</w:t>
      </w:r>
      <w:r w:rsidRPr="002751FC">
        <w:rPr>
          <w:rFonts w:asciiTheme="majorHAnsi" w:hAnsiTheme="majorHAnsi" w:cstheme="majorHAnsi"/>
          <w:sz w:val="28"/>
          <w:szCs w:val="28"/>
          <w:lang w:val="ro-MD"/>
        </w:rPr>
        <w:t xml:space="preserve"> contrapunerea evaluării realizării măsurilor din Planurile individuale cu Fișele de evaluare a relevat că, deși expertul (B2B) nu a realizat 4 m</w:t>
      </w:r>
      <w:r w:rsidR="00016C66" w:rsidRPr="002751FC">
        <w:rPr>
          <w:rFonts w:asciiTheme="majorHAnsi" w:hAnsiTheme="majorHAnsi" w:cstheme="majorHAnsi"/>
          <w:sz w:val="28"/>
          <w:szCs w:val="28"/>
          <w:lang w:val="ro-MD"/>
        </w:rPr>
        <w:t>ă</w:t>
      </w:r>
      <w:r w:rsidRPr="002751FC">
        <w:rPr>
          <w:rFonts w:asciiTheme="majorHAnsi" w:hAnsiTheme="majorHAnsi" w:cstheme="majorHAnsi"/>
          <w:sz w:val="28"/>
          <w:szCs w:val="28"/>
          <w:lang w:val="ro-MD"/>
        </w:rPr>
        <w:t xml:space="preserve">suri </w:t>
      </w:r>
      <w:r w:rsidR="00D70EC6" w:rsidRPr="002751FC">
        <w:rPr>
          <w:rFonts w:asciiTheme="majorHAnsi" w:hAnsiTheme="majorHAnsi" w:cstheme="majorHAnsi"/>
          <w:sz w:val="28"/>
          <w:szCs w:val="28"/>
          <w:lang w:val="ro-MD"/>
        </w:rPr>
        <w:t xml:space="preserve">din cele 16 aprobate, acesta a </w:t>
      </w:r>
      <w:r w:rsidRPr="002751FC">
        <w:rPr>
          <w:rFonts w:asciiTheme="majorHAnsi" w:hAnsiTheme="majorHAnsi" w:cstheme="majorHAnsi"/>
          <w:sz w:val="28"/>
          <w:szCs w:val="28"/>
          <w:lang w:val="ro-MD"/>
        </w:rPr>
        <w:t xml:space="preserve">fost evaluat cu „foarte bine”. De asemenea, menționăm că Fișele de evaluare poartă un caracter formal, ceea ce </w:t>
      </w:r>
      <w:r w:rsidR="00D70EC6" w:rsidRPr="002751FC">
        <w:rPr>
          <w:rFonts w:asciiTheme="majorHAnsi" w:hAnsiTheme="majorHAnsi" w:cstheme="majorHAnsi"/>
          <w:sz w:val="28"/>
          <w:szCs w:val="28"/>
          <w:lang w:val="ro-MD"/>
        </w:rPr>
        <w:t>reiese</w:t>
      </w:r>
      <w:r w:rsidRPr="002751FC">
        <w:rPr>
          <w:rFonts w:asciiTheme="majorHAnsi" w:hAnsiTheme="majorHAnsi" w:cstheme="majorHAnsi"/>
          <w:sz w:val="28"/>
          <w:szCs w:val="28"/>
          <w:lang w:val="ro-MD"/>
        </w:rPr>
        <w:t xml:space="preserve"> din faptul că</w:t>
      </w:r>
      <w:r w:rsidR="00016C66"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la stabilirea punctajului pentru „</w:t>
      </w:r>
      <w:proofErr w:type="spellStart"/>
      <w:r w:rsidRPr="002751FC">
        <w:rPr>
          <w:rFonts w:asciiTheme="majorHAnsi" w:hAnsiTheme="majorHAnsi" w:cstheme="majorHAnsi"/>
          <w:sz w:val="28"/>
          <w:szCs w:val="28"/>
          <w:lang w:val="ro-MD"/>
        </w:rPr>
        <w:t>subobiective</w:t>
      </w:r>
      <w:proofErr w:type="spellEnd"/>
      <w:r w:rsidRPr="002751FC">
        <w:rPr>
          <w:rFonts w:asciiTheme="majorHAnsi" w:hAnsiTheme="majorHAnsi" w:cstheme="majorHAnsi"/>
          <w:sz w:val="28"/>
          <w:szCs w:val="28"/>
          <w:lang w:val="ro-MD"/>
        </w:rPr>
        <w:t>”, nu s-a ținut cont de prevederile pct.15 din Capitolul VI „Spor pentru performanța individuală” din Regulamentul intern</w:t>
      </w:r>
      <w:r w:rsidRPr="002751FC">
        <w:rPr>
          <w:rStyle w:val="ab"/>
          <w:rFonts w:asciiTheme="majorHAnsi" w:hAnsiTheme="majorHAnsi" w:cstheme="majorHAnsi"/>
          <w:sz w:val="28"/>
          <w:szCs w:val="28"/>
          <w:lang w:val="ro-MD"/>
        </w:rPr>
        <w:footnoteReference w:id="53"/>
      </w:r>
      <w:r w:rsidRPr="002751FC">
        <w:rPr>
          <w:rFonts w:asciiTheme="majorHAnsi" w:hAnsiTheme="majorHAnsi" w:cstheme="majorHAnsi"/>
          <w:sz w:val="28"/>
          <w:szCs w:val="28"/>
          <w:lang w:val="ro-MD"/>
        </w:rPr>
        <w:t xml:space="preserve">, </w:t>
      </w:r>
      <w:r w:rsidR="00D70EC6" w:rsidRPr="002751FC">
        <w:rPr>
          <w:rFonts w:asciiTheme="majorHAnsi" w:hAnsiTheme="majorHAnsi" w:cstheme="majorHAnsi"/>
          <w:sz w:val="28"/>
          <w:szCs w:val="28"/>
          <w:lang w:val="ro-MD"/>
        </w:rPr>
        <w:t>evaluând</w:t>
      </w:r>
      <w:r w:rsidRPr="002751FC">
        <w:rPr>
          <w:rFonts w:asciiTheme="majorHAnsi" w:hAnsiTheme="majorHAnsi" w:cstheme="majorHAnsi"/>
          <w:sz w:val="28"/>
          <w:szCs w:val="28"/>
          <w:lang w:val="ro-MD"/>
        </w:rPr>
        <w:t xml:space="preserve"> realizarea „</w:t>
      </w:r>
      <w:proofErr w:type="spellStart"/>
      <w:r w:rsidRPr="002751FC">
        <w:rPr>
          <w:rFonts w:asciiTheme="majorHAnsi" w:hAnsiTheme="majorHAnsi" w:cstheme="majorHAnsi"/>
          <w:sz w:val="28"/>
          <w:szCs w:val="28"/>
          <w:lang w:val="ro-MD"/>
        </w:rPr>
        <w:t>subobiectivelor</w:t>
      </w:r>
      <w:proofErr w:type="spellEnd"/>
      <w:r w:rsidRPr="002751FC">
        <w:rPr>
          <w:rFonts w:asciiTheme="majorHAnsi" w:hAnsiTheme="majorHAnsi" w:cstheme="majorHAnsi"/>
          <w:sz w:val="28"/>
          <w:szCs w:val="28"/>
          <w:lang w:val="ro-MD"/>
        </w:rPr>
        <w:t xml:space="preserve"> din obiectivul 2”</w:t>
      </w:r>
      <w:r w:rsidRPr="002751FC">
        <w:rPr>
          <w:rStyle w:val="ab"/>
          <w:rFonts w:asciiTheme="majorHAnsi" w:hAnsiTheme="majorHAnsi" w:cstheme="majorHAnsi"/>
          <w:sz w:val="28"/>
          <w:szCs w:val="28"/>
          <w:lang w:val="ro-MD"/>
        </w:rPr>
        <w:footnoteReference w:id="54"/>
      </w:r>
      <w:r w:rsidRPr="002751FC">
        <w:rPr>
          <w:rFonts w:asciiTheme="majorHAnsi" w:hAnsiTheme="majorHAnsi" w:cstheme="majorHAnsi"/>
          <w:sz w:val="28"/>
          <w:szCs w:val="28"/>
          <w:lang w:val="ro-MD"/>
        </w:rPr>
        <w:t xml:space="preserve"> cu 1,5 puncte. Totodată</w:t>
      </w:r>
      <w:r w:rsidR="00016C66"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în toate fișele de evaluare nu este calculat punctajul total acumulat pentru 3 „obiective”, iar în rubric</w:t>
      </w:r>
      <w:r w:rsidR="00D70EC6" w:rsidRPr="002751FC">
        <w:rPr>
          <w:rFonts w:asciiTheme="majorHAnsi" w:hAnsiTheme="majorHAnsi" w:cstheme="majorHAnsi"/>
          <w:sz w:val="28"/>
          <w:szCs w:val="28"/>
          <w:lang w:val="ro-MD"/>
        </w:rPr>
        <w:t>i</w:t>
      </w:r>
      <w:r w:rsidRPr="002751FC">
        <w:rPr>
          <w:rFonts w:asciiTheme="majorHAnsi" w:hAnsiTheme="majorHAnsi" w:cstheme="majorHAnsi"/>
          <w:sz w:val="28"/>
          <w:szCs w:val="28"/>
          <w:lang w:val="ro-MD"/>
        </w:rPr>
        <w:t xml:space="preserve">le „Evaluator” și „Contrasemnatar” nu este indicat numele și prenumele persoanelor care au evaluat </w:t>
      </w:r>
      <w:r w:rsidR="00D70EC6" w:rsidRPr="002751FC">
        <w:rPr>
          <w:rFonts w:asciiTheme="majorHAnsi" w:hAnsiTheme="majorHAnsi" w:cstheme="majorHAnsi"/>
          <w:sz w:val="28"/>
          <w:szCs w:val="28"/>
          <w:lang w:val="ro-MD"/>
        </w:rPr>
        <w:t>ş</w:t>
      </w:r>
      <w:r w:rsidRPr="002751FC">
        <w:rPr>
          <w:rFonts w:asciiTheme="majorHAnsi" w:hAnsiTheme="majorHAnsi" w:cstheme="majorHAnsi"/>
          <w:sz w:val="28"/>
          <w:szCs w:val="28"/>
          <w:lang w:val="ro-MD"/>
        </w:rPr>
        <w:t xml:space="preserve">i contrasemnat Fișa de evaluare, </w:t>
      </w:r>
      <w:r w:rsidR="00016C66" w:rsidRPr="002751FC">
        <w:rPr>
          <w:rFonts w:asciiTheme="majorHAnsi" w:hAnsiTheme="majorHAnsi" w:cstheme="majorHAnsi"/>
          <w:sz w:val="28"/>
          <w:szCs w:val="28"/>
          <w:lang w:val="ro-MD"/>
        </w:rPr>
        <w:t>acestea</w:t>
      </w:r>
      <w:r w:rsidRPr="002751FC">
        <w:rPr>
          <w:rFonts w:asciiTheme="majorHAnsi" w:hAnsiTheme="majorHAnsi" w:cstheme="majorHAnsi"/>
          <w:sz w:val="28"/>
          <w:szCs w:val="28"/>
          <w:lang w:val="ro-MD"/>
        </w:rPr>
        <w:t xml:space="preserve"> nefiind semnate de contrasemnatar.</w:t>
      </w:r>
    </w:p>
    <w:p w:rsidR="002B0C1F" w:rsidRPr="002751FC" w:rsidRDefault="002B0C1F" w:rsidP="00B72C3E">
      <w:pPr>
        <w:spacing w:after="0"/>
        <w:jc w:val="both"/>
        <w:rPr>
          <w:rFonts w:asciiTheme="majorHAnsi" w:hAnsiTheme="majorHAnsi" w:cstheme="majorHAnsi"/>
          <w:b/>
          <w:sz w:val="28"/>
          <w:szCs w:val="28"/>
          <w:lang w:val="ro-MD"/>
        </w:rPr>
      </w:pPr>
      <w:r w:rsidRPr="002751FC">
        <w:rPr>
          <w:rFonts w:asciiTheme="majorHAnsi" w:hAnsiTheme="majorHAnsi" w:cstheme="majorHAnsi"/>
          <w:sz w:val="28"/>
          <w:szCs w:val="28"/>
          <w:lang w:val="ro-MD"/>
        </w:rPr>
        <w:t>Conform evaluărilor efectuate de ONVV, toți angajați</w:t>
      </w:r>
      <w:r w:rsidR="00016C66" w:rsidRPr="002751FC">
        <w:rPr>
          <w:rFonts w:asciiTheme="majorHAnsi" w:hAnsiTheme="majorHAnsi" w:cstheme="majorHAnsi"/>
          <w:sz w:val="28"/>
          <w:szCs w:val="28"/>
          <w:lang w:val="ro-MD"/>
        </w:rPr>
        <w:t>i</w:t>
      </w:r>
      <w:r w:rsidRPr="002751FC">
        <w:rPr>
          <w:rFonts w:asciiTheme="majorHAnsi" w:hAnsiTheme="majorHAnsi" w:cstheme="majorHAnsi"/>
          <w:sz w:val="28"/>
          <w:szCs w:val="28"/>
          <w:lang w:val="ro-MD"/>
        </w:rPr>
        <w:t xml:space="preserve"> s-au încadrat în calificativul „b</w:t>
      </w:r>
      <w:r w:rsidR="00D70EC6" w:rsidRPr="002751FC">
        <w:rPr>
          <w:rFonts w:asciiTheme="majorHAnsi" w:hAnsiTheme="majorHAnsi" w:cstheme="majorHAnsi"/>
          <w:sz w:val="28"/>
          <w:szCs w:val="28"/>
          <w:lang w:val="ro-MD"/>
        </w:rPr>
        <w:t>i</w:t>
      </w:r>
      <w:r w:rsidRPr="002751FC">
        <w:rPr>
          <w:rFonts w:asciiTheme="majorHAnsi" w:hAnsiTheme="majorHAnsi" w:cstheme="majorHAnsi"/>
          <w:sz w:val="28"/>
          <w:szCs w:val="28"/>
          <w:lang w:val="ro-MD"/>
        </w:rPr>
        <w:t>ne” și „foarte bine”</w:t>
      </w:r>
      <w:r w:rsidR="00302AF1">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w:t>
      </w:r>
      <w:r w:rsidR="00302AF1">
        <w:rPr>
          <w:rFonts w:asciiTheme="majorHAnsi" w:hAnsiTheme="majorHAnsi" w:cstheme="majorHAnsi"/>
          <w:sz w:val="28"/>
          <w:szCs w:val="28"/>
          <w:lang w:val="ro-MD"/>
        </w:rPr>
        <w:t>A</w:t>
      </w:r>
      <w:r w:rsidRPr="002751FC">
        <w:rPr>
          <w:rFonts w:asciiTheme="majorHAnsi" w:hAnsiTheme="majorHAnsi" w:cstheme="majorHAnsi"/>
          <w:sz w:val="28"/>
          <w:szCs w:val="28"/>
          <w:lang w:val="ro-MD"/>
        </w:rPr>
        <w:t xml:space="preserve">stfel, în anul 2018, valoarea sporului pentru performanța individuală, achitat nejustificat în lipsa unor </w:t>
      </w:r>
      <w:r w:rsidR="00D70EC6" w:rsidRPr="002751FC">
        <w:rPr>
          <w:rFonts w:asciiTheme="majorHAnsi" w:hAnsiTheme="majorHAnsi" w:cstheme="majorHAnsi"/>
          <w:sz w:val="28"/>
          <w:szCs w:val="28"/>
          <w:lang w:val="ro-MD"/>
        </w:rPr>
        <w:t>evaluări</w:t>
      </w:r>
      <w:r w:rsidRPr="002751FC">
        <w:rPr>
          <w:rFonts w:asciiTheme="majorHAnsi" w:hAnsiTheme="majorHAnsi" w:cstheme="majorHAnsi"/>
          <w:sz w:val="28"/>
          <w:szCs w:val="28"/>
          <w:lang w:val="ro-MD"/>
        </w:rPr>
        <w:t xml:space="preserve"> realiste, a constituit </w:t>
      </w:r>
      <w:r w:rsidRPr="002751FC">
        <w:rPr>
          <w:rFonts w:asciiTheme="majorHAnsi" w:hAnsiTheme="majorHAnsi" w:cstheme="majorHAnsi"/>
          <w:b/>
          <w:sz w:val="28"/>
          <w:szCs w:val="28"/>
          <w:lang w:val="ro-MD"/>
        </w:rPr>
        <w:t xml:space="preserve">0,4 </w:t>
      </w:r>
      <w:proofErr w:type="spellStart"/>
      <w:r w:rsidRPr="002751FC">
        <w:rPr>
          <w:rFonts w:asciiTheme="majorHAnsi" w:hAnsiTheme="majorHAnsi" w:cstheme="majorHAnsi"/>
          <w:b/>
          <w:sz w:val="28"/>
          <w:szCs w:val="28"/>
          <w:lang w:val="ro-MD"/>
        </w:rPr>
        <w:t>mil.MDL</w:t>
      </w:r>
      <w:proofErr w:type="spellEnd"/>
      <w:r w:rsidRPr="002751FC">
        <w:rPr>
          <w:rFonts w:asciiTheme="majorHAnsi" w:hAnsiTheme="majorHAnsi" w:cstheme="majorHAnsi"/>
          <w:b/>
          <w:sz w:val="28"/>
          <w:szCs w:val="28"/>
          <w:lang w:val="ro-MD"/>
        </w:rPr>
        <w:t xml:space="preserve"> MDL. </w:t>
      </w:r>
    </w:p>
    <w:p w:rsidR="00D70EC6" w:rsidRPr="002751FC" w:rsidRDefault="00D70EC6" w:rsidP="00B72C3E">
      <w:pPr>
        <w:spacing w:after="0"/>
        <w:jc w:val="both"/>
        <w:rPr>
          <w:rFonts w:asciiTheme="majorHAnsi" w:hAnsiTheme="majorHAnsi" w:cstheme="majorHAnsi"/>
          <w:b/>
          <w:sz w:val="28"/>
          <w:szCs w:val="28"/>
          <w:lang w:val="ro-MD"/>
        </w:rPr>
      </w:pPr>
    </w:p>
    <w:p w:rsidR="002B0C1F" w:rsidRPr="002751FC" w:rsidRDefault="002B0C1F" w:rsidP="00B72C3E">
      <w:pPr>
        <w:pStyle w:val="ac"/>
        <w:numPr>
          <w:ilvl w:val="2"/>
          <w:numId w:val="15"/>
        </w:numPr>
        <w:ind w:left="0" w:firstLine="0"/>
        <w:outlineLvl w:val="0"/>
        <w:rPr>
          <w:rFonts w:asciiTheme="majorHAnsi" w:hAnsiTheme="majorHAnsi" w:cstheme="majorHAnsi"/>
          <w:b/>
          <w:szCs w:val="28"/>
          <w:lang w:val="ro-MD"/>
        </w:rPr>
      </w:pPr>
      <w:bookmarkStart w:id="43" w:name="_Toc23259106"/>
      <w:r w:rsidRPr="002751FC">
        <w:rPr>
          <w:rFonts w:asciiTheme="majorHAnsi" w:hAnsiTheme="majorHAnsi" w:cstheme="majorHAnsi"/>
          <w:b/>
          <w:szCs w:val="28"/>
          <w:lang w:val="ro-MD"/>
        </w:rPr>
        <w:t>ONVV nu respectă normele regulatorii la emiterea ordinelor cu privire la retribuirea muncii salariaților</w:t>
      </w:r>
      <w:bookmarkEnd w:id="43"/>
    </w:p>
    <w:p w:rsidR="002B0C1F" w:rsidRPr="002751FC" w:rsidRDefault="002B0C1F" w:rsidP="00B72C3E">
      <w:pPr>
        <w:pStyle w:val="ac"/>
        <w:rPr>
          <w:rFonts w:asciiTheme="majorHAnsi" w:hAnsiTheme="majorHAnsi" w:cstheme="majorHAnsi"/>
          <w:szCs w:val="28"/>
          <w:lang w:val="ro-MD"/>
        </w:rPr>
      </w:pPr>
    </w:p>
    <w:p w:rsidR="002B0C1F" w:rsidRPr="002751FC" w:rsidRDefault="002B0C1F" w:rsidP="00B72C3E">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De menționat că ONVV nu a respectat prevederile Regulamentului intern și cadrului regulator</w:t>
      </w:r>
      <w:r w:rsidRPr="002751FC">
        <w:rPr>
          <w:rStyle w:val="ab"/>
          <w:rFonts w:asciiTheme="majorHAnsi" w:hAnsiTheme="majorHAnsi" w:cstheme="majorHAnsi"/>
          <w:sz w:val="28"/>
          <w:szCs w:val="28"/>
          <w:lang w:val="ro-MD"/>
        </w:rPr>
        <w:footnoteReference w:id="55"/>
      </w:r>
      <w:r w:rsidRPr="002751FC">
        <w:rPr>
          <w:rFonts w:asciiTheme="majorHAnsi" w:hAnsiTheme="majorHAnsi" w:cstheme="majorHAnsi"/>
          <w:sz w:val="28"/>
          <w:szCs w:val="28"/>
          <w:lang w:val="ro-MD"/>
        </w:rPr>
        <w:t xml:space="preserve"> care stipulează expres că „</w:t>
      </w:r>
      <w:r w:rsidRPr="002751FC">
        <w:rPr>
          <w:rFonts w:asciiTheme="majorHAnsi" w:hAnsiTheme="majorHAnsi" w:cstheme="majorHAnsi"/>
          <w:i/>
          <w:sz w:val="28"/>
          <w:szCs w:val="28"/>
          <w:lang w:val="ro-MD"/>
        </w:rPr>
        <w:t xml:space="preserve">în lipsa directorului, </w:t>
      </w:r>
      <w:r w:rsidR="00494D50" w:rsidRPr="002751FC">
        <w:rPr>
          <w:rFonts w:asciiTheme="majorHAnsi" w:hAnsiTheme="majorHAnsi" w:cstheme="majorHAnsi"/>
          <w:i/>
          <w:sz w:val="28"/>
          <w:szCs w:val="28"/>
          <w:lang w:val="ro-MD"/>
        </w:rPr>
        <w:t>funcțiile</w:t>
      </w:r>
      <w:r w:rsidRPr="002751FC">
        <w:rPr>
          <w:rFonts w:asciiTheme="majorHAnsi" w:hAnsiTheme="majorHAnsi" w:cstheme="majorHAnsi"/>
          <w:i/>
          <w:sz w:val="28"/>
          <w:szCs w:val="28"/>
          <w:lang w:val="ro-MD"/>
        </w:rPr>
        <w:t xml:space="preserve"> acestuia sunt exercitate de directorul adjunct desemnat prin ordinul directorului</w:t>
      </w:r>
      <w:r w:rsidRPr="002751FC">
        <w:rPr>
          <w:rFonts w:asciiTheme="majorHAnsi" w:hAnsiTheme="majorHAnsi" w:cstheme="majorHAnsi"/>
          <w:sz w:val="28"/>
          <w:szCs w:val="28"/>
          <w:lang w:val="ro-MD"/>
        </w:rPr>
        <w:t>”.</w:t>
      </w:r>
      <w:r w:rsidR="00494D50"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 xml:space="preserve">Astfel, ordinul de </w:t>
      </w:r>
      <w:r w:rsidRPr="002751FC">
        <w:rPr>
          <w:rFonts w:asciiTheme="majorHAnsi" w:hAnsiTheme="majorHAnsi" w:cstheme="majorHAnsi"/>
          <w:sz w:val="28"/>
          <w:szCs w:val="28"/>
          <w:lang w:val="ro-MD"/>
        </w:rPr>
        <w:lastRenderedPageBreak/>
        <w:t xml:space="preserve">acordare a sporului pentru munca peste normele stabilite, pentru munca eficientă și inventivitate, executare exemplară și conștiincioasă a atribuțiilor de serviciu pentru luna ianuarie 2018 (0,039 </w:t>
      </w:r>
      <w:proofErr w:type="spellStart"/>
      <w:r w:rsidRPr="002751FC">
        <w:rPr>
          <w:rFonts w:asciiTheme="majorHAnsi" w:hAnsiTheme="majorHAnsi" w:cstheme="majorHAnsi"/>
          <w:sz w:val="28"/>
          <w:szCs w:val="28"/>
          <w:lang w:val="ro-MD"/>
        </w:rPr>
        <w:t>mil.MDL</w:t>
      </w:r>
      <w:proofErr w:type="spellEnd"/>
      <w:r w:rsidRPr="002751FC">
        <w:rPr>
          <w:rStyle w:val="ab"/>
          <w:rFonts w:asciiTheme="majorHAnsi" w:hAnsiTheme="majorHAnsi" w:cstheme="majorHAnsi"/>
          <w:sz w:val="28"/>
          <w:szCs w:val="28"/>
          <w:lang w:val="ro-MD"/>
        </w:rPr>
        <w:footnoteReference w:id="56"/>
      </w:r>
      <w:r w:rsidRPr="002751FC">
        <w:rPr>
          <w:rFonts w:asciiTheme="majorHAnsi" w:hAnsiTheme="majorHAnsi" w:cstheme="majorHAnsi"/>
          <w:sz w:val="28"/>
          <w:szCs w:val="28"/>
          <w:lang w:val="ro-MD"/>
        </w:rPr>
        <w:t xml:space="preserve">) a fost semnat de adjunctul ONVV în lipsa unui ordin emis de conducătorul ONVV. Mai mult </w:t>
      </w:r>
      <w:r w:rsidR="00016C66" w:rsidRPr="002751FC">
        <w:rPr>
          <w:rFonts w:asciiTheme="majorHAnsi" w:hAnsiTheme="majorHAnsi" w:cstheme="majorHAnsi"/>
          <w:sz w:val="28"/>
          <w:szCs w:val="28"/>
          <w:lang w:val="ro-MD"/>
        </w:rPr>
        <w:t>dec</w:t>
      </w:r>
      <w:r w:rsidR="00EB49D9" w:rsidRPr="002751FC">
        <w:rPr>
          <w:rFonts w:asciiTheme="majorHAnsi" w:hAnsiTheme="majorHAnsi" w:cstheme="majorHAnsi"/>
          <w:sz w:val="28"/>
          <w:szCs w:val="28"/>
          <w:lang w:val="ro-MD"/>
        </w:rPr>
        <w:t>â</w:t>
      </w:r>
      <w:r w:rsidR="00016C66" w:rsidRPr="002751FC">
        <w:rPr>
          <w:rFonts w:asciiTheme="majorHAnsi" w:hAnsiTheme="majorHAnsi" w:cstheme="majorHAnsi"/>
          <w:sz w:val="28"/>
          <w:szCs w:val="28"/>
          <w:lang w:val="ro-MD"/>
        </w:rPr>
        <w:t>t</w:t>
      </w:r>
      <w:r w:rsidRPr="002751FC">
        <w:rPr>
          <w:rFonts w:asciiTheme="majorHAnsi" w:hAnsiTheme="majorHAnsi" w:cstheme="majorHAnsi"/>
          <w:sz w:val="28"/>
          <w:szCs w:val="28"/>
          <w:lang w:val="ro-MD"/>
        </w:rPr>
        <w:t xml:space="preserve"> </w:t>
      </w:r>
      <w:r w:rsidR="009571E6" w:rsidRPr="002751FC">
        <w:rPr>
          <w:rFonts w:asciiTheme="majorHAnsi" w:hAnsiTheme="majorHAnsi" w:cstheme="majorHAnsi"/>
          <w:sz w:val="28"/>
          <w:szCs w:val="28"/>
          <w:lang w:val="ro-MD"/>
        </w:rPr>
        <w:t>atât</w:t>
      </w:r>
      <w:r w:rsidRPr="002751FC">
        <w:rPr>
          <w:rFonts w:asciiTheme="majorHAnsi" w:hAnsiTheme="majorHAnsi" w:cstheme="majorHAnsi"/>
          <w:sz w:val="28"/>
          <w:szCs w:val="28"/>
          <w:lang w:val="ro-MD"/>
        </w:rPr>
        <w:t>, conform Fișelor de pontaj, în data semnării ordinului de către adjunct,</w:t>
      </w:r>
      <w:r w:rsidR="00B74B2B"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 xml:space="preserve">conducătorul ONVV </w:t>
      </w:r>
      <w:r w:rsidR="004B77C9" w:rsidRPr="002751FC">
        <w:rPr>
          <w:rFonts w:asciiTheme="majorHAnsi" w:hAnsiTheme="majorHAnsi" w:cstheme="majorHAnsi"/>
          <w:sz w:val="28"/>
          <w:szCs w:val="28"/>
          <w:lang w:val="ro-MD"/>
        </w:rPr>
        <w:t>era</w:t>
      </w:r>
      <w:r w:rsidRPr="002751FC">
        <w:rPr>
          <w:rFonts w:asciiTheme="majorHAnsi" w:hAnsiTheme="majorHAnsi" w:cstheme="majorHAnsi"/>
          <w:sz w:val="28"/>
          <w:szCs w:val="28"/>
          <w:lang w:val="ro-MD"/>
        </w:rPr>
        <w:t xml:space="preserve"> </w:t>
      </w:r>
      <w:r w:rsidR="00B74B2B" w:rsidRPr="002751FC">
        <w:rPr>
          <w:rFonts w:asciiTheme="majorHAnsi" w:hAnsiTheme="majorHAnsi" w:cstheme="majorHAnsi"/>
          <w:sz w:val="28"/>
          <w:szCs w:val="28"/>
          <w:lang w:val="ro-MD"/>
        </w:rPr>
        <w:t>la serviciu</w:t>
      </w:r>
      <w:r w:rsidRPr="002751FC">
        <w:rPr>
          <w:rFonts w:asciiTheme="majorHAnsi" w:hAnsiTheme="majorHAnsi" w:cstheme="majorHAnsi"/>
          <w:sz w:val="28"/>
          <w:szCs w:val="28"/>
          <w:lang w:val="ro-MD"/>
        </w:rPr>
        <w:t>, astfel atest</w:t>
      </w:r>
      <w:r w:rsidR="00016C66" w:rsidRPr="002751FC">
        <w:rPr>
          <w:rFonts w:asciiTheme="majorHAnsi" w:hAnsiTheme="majorHAnsi" w:cstheme="majorHAnsi"/>
          <w:sz w:val="28"/>
          <w:szCs w:val="28"/>
          <w:lang w:val="ro-MD"/>
        </w:rPr>
        <w:t>ându-se</w:t>
      </w:r>
      <w:r w:rsidRPr="002751FC">
        <w:rPr>
          <w:rFonts w:asciiTheme="majorHAnsi" w:hAnsiTheme="majorHAnsi" w:cstheme="majorHAnsi"/>
          <w:sz w:val="28"/>
          <w:szCs w:val="28"/>
          <w:lang w:val="ro-MD"/>
        </w:rPr>
        <w:t xml:space="preserve"> depășirea atribuțiilor de către adjunctul ONVV. </w:t>
      </w:r>
    </w:p>
    <w:p w:rsidR="00CD0BF4" w:rsidRPr="002751FC" w:rsidRDefault="00CD0BF4" w:rsidP="00B72C3E">
      <w:pPr>
        <w:spacing w:after="0"/>
        <w:jc w:val="both"/>
        <w:rPr>
          <w:rFonts w:asciiTheme="majorHAnsi" w:hAnsiTheme="majorHAnsi" w:cstheme="majorHAnsi"/>
          <w:sz w:val="28"/>
          <w:szCs w:val="28"/>
          <w:lang w:val="ro-MD"/>
        </w:rPr>
      </w:pPr>
    </w:p>
    <w:p w:rsidR="002B0C1F" w:rsidRPr="002751FC" w:rsidRDefault="002B0C1F" w:rsidP="00B72C3E">
      <w:pPr>
        <w:pStyle w:val="ac"/>
        <w:ind w:left="0"/>
        <w:rPr>
          <w:rFonts w:asciiTheme="majorHAnsi" w:hAnsiTheme="majorHAnsi" w:cstheme="majorHAnsi"/>
          <w:szCs w:val="28"/>
          <w:lang w:val="ro-MD"/>
        </w:rPr>
      </w:pPr>
      <w:r w:rsidRPr="002751FC">
        <w:rPr>
          <w:rFonts w:asciiTheme="majorHAnsi" w:hAnsiTheme="majorHAnsi" w:cstheme="majorHAnsi"/>
          <w:szCs w:val="28"/>
          <w:lang w:val="ro-MD"/>
        </w:rPr>
        <w:t>O altă situați</w:t>
      </w:r>
      <w:r w:rsidR="00B74B2B" w:rsidRPr="002751FC">
        <w:rPr>
          <w:rFonts w:asciiTheme="majorHAnsi" w:hAnsiTheme="majorHAnsi" w:cstheme="majorHAnsi"/>
          <w:szCs w:val="28"/>
          <w:lang w:val="ro-MD"/>
        </w:rPr>
        <w:t>e</w:t>
      </w:r>
      <w:r w:rsidRPr="002751FC">
        <w:rPr>
          <w:rFonts w:asciiTheme="majorHAnsi" w:hAnsiTheme="majorHAnsi" w:cstheme="majorHAnsi"/>
          <w:szCs w:val="28"/>
          <w:lang w:val="ro-MD"/>
        </w:rPr>
        <w:t xml:space="preserve"> se atestă la emiterea ordinului pentru </w:t>
      </w:r>
      <w:r w:rsidR="00B74B2B" w:rsidRPr="002751FC">
        <w:rPr>
          <w:rFonts w:asciiTheme="majorHAnsi" w:hAnsiTheme="majorHAnsi" w:cstheme="majorHAnsi"/>
          <w:szCs w:val="28"/>
          <w:lang w:val="ro-MD"/>
        </w:rPr>
        <w:t>stabilirea regimului de</w:t>
      </w:r>
      <w:r w:rsidRPr="002751FC">
        <w:rPr>
          <w:rFonts w:asciiTheme="majorHAnsi" w:hAnsiTheme="majorHAnsi" w:cstheme="majorHAnsi"/>
          <w:szCs w:val="28"/>
          <w:lang w:val="ro-MD"/>
        </w:rPr>
        <w:t xml:space="preserve"> munc</w:t>
      </w:r>
      <w:r w:rsidR="00B74B2B" w:rsidRPr="002751FC">
        <w:rPr>
          <w:rFonts w:asciiTheme="majorHAnsi" w:hAnsiTheme="majorHAnsi" w:cstheme="majorHAnsi"/>
          <w:szCs w:val="28"/>
          <w:lang w:val="ro-MD"/>
        </w:rPr>
        <w:t>ă</w:t>
      </w:r>
      <w:r w:rsidRPr="002751FC">
        <w:rPr>
          <w:rFonts w:asciiTheme="majorHAnsi" w:hAnsiTheme="majorHAnsi" w:cstheme="majorHAnsi"/>
          <w:szCs w:val="28"/>
          <w:lang w:val="ro-MD"/>
        </w:rPr>
        <w:t xml:space="preserve"> redusă de 7 ore</w:t>
      </w:r>
      <w:r w:rsidR="00B74B2B" w:rsidRPr="002751FC">
        <w:rPr>
          <w:rFonts w:asciiTheme="majorHAnsi" w:hAnsiTheme="majorHAnsi" w:cstheme="majorHAnsi"/>
          <w:szCs w:val="28"/>
          <w:lang w:val="ro-MD"/>
        </w:rPr>
        <w:t xml:space="preserve"> unui angajat</w:t>
      </w:r>
      <w:r w:rsidRPr="002751FC">
        <w:rPr>
          <w:rFonts w:asciiTheme="majorHAnsi" w:hAnsiTheme="majorHAnsi" w:cstheme="majorHAnsi"/>
          <w:szCs w:val="28"/>
          <w:lang w:val="ro-MD"/>
        </w:rPr>
        <w:t>, ordinul fiind semnat de directorul ONVV la 06.08.2018</w:t>
      </w:r>
      <w:r w:rsidR="00B74B2B" w:rsidRPr="002751FC">
        <w:rPr>
          <w:rFonts w:asciiTheme="majorHAnsi" w:hAnsiTheme="majorHAnsi" w:cstheme="majorHAnsi"/>
          <w:szCs w:val="28"/>
          <w:lang w:val="ro-MD"/>
        </w:rPr>
        <w:t xml:space="preserve">, </w:t>
      </w:r>
      <w:r w:rsidRPr="002751FC">
        <w:rPr>
          <w:rFonts w:asciiTheme="majorHAnsi" w:hAnsiTheme="majorHAnsi" w:cstheme="majorHAnsi"/>
          <w:szCs w:val="28"/>
          <w:lang w:val="ro-MD"/>
        </w:rPr>
        <w:t>deși, conform fisei de pontaj și ordinului MADRM</w:t>
      </w:r>
      <w:r w:rsidR="00B74B2B" w:rsidRPr="002751FC">
        <w:rPr>
          <w:rStyle w:val="ab"/>
          <w:rFonts w:asciiTheme="majorHAnsi" w:hAnsiTheme="majorHAnsi" w:cstheme="majorHAnsi"/>
          <w:szCs w:val="28"/>
          <w:lang w:val="ro-MD"/>
        </w:rPr>
        <w:footnoteReference w:id="57"/>
      </w:r>
      <w:r w:rsidR="004B77C9" w:rsidRPr="002751FC">
        <w:rPr>
          <w:rFonts w:asciiTheme="majorHAnsi" w:hAnsiTheme="majorHAnsi" w:cstheme="majorHAnsi"/>
          <w:szCs w:val="28"/>
          <w:lang w:val="ro-MD"/>
        </w:rPr>
        <w:t>,</w:t>
      </w:r>
      <w:r w:rsidRPr="002751FC">
        <w:rPr>
          <w:rFonts w:asciiTheme="majorHAnsi" w:hAnsiTheme="majorHAnsi" w:cstheme="majorHAnsi"/>
          <w:szCs w:val="28"/>
          <w:lang w:val="ro-MD"/>
        </w:rPr>
        <w:t xml:space="preserve"> acesta se afla în concediu anual, dreptul de semnare a ordinelor fiind transmis directorului adjunct.</w:t>
      </w:r>
    </w:p>
    <w:p w:rsidR="002B0C1F" w:rsidRPr="002751FC" w:rsidRDefault="002B0C1F" w:rsidP="00B72C3E">
      <w:pPr>
        <w:pStyle w:val="ac"/>
        <w:ind w:left="0"/>
        <w:rPr>
          <w:rFonts w:asciiTheme="majorHAnsi" w:hAnsiTheme="majorHAnsi" w:cstheme="majorHAnsi"/>
          <w:szCs w:val="28"/>
          <w:lang w:val="ro-MD"/>
        </w:rPr>
      </w:pPr>
    </w:p>
    <w:p w:rsidR="002B0C1F" w:rsidRPr="002751FC" w:rsidRDefault="002B0C1F" w:rsidP="00B72C3E">
      <w:pPr>
        <w:pStyle w:val="ac"/>
        <w:numPr>
          <w:ilvl w:val="2"/>
          <w:numId w:val="15"/>
        </w:numPr>
        <w:tabs>
          <w:tab w:val="left" w:pos="426"/>
        </w:tabs>
        <w:ind w:left="0" w:firstLine="0"/>
        <w:outlineLvl w:val="0"/>
        <w:rPr>
          <w:rFonts w:asciiTheme="majorHAnsi" w:hAnsiTheme="majorHAnsi" w:cstheme="majorHAnsi"/>
          <w:b/>
          <w:szCs w:val="28"/>
          <w:lang w:val="ro-MD"/>
        </w:rPr>
      </w:pPr>
      <w:bookmarkStart w:id="44" w:name="_Toc23259107"/>
      <w:r w:rsidRPr="002751FC">
        <w:rPr>
          <w:rFonts w:asciiTheme="majorHAnsi" w:hAnsiTheme="majorHAnsi" w:cstheme="majorHAnsi"/>
          <w:b/>
          <w:szCs w:val="28"/>
          <w:lang w:val="ro-MD"/>
        </w:rPr>
        <w:t>ONVV nu are o abordare unică în selectarea și angajarea salariaților</w:t>
      </w:r>
      <w:bookmarkEnd w:id="44"/>
    </w:p>
    <w:p w:rsidR="002B0C1F" w:rsidRPr="002751FC" w:rsidRDefault="002B0C1F" w:rsidP="00B72C3E">
      <w:pPr>
        <w:tabs>
          <w:tab w:val="left" w:pos="426"/>
        </w:tabs>
        <w:spacing w:after="0"/>
        <w:rPr>
          <w:rFonts w:asciiTheme="majorHAnsi" w:hAnsiTheme="majorHAnsi" w:cstheme="majorHAnsi"/>
          <w:sz w:val="28"/>
          <w:szCs w:val="28"/>
          <w:lang w:val="ro-MD"/>
        </w:rPr>
      </w:pPr>
    </w:p>
    <w:p w:rsidR="002B0C1F" w:rsidRPr="002751FC" w:rsidRDefault="002B0C1F" w:rsidP="00B72C3E">
      <w:pPr>
        <w:tabs>
          <w:tab w:val="left" w:pos="426"/>
        </w:tabs>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Deși în atribuțiile Directorului ONVV</w:t>
      </w:r>
      <w:r w:rsidRPr="002751FC">
        <w:rPr>
          <w:rStyle w:val="ab"/>
          <w:rFonts w:asciiTheme="majorHAnsi" w:hAnsiTheme="majorHAnsi" w:cstheme="majorHAnsi"/>
          <w:sz w:val="28"/>
          <w:szCs w:val="28"/>
          <w:lang w:val="ro-MD"/>
        </w:rPr>
        <w:footnoteReference w:id="58"/>
      </w:r>
      <w:r w:rsidRPr="002751FC">
        <w:rPr>
          <w:rFonts w:asciiTheme="majorHAnsi" w:hAnsiTheme="majorHAnsi" w:cstheme="majorHAnsi"/>
          <w:sz w:val="28"/>
          <w:szCs w:val="28"/>
          <w:lang w:val="ro-MD"/>
        </w:rPr>
        <w:t xml:space="preserve"> </w:t>
      </w:r>
      <w:r w:rsidR="004B77C9" w:rsidRPr="002751FC">
        <w:rPr>
          <w:rFonts w:asciiTheme="majorHAnsi" w:hAnsiTheme="majorHAnsi" w:cstheme="majorHAnsi"/>
          <w:sz w:val="28"/>
          <w:szCs w:val="28"/>
          <w:lang w:val="ro-MD"/>
        </w:rPr>
        <w:t>i</w:t>
      </w:r>
      <w:r w:rsidRPr="002751FC">
        <w:rPr>
          <w:rFonts w:asciiTheme="majorHAnsi" w:hAnsiTheme="majorHAnsi" w:cstheme="majorHAnsi"/>
          <w:sz w:val="28"/>
          <w:szCs w:val="28"/>
          <w:lang w:val="ro-MD"/>
        </w:rPr>
        <w:t>ntră selectarea candidaților pentru angajare și numirea lor în funcție, aceste servicii au fost externalizate unui agent economic</w:t>
      </w:r>
      <w:r w:rsidRPr="002751FC">
        <w:rPr>
          <w:rStyle w:val="ab"/>
          <w:rFonts w:asciiTheme="majorHAnsi" w:hAnsiTheme="majorHAnsi" w:cstheme="majorHAnsi"/>
          <w:sz w:val="28"/>
          <w:szCs w:val="28"/>
          <w:lang w:val="ro-MD"/>
        </w:rPr>
        <w:footnoteReference w:id="59"/>
      </w:r>
      <w:r w:rsidRPr="002751FC">
        <w:rPr>
          <w:rFonts w:asciiTheme="majorHAnsi" w:hAnsiTheme="majorHAnsi" w:cstheme="majorHAnsi"/>
          <w:sz w:val="28"/>
          <w:szCs w:val="28"/>
          <w:lang w:val="ro-MD"/>
        </w:rPr>
        <w:t xml:space="preserve">, care pentru serviciile de </w:t>
      </w:r>
      <w:proofErr w:type="spellStart"/>
      <w:r w:rsidRPr="002751FC">
        <w:rPr>
          <w:rFonts w:asciiTheme="majorHAnsi" w:hAnsiTheme="majorHAnsi" w:cstheme="majorHAnsi"/>
          <w:sz w:val="28"/>
          <w:szCs w:val="28"/>
          <w:lang w:val="ro-MD"/>
        </w:rPr>
        <w:t>recruting</w:t>
      </w:r>
      <w:proofErr w:type="spellEnd"/>
      <w:r w:rsidRPr="002751FC">
        <w:rPr>
          <w:rFonts w:asciiTheme="majorHAnsi" w:hAnsiTheme="majorHAnsi" w:cstheme="majorHAnsi"/>
          <w:sz w:val="28"/>
          <w:szCs w:val="28"/>
          <w:lang w:val="ro-MD"/>
        </w:rPr>
        <w:t xml:space="preserve"> a solicitat un salariu de bază a</w:t>
      </w:r>
      <w:r w:rsidR="004B77C9" w:rsidRPr="002751FC">
        <w:rPr>
          <w:rFonts w:asciiTheme="majorHAnsi" w:hAnsiTheme="majorHAnsi" w:cstheme="majorHAnsi"/>
          <w:sz w:val="28"/>
          <w:szCs w:val="28"/>
          <w:lang w:val="ro-MD"/>
        </w:rPr>
        <w:t>l</w:t>
      </w:r>
      <w:r w:rsidRPr="002751FC">
        <w:rPr>
          <w:rFonts w:asciiTheme="majorHAnsi" w:hAnsiTheme="majorHAnsi" w:cstheme="majorHAnsi"/>
          <w:sz w:val="28"/>
          <w:szCs w:val="28"/>
          <w:lang w:val="ro-MD"/>
        </w:rPr>
        <w:t xml:space="preserve"> funcției pentru care recrutează personal. Astfel, în anul 2018, pentru servicii</w:t>
      </w:r>
      <w:r w:rsidR="004B77C9" w:rsidRPr="002751FC">
        <w:rPr>
          <w:rFonts w:asciiTheme="majorHAnsi" w:hAnsiTheme="majorHAnsi" w:cstheme="majorHAnsi"/>
          <w:sz w:val="28"/>
          <w:szCs w:val="28"/>
          <w:lang w:val="ro-MD"/>
        </w:rPr>
        <w:t>le</w:t>
      </w:r>
      <w:r w:rsidRPr="002751FC">
        <w:rPr>
          <w:rFonts w:asciiTheme="majorHAnsi" w:hAnsiTheme="majorHAnsi" w:cstheme="majorHAnsi"/>
          <w:sz w:val="28"/>
          <w:szCs w:val="28"/>
          <w:lang w:val="ro-MD"/>
        </w:rPr>
        <w:t xml:space="preserve"> externalizate de recrutare au fost cheltuite </w:t>
      </w:r>
      <w:r w:rsidRPr="002751FC">
        <w:rPr>
          <w:rFonts w:asciiTheme="majorHAnsi" w:hAnsiTheme="majorHAnsi" w:cstheme="majorHAnsi"/>
          <w:b/>
          <w:sz w:val="28"/>
          <w:szCs w:val="28"/>
          <w:lang w:val="ro-MD"/>
        </w:rPr>
        <w:t>0,0</w:t>
      </w:r>
      <w:r w:rsidR="00550B85" w:rsidRPr="002751FC">
        <w:rPr>
          <w:rFonts w:asciiTheme="majorHAnsi" w:hAnsiTheme="majorHAnsi" w:cstheme="majorHAnsi"/>
          <w:b/>
          <w:sz w:val="28"/>
          <w:szCs w:val="28"/>
          <w:lang w:val="ro-MD"/>
        </w:rPr>
        <w:t>35</w:t>
      </w:r>
      <w:r w:rsidRPr="002751FC">
        <w:rPr>
          <w:rFonts w:asciiTheme="majorHAnsi" w:hAnsiTheme="majorHAnsi" w:cstheme="majorHAnsi"/>
          <w:sz w:val="28"/>
          <w:szCs w:val="28"/>
          <w:lang w:val="ro-MD"/>
        </w:rPr>
        <w:t xml:space="preserve"> </w:t>
      </w:r>
      <w:proofErr w:type="spellStart"/>
      <w:r w:rsidRPr="002751FC">
        <w:rPr>
          <w:rFonts w:asciiTheme="majorHAnsi" w:hAnsiTheme="majorHAnsi" w:cstheme="majorHAnsi"/>
          <w:b/>
          <w:sz w:val="28"/>
          <w:szCs w:val="28"/>
          <w:lang w:val="ro-MD"/>
        </w:rPr>
        <w:t>mil.MDL</w:t>
      </w:r>
      <w:proofErr w:type="spellEnd"/>
      <w:r w:rsidRPr="002751FC">
        <w:rPr>
          <w:rFonts w:asciiTheme="majorHAnsi" w:hAnsiTheme="majorHAnsi" w:cstheme="majorHAnsi"/>
          <w:sz w:val="28"/>
          <w:szCs w:val="28"/>
          <w:lang w:val="ro-MD"/>
        </w:rPr>
        <w:t>.</w:t>
      </w:r>
    </w:p>
    <w:p w:rsidR="00CD0BF4" w:rsidRPr="002751FC" w:rsidRDefault="00CD0BF4" w:rsidP="00B72C3E">
      <w:pPr>
        <w:tabs>
          <w:tab w:val="left" w:pos="426"/>
        </w:tabs>
        <w:spacing w:after="0"/>
        <w:jc w:val="both"/>
        <w:rPr>
          <w:rFonts w:asciiTheme="majorHAnsi" w:hAnsiTheme="majorHAnsi" w:cstheme="majorHAnsi"/>
          <w:sz w:val="28"/>
          <w:szCs w:val="28"/>
          <w:lang w:val="ro-MD"/>
        </w:rPr>
      </w:pPr>
    </w:p>
    <w:p w:rsidR="00E65A43" w:rsidRPr="002751FC" w:rsidRDefault="00550B85" w:rsidP="00B72C3E">
      <w:pPr>
        <w:tabs>
          <w:tab w:val="left" w:pos="426"/>
        </w:tabs>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Totodată, </w:t>
      </w:r>
      <w:r w:rsidR="00E65A43" w:rsidRPr="002751FC">
        <w:rPr>
          <w:rFonts w:asciiTheme="majorHAnsi" w:hAnsiTheme="majorHAnsi" w:cstheme="majorHAnsi"/>
          <w:sz w:val="28"/>
          <w:szCs w:val="28"/>
          <w:lang w:val="ro-MD"/>
        </w:rPr>
        <w:t>probele de audit denotă că, conform schemei de încadrare, ONVV are în state</w:t>
      </w:r>
      <w:r w:rsidR="004B77C9" w:rsidRPr="002751FC">
        <w:rPr>
          <w:rFonts w:asciiTheme="majorHAnsi" w:hAnsiTheme="majorHAnsi" w:cstheme="majorHAnsi"/>
          <w:sz w:val="28"/>
          <w:szCs w:val="28"/>
          <w:lang w:val="ro-MD"/>
        </w:rPr>
        <w:t>le</w:t>
      </w:r>
      <w:r w:rsidR="00E65A43" w:rsidRPr="002751FC">
        <w:rPr>
          <w:rFonts w:asciiTheme="majorHAnsi" w:hAnsiTheme="majorHAnsi" w:cstheme="majorHAnsi"/>
          <w:sz w:val="28"/>
          <w:szCs w:val="28"/>
          <w:lang w:val="ro-MD"/>
        </w:rPr>
        <w:t xml:space="preserve"> de personal o funcție de consultant juridic principal, în scopul </w:t>
      </w:r>
      <w:r w:rsidR="00CF2DB3" w:rsidRPr="002751FC">
        <w:rPr>
          <w:rFonts w:asciiTheme="majorHAnsi" w:hAnsiTheme="majorHAnsi" w:cstheme="majorHAnsi"/>
          <w:sz w:val="28"/>
          <w:szCs w:val="28"/>
          <w:lang w:val="ro-MD"/>
        </w:rPr>
        <w:t>minimizării acestor cheltuieli</w:t>
      </w:r>
      <w:r w:rsidR="00E65A43" w:rsidRPr="002751FC">
        <w:rPr>
          <w:rFonts w:asciiTheme="majorHAnsi" w:hAnsiTheme="majorHAnsi" w:cstheme="majorHAnsi"/>
          <w:sz w:val="28"/>
          <w:szCs w:val="28"/>
          <w:lang w:val="ro-MD"/>
        </w:rPr>
        <w:t xml:space="preserve">, căruia ar putea </w:t>
      </w:r>
      <w:r w:rsidR="004B77C9" w:rsidRPr="002751FC">
        <w:rPr>
          <w:rFonts w:asciiTheme="majorHAnsi" w:hAnsiTheme="majorHAnsi" w:cstheme="majorHAnsi"/>
          <w:sz w:val="28"/>
          <w:szCs w:val="28"/>
          <w:lang w:val="ro-MD"/>
        </w:rPr>
        <w:t xml:space="preserve">să-i </w:t>
      </w:r>
      <w:r w:rsidR="00E65A43" w:rsidRPr="002751FC">
        <w:rPr>
          <w:rFonts w:asciiTheme="majorHAnsi" w:hAnsiTheme="majorHAnsi" w:cstheme="majorHAnsi"/>
          <w:sz w:val="28"/>
          <w:szCs w:val="28"/>
          <w:lang w:val="ro-MD"/>
        </w:rPr>
        <w:t>fi</w:t>
      </w:r>
      <w:r w:rsidR="004B77C9" w:rsidRPr="002751FC">
        <w:rPr>
          <w:rFonts w:asciiTheme="majorHAnsi" w:hAnsiTheme="majorHAnsi" w:cstheme="majorHAnsi"/>
          <w:sz w:val="28"/>
          <w:szCs w:val="28"/>
          <w:lang w:val="ro-MD"/>
        </w:rPr>
        <w:t>e</w:t>
      </w:r>
      <w:r w:rsidR="00E65A43" w:rsidRPr="002751FC">
        <w:rPr>
          <w:rFonts w:asciiTheme="majorHAnsi" w:hAnsiTheme="majorHAnsi" w:cstheme="majorHAnsi"/>
          <w:sz w:val="28"/>
          <w:szCs w:val="28"/>
          <w:lang w:val="ro-MD"/>
        </w:rPr>
        <w:t xml:space="preserve"> delegată și sarcina de </w:t>
      </w:r>
      <w:r w:rsidR="004B77C9" w:rsidRPr="002751FC">
        <w:rPr>
          <w:rFonts w:asciiTheme="majorHAnsi" w:hAnsiTheme="majorHAnsi" w:cstheme="majorHAnsi"/>
          <w:sz w:val="28"/>
          <w:szCs w:val="28"/>
          <w:lang w:val="ro-MD"/>
        </w:rPr>
        <w:t>management al resurselor umane</w:t>
      </w:r>
      <w:r w:rsidR="00E65A43" w:rsidRPr="002751FC">
        <w:rPr>
          <w:rFonts w:asciiTheme="majorHAnsi" w:hAnsiTheme="majorHAnsi" w:cstheme="majorHAnsi"/>
          <w:sz w:val="28"/>
          <w:szCs w:val="28"/>
          <w:lang w:val="ro-MD"/>
        </w:rPr>
        <w:t>.</w:t>
      </w:r>
    </w:p>
    <w:p w:rsidR="00E65A43" w:rsidRPr="002751FC" w:rsidRDefault="00E65A43" w:rsidP="00B72C3E">
      <w:pPr>
        <w:tabs>
          <w:tab w:val="left" w:pos="426"/>
        </w:tabs>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Conform explicațiilor responsabililor de la ONVV, </w:t>
      </w:r>
      <w:r w:rsidR="00550B85" w:rsidRPr="002751FC">
        <w:rPr>
          <w:rFonts w:asciiTheme="majorHAnsi" w:hAnsiTheme="majorHAnsi" w:cstheme="majorHAnsi"/>
          <w:sz w:val="28"/>
          <w:szCs w:val="28"/>
          <w:lang w:val="ro-MD"/>
        </w:rPr>
        <w:t>d</w:t>
      </w:r>
      <w:r w:rsidRPr="002751FC">
        <w:rPr>
          <w:rFonts w:asciiTheme="majorHAnsi" w:hAnsiTheme="majorHAnsi" w:cstheme="majorHAnsi"/>
          <w:sz w:val="28"/>
          <w:szCs w:val="28"/>
          <w:lang w:val="ro-MD"/>
        </w:rPr>
        <w:t>irectorul deține atribuții statutare pentru selectarea candidaților în funcțiile vacante și numirea lor în funcție, iar compania care acordă servi</w:t>
      </w:r>
      <w:r w:rsidR="00550B85" w:rsidRPr="002751FC">
        <w:rPr>
          <w:rFonts w:asciiTheme="majorHAnsi" w:hAnsiTheme="majorHAnsi" w:cstheme="majorHAnsi"/>
          <w:sz w:val="28"/>
          <w:szCs w:val="28"/>
          <w:lang w:val="ro-MD"/>
        </w:rPr>
        <w:t>c</w:t>
      </w:r>
      <w:r w:rsidRPr="002751FC">
        <w:rPr>
          <w:rFonts w:asciiTheme="majorHAnsi" w:hAnsiTheme="majorHAnsi" w:cstheme="majorHAnsi"/>
          <w:sz w:val="28"/>
          <w:szCs w:val="28"/>
          <w:lang w:val="ro-MD"/>
        </w:rPr>
        <w:t xml:space="preserve">ii de </w:t>
      </w:r>
      <w:proofErr w:type="spellStart"/>
      <w:r w:rsidRPr="002751FC">
        <w:rPr>
          <w:rFonts w:asciiTheme="majorHAnsi" w:hAnsiTheme="majorHAnsi" w:cstheme="majorHAnsi"/>
          <w:sz w:val="28"/>
          <w:szCs w:val="28"/>
          <w:lang w:val="ro-MD"/>
        </w:rPr>
        <w:t>recruting</w:t>
      </w:r>
      <w:proofErr w:type="spellEnd"/>
      <w:r w:rsidRPr="002751FC">
        <w:rPr>
          <w:rFonts w:asciiTheme="majorHAnsi" w:hAnsiTheme="majorHAnsi" w:cstheme="majorHAnsi"/>
          <w:sz w:val="28"/>
          <w:szCs w:val="28"/>
          <w:lang w:val="ro-MD"/>
        </w:rPr>
        <w:t xml:space="preserve"> </w:t>
      </w:r>
      <w:r w:rsidR="00DC303A" w:rsidRPr="002751FC">
        <w:rPr>
          <w:rFonts w:asciiTheme="majorHAnsi" w:hAnsiTheme="majorHAnsi" w:cstheme="majorHAnsi"/>
          <w:sz w:val="28"/>
          <w:szCs w:val="28"/>
          <w:lang w:val="ro-MD"/>
        </w:rPr>
        <w:t xml:space="preserve">are </w:t>
      </w:r>
      <w:r w:rsidRPr="002751FC">
        <w:rPr>
          <w:rFonts w:asciiTheme="majorHAnsi" w:hAnsiTheme="majorHAnsi" w:cstheme="majorHAnsi"/>
          <w:sz w:val="28"/>
          <w:szCs w:val="28"/>
          <w:lang w:val="ro-MD"/>
        </w:rPr>
        <w:t xml:space="preserve">sarcina exclusivă de identificare/înaintare a propunerilor </w:t>
      </w:r>
      <w:r w:rsidR="00F45D84" w:rsidRPr="002751FC">
        <w:rPr>
          <w:rFonts w:asciiTheme="majorHAnsi" w:hAnsiTheme="majorHAnsi" w:cstheme="majorHAnsi"/>
          <w:sz w:val="28"/>
          <w:szCs w:val="28"/>
          <w:lang w:val="ro-MD"/>
        </w:rPr>
        <w:t xml:space="preserve">privind potențialii candidați. </w:t>
      </w:r>
      <w:r w:rsidR="00265D4A" w:rsidRPr="002751FC">
        <w:rPr>
          <w:rFonts w:asciiTheme="majorHAnsi" w:hAnsiTheme="majorHAnsi" w:cstheme="majorHAnsi"/>
          <w:sz w:val="28"/>
          <w:szCs w:val="28"/>
          <w:lang w:val="ro-MD"/>
        </w:rPr>
        <w:t xml:space="preserve">De </w:t>
      </w:r>
      <w:r w:rsidR="00550B85" w:rsidRPr="002751FC">
        <w:rPr>
          <w:rFonts w:asciiTheme="majorHAnsi" w:hAnsiTheme="majorHAnsi" w:cstheme="majorHAnsi"/>
          <w:sz w:val="28"/>
          <w:szCs w:val="28"/>
          <w:lang w:val="ro-MD"/>
        </w:rPr>
        <w:t>mențion</w:t>
      </w:r>
      <w:r w:rsidR="00265D4A" w:rsidRPr="002751FC">
        <w:rPr>
          <w:rFonts w:asciiTheme="majorHAnsi" w:hAnsiTheme="majorHAnsi" w:cstheme="majorHAnsi"/>
          <w:sz w:val="28"/>
          <w:szCs w:val="28"/>
          <w:lang w:val="ro-MD"/>
        </w:rPr>
        <w:t>at și faptul</w:t>
      </w:r>
      <w:r w:rsidR="00550B85" w:rsidRPr="002751FC">
        <w:rPr>
          <w:rFonts w:asciiTheme="majorHAnsi" w:hAnsiTheme="majorHAnsi" w:cstheme="majorHAnsi"/>
          <w:sz w:val="28"/>
          <w:szCs w:val="28"/>
          <w:lang w:val="ro-MD"/>
        </w:rPr>
        <w:t xml:space="preserve"> că</w:t>
      </w:r>
      <w:r w:rsidR="002D4A31" w:rsidRPr="002751FC">
        <w:rPr>
          <w:rFonts w:asciiTheme="majorHAnsi" w:hAnsiTheme="majorHAnsi" w:cstheme="majorHAnsi"/>
          <w:sz w:val="28"/>
          <w:szCs w:val="28"/>
          <w:lang w:val="ro-MD"/>
        </w:rPr>
        <w:t xml:space="preserve"> abia</w:t>
      </w:r>
      <w:r w:rsidRPr="002751FC">
        <w:rPr>
          <w:rFonts w:asciiTheme="majorHAnsi" w:hAnsiTheme="majorHAnsi" w:cstheme="majorHAnsi"/>
          <w:sz w:val="28"/>
          <w:szCs w:val="28"/>
          <w:lang w:val="ro-MD"/>
        </w:rPr>
        <w:t xml:space="preserve"> în anul 2019 ONVV a plasat informația privind angajarea în funcție (2 postu</w:t>
      </w:r>
      <w:r w:rsidR="002D4A31" w:rsidRPr="002751FC">
        <w:rPr>
          <w:rFonts w:asciiTheme="majorHAnsi" w:hAnsiTheme="majorHAnsi" w:cstheme="majorHAnsi"/>
          <w:sz w:val="28"/>
          <w:szCs w:val="28"/>
          <w:lang w:val="ro-MD"/>
        </w:rPr>
        <w:t>r</w:t>
      </w:r>
      <w:r w:rsidRPr="002751FC">
        <w:rPr>
          <w:rFonts w:asciiTheme="majorHAnsi" w:hAnsiTheme="majorHAnsi" w:cstheme="majorHAnsi"/>
          <w:sz w:val="28"/>
          <w:szCs w:val="28"/>
          <w:lang w:val="ro-MD"/>
        </w:rPr>
        <w:t xml:space="preserve">i vacante) pe site-ul </w:t>
      </w:r>
      <w:hyperlink r:id="rId11" w:history="1">
        <w:r w:rsidRPr="002751FC">
          <w:rPr>
            <w:rStyle w:val="af"/>
            <w:rFonts w:asciiTheme="majorHAnsi" w:hAnsiTheme="majorHAnsi" w:cstheme="majorHAnsi"/>
            <w:sz w:val="28"/>
            <w:szCs w:val="28"/>
            <w:lang w:val="ro-MD"/>
          </w:rPr>
          <w:t>www.civic.md</w:t>
        </w:r>
      </w:hyperlink>
      <w:r w:rsidRPr="002751FC">
        <w:rPr>
          <w:rFonts w:asciiTheme="majorHAnsi" w:hAnsiTheme="majorHAnsi" w:cstheme="majorHAnsi"/>
          <w:sz w:val="28"/>
          <w:szCs w:val="28"/>
          <w:lang w:val="ro-MD"/>
        </w:rPr>
        <w:t xml:space="preserve"> și în publicația periodică „</w:t>
      </w:r>
      <w:proofErr w:type="spellStart"/>
      <w:r w:rsidRPr="00353824">
        <w:rPr>
          <w:rFonts w:asciiTheme="majorHAnsi" w:hAnsiTheme="majorHAnsi" w:cstheme="majorHAnsi"/>
          <w:sz w:val="28"/>
          <w:szCs w:val="28"/>
          <w:lang w:val="ro-MD"/>
        </w:rPr>
        <w:t>Экономи</w:t>
      </w:r>
      <w:proofErr w:type="spellEnd"/>
      <m:oMath>
        <m:r>
          <m:rPr>
            <m:sty m:val="p"/>
          </m:rPr>
          <w:rPr>
            <w:rFonts w:ascii="Cambria Math" w:hAnsi="Cambria Math" w:cstheme="majorHAnsi"/>
            <w:sz w:val="28"/>
            <w:szCs w:val="28"/>
            <w:lang w:val="ro-MD"/>
          </w:rPr>
          <m:t>ч</m:t>
        </m:r>
      </m:oMath>
      <w:r w:rsidR="00265D4A" w:rsidRPr="00353824">
        <w:rPr>
          <w:rFonts w:asciiTheme="majorHAnsi" w:hAnsiTheme="majorHAnsi" w:cstheme="majorHAnsi"/>
          <w:sz w:val="28"/>
          <w:szCs w:val="28"/>
          <w:lang w:val="ro-MD"/>
        </w:rPr>
        <w:t>e</w:t>
      </w:r>
      <w:proofErr w:type="spellStart"/>
      <w:r w:rsidRPr="00353824">
        <w:rPr>
          <w:rFonts w:asciiTheme="majorHAnsi" w:hAnsiTheme="majorHAnsi" w:cstheme="majorHAnsi"/>
          <w:sz w:val="28"/>
          <w:szCs w:val="28"/>
          <w:lang w:val="ro-MD"/>
        </w:rPr>
        <w:t>ское</w:t>
      </w:r>
      <w:proofErr w:type="spellEnd"/>
      <w:r w:rsidRPr="002751FC">
        <w:rPr>
          <w:rFonts w:asciiTheme="majorHAnsi" w:hAnsiTheme="majorHAnsi" w:cstheme="majorHAnsi"/>
          <w:sz w:val="28"/>
          <w:szCs w:val="28"/>
          <w:lang w:val="ro-MD"/>
        </w:rPr>
        <w:t xml:space="preserve"> </w:t>
      </w:r>
      <w:proofErr w:type="spellStart"/>
      <w:r w:rsidRPr="002751FC">
        <w:rPr>
          <w:rFonts w:asciiTheme="majorHAnsi" w:hAnsiTheme="majorHAnsi" w:cstheme="majorHAnsi"/>
          <w:sz w:val="28"/>
          <w:szCs w:val="28"/>
          <w:lang w:val="ro-MD"/>
        </w:rPr>
        <w:t>обозрение</w:t>
      </w:r>
      <w:proofErr w:type="spellEnd"/>
      <w:r w:rsidRPr="002751FC">
        <w:rPr>
          <w:rFonts w:asciiTheme="majorHAnsi" w:hAnsiTheme="majorHAnsi" w:cstheme="majorHAnsi"/>
          <w:sz w:val="28"/>
          <w:szCs w:val="28"/>
          <w:lang w:val="ro-MD"/>
        </w:rPr>
        <w:t>”, dar acțiunile întreprinse în acest sens nu s-au soldat cu rezultate pozitive.</w:t>
      </w:r>
    </w:p>
    <w:p w:rsidR="00E65A43" w:rsidRPr="002751FC" w:rsidRDefault="00E65A43" w:rsidP="00B72C3E">
      <w:pPr>
        <w:tabs>
          <w:tab w:val="left" w:pos="426"/>
        </w:tabs>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lastRenderedPageBreak/>
        <w:t xml:space="preserve">Totodată, au fost constatate situații </w:t>
      </w:r>
      <w:r w:rsidR="00A306CA" w:rsidRPr="002751FC">
        <w:rPr>
          <w:rFonts w:asciiTheme="majorHAnsi" w:hAnsiTheme="majorHAnsi" w:cstheme="majorHAnsi"/>
          <w:sz w:val="28"/>
          <w:szCs w:val="28"/>
          <w:lang w:val="ro-MD"/>
        </w:rPr>
        <w:t>când</w:t>
      </w:r>
      <w:r w:rsidR="00265D4A"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pe perioada concediului de maternitate a</w:t>
      </w:r>
      <w:r w:rsidR="00265D4A" w:rsidRPr="002751FC">
        <w:rPr>
          <w:rFonts w:asciiTheme="majorHAnsi" w:hAnsiTheme="majorHAnsi" w:cstheme="majorHAnsi"/>
          <w:sz w:val="28"/>
          <w:szCs w:val="28"/>
          <w:lang w:val="ro-MD"/>
        </w:rPr>
        <w:t>l</w:t>
      </w:r>
      <w:r w:rsidRPr="002751FC">
        <w:rPr>
          <w:rFonts w:asciiTheme="majorHAnsi" w:hAnsiTheme="majorHAnsi" w:cstheme="majorHAnsi"/>
          <w:sz w:val="28"/>
          <w:szCs w:val="28"/>
          <w:lang w:val="ro-MD"/>
        </w:rPr>
        <w:t xml:space="preserve"> angajatei, din prima zi a concediului a fost </w:t>
      </w:r>
      <w:r w:rsidR="00265D4A" w:rsidRPr="002751FC">
        <w:rPr>
          <w:rFonts w:asciiTheme="majorHAnsi" w:hAnsiTheme="majorHAnsi" w:cstheme="majorHAnsi"/>
          <w:sz w:val="28"/>
          <w:szCs w:val="28"/>
          <w:lang w:val="ro-MD"/>
        </w:rPr>
        <w:t>angajată o altă persoană</w:t>
      </w:r>
      <w:r w:rsidRPr="002751FC">
        <w:rPr>
          <w:rFonts w:asciiTheme="majorHAnsi" w:hAnsiTheme="majorHAnsi" w:cstheme="majorHAnsi"/>
          <w:sz w:val="28"/>
          <w:szCs w:val="28"/>
          <w:lang w:val="ro-MD"/>
        </w:rPr>
        <w:t>, funcția respectivă nefiind scoasă la concurs/recrutare, ceea ce dovedește o abordare neuniformă și netransparentă în procesul de angajare în cadrul ONVV.</w:t>
      </w:r>
    </w:p>
    <w:p w:rsidR="00A44ED0" w:rsidRPr="002751FC" w:rsidRDefault="00A44ED0" w:rsidP="00B72C3E">
      <w:pPr>
        <w:tabs>
          <w:tab w:val="left" w:pos="426"/>
        </w:tabs>
        <w:spacing w:after="0"/>
        <w:jc w:val="both"/>
        <w:rPr>
          <w:rFonts w:asciiTheme="majorHAnsi" w:hAnsiTheme="majorHAnsi" w:cstheme="majorHAnsi"/>
          <w:sz w:val="28"/>
          <w:szCs w:val="28"/>
          <w:lang w:val="ro-MD"/>
        </w:rPr>
      </w:pPr>
    </w:p>
    <w:p w:rsidR="002B0C1F" w:rsidRPr="002751FC" w:rsidRDefault="002B0C1F" w:rsidP="00F45D84">
      <w:pPr>
        <w:pStyle w:val="ac"/>
        <w:numPr>
          <w:ilvl w:val="2"/>
          <w:numId w:val="15"/>
        </w:numPr>
        <w:tabs>
          <w:tab w:val="left" w:pos="426"/>
          <w:tab w:val="left" w:pos="709"/>
          <w:tab w:val="left" w:pos="851"/>
        </w:tabs>
        <w:spacing w:line="259" w:lineRule="auto"/>
        <w:ind w:left="0" w:firstLine="0"/>
        <w:outlineLvl w:val="0"/>
        <w:rPr>
          <w:rFonts w:asciiTheme="majorHAnsi" w:hAnsiTheme="majorHAnsi" w:cstheme="majorHAnsi"/>
          <w:b/>
          <w:szCs w:val="28"/>
          <w:lang w:val="ro-MD"/>
        </w:rPr>
      </w:pPr>
      <w:bookmarkStart w:id="45" w:name="_Toc23259108"/>
      <w:r w:rsidRPr="002751FC">
        <w:rPr>
          <w:rFonts w:asciiTheme="majorHAnsi" w:hAnsiTheme="majorHAnsi" w:cstheme="majorHAnsi"/>
          <w:b/>
          <w:szCs w:val="28"/>
          <w:lang w:val="ro-MD"/>
        </w:rPr>
        <w:t>Angajații ONVV nu a</w:t>
      </w:r>
      <w:r w:rsidR="00265D4A" w:rsidRPr="002751FC">
        <w:rPr>
          <w:rFonts w:asciiTheme="majorHAnsi" w:hAnsiTheme="majorHAnsi" w:cstheme="majorHAnsi"/>
          <w:b/>
          <w:szCs w:val="28"/>
          <w:lang w:val="ro-MD"/>
        </w:rPr>
        <w:t>u</w:t>
      </w:r>
      <w:r w:rsidRPr="002751FC">
        <w:rPr>
          <w:rFonts w:asciiTheme="majorHAnsi" w:hAnsiTheme="majorHAnsi" w:cstheme="majorHAnsi"/>
          <w:b/>
          <w:szCs w:val="28"/>
          <w:lang w:val="ro-MD"/>
        </w:rPr>
        <w:t xml:space="preserve"> folosit integral concedi</w:t>
      </w:r>
      <w:r w:rsidR="00265D4A" w:rsidRPr="002751FC">
        <w:rPr>
          <w:rFonts w:asciiTheme="majorHAnsi" w:hAnsiTheme="majorHAnsi" w:cstheme="majorHAnsi"/>
          <w:b/>
          <w:szCs w:val="28"/>
          <w:lang w:val="ro-MD"/>
        </w:rPr>
        <w:t>il</w:t>
      </w:r>
      <w:r w:rsidRPr="002751FC">
        <w:rPr>
          <w:rFonts w:asciiTheme="majorHAnsi" w:hAnsiTheme="majorHAnsi" w:cstheme="majorHAnsi"/>
          <w:b/>
          <w:szCs w:val="28"/>
          <w:lang w:val="ro-MD"/>
        </w:rPr>
        <w:t>e anual</w:t>
      </w:r>
      <w:r w:rsidR="00265D4A" w:rsidRPr="002751FC">
        <w:rPr>
          <w:rFonts w:asciiTheme="majorHAnsi" w:hAnsiTheme="majorHAnsi" w:cstheme="majorHAnsi"/>
          <w:b/>
          <w:szCs w:val="28"/>
          <w:lang w:val="ro-MD"/>
        </w:rPr>
        <w:t>e</w:t>
      </w:r>
      <w:r w:rsidRPr="002751FC">
        <w:rPr>
          <w:rFonts w:asciiTheme="majorHAnsi" w:hAnsiTheme="majorHAnsi" w:cstheme="majorHAnsi"/>
          <w:b/>
          <w:szCs w:val="28"/>
          <w:lang w:val="ro-MD"/>
        </w:rPr>
        <w:t xml:space="preserve"> de odihnă</w:t>
      </w:r>
      <w:bookmarkEnd w:id="45"/>
    </w:p>
    <w:p w:rsidR="00A44ED0" w:rsidRPr="002751FC" w:rsidRDefault="00A44ED0" w:rsidP="00F45D84">
      <w:pPr>
        <w:spacing w:after="0"/>
        <w:jc w:val="both"/>
        <w:rPr>
          <w:rFonts w:asciiTheme="majorHAnsi" w:hAnsiTheme="majorHAnsi" w:cstheme="majorHAnsi"/>
          <w:sz w:val="28"/>
          <w:szCs w:val="28"/>
          <w:lang w:val="ro-MD"/>
        </w:rPr>
      </w:pPr>
    </w:p>
    <w:p w:rsidR="002B0C1F" w:rsidRPr="002751FC" w:rsidRDefault="002B0C1F" w:rsidP="00F45D84">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Conform prevederilor cadrului legal</w:t>
      </w:r>
      <w:r w:rsidRPr="002751FC">
        <w:rPr>
          <w:rStyle w:val="ab"/>
          <w:rFonts w:asciiTheme="majorHAnsi" w:hAnsiTheme="majorHAnsi" w:cstheme="majorHAnsi"/>
          <w:sz w:val="28"/>
          <w:szCs w:val="28"/>
          <w:lang w:val="ro-MD"/>
        </w:rPr>
        <w:footnoteReference w:id="60"/>
      </w:r>
      <w:r w:rsidR="00265D4A"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angajatorul are obligația de a lua măsurile necesare pentru ca salariații să folosească concediile de odihnă în fiecare an calendaristic. </w:t>
      </w:r>
    </w:p>
    <w:p w:rsidR="00DC303A" w:rsidRPr="002751FC" w:rsidRDefault="00DC303A" w:rsidP="00F45D84">
      <w:pPr>
        <w:spacing w:after="0"/>
        <w:jc w:val="both"/>
        <w:rPr>
          <w:rFonts w:asciiTheme="majorHAnsi" w:hAnsiTheme="majorHAnsi" w:cstheme="majorHAnsi"/>
          <w:sz w:val="28"/>
          <w:szCs w:val="28"/>
          <w:lang w:val="ro-MD"/>
        </w:rPr>
      </w:pPr>
    </w:p>
    <w:p w:rsidR="002B0C1F" w:rsidRPr="002751FC" w:rsidRDefault="002B0C1F" w:rsidP="00F45D84">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Probele de audit denotă neasigurarea promovării și implementării unui management eficient al resurselor umane, ceea </w:t>
      </w:r>
      <w:r w:rsidR="008D672D" w:rsidRPr="002751FC">
        <w:rPr>
          <w:rFonts w:asciiTheme="majorHAnsi" w:hAnsiTheme="majorHAnsi" w:cstheme="majorHAnsi"/>
          <w:sz w:val="28"/>
          <w:szCs w:val="28"/>
          <w:lang w:val="ro-MD"/>
        </w:rPr>
        <w:t xml:space="preserve">ce </w:t>
      </w:r>
      <w:r w:rsidRPr="002751FC">
        <w:rPr>
          <w:rFonts w:asciiTheme="majorHAnsi" w:hAnsiTheme="majorHAnsi" w:cstheme="majorHAnsi"/>
          <w:sz w:val="28"/>
          <w:szCs w:val="28"/>
          <w:lang w:val="ro-MD"/>
        </w:rPr>
        <w:t>a condiționat acumularea numărului semnificativ de zile de concediu anual nefolosite (38</w:t>
      </w:r>
      <w:r w:rsidR="00C143E2" w:rsidRPr="002751FC">
        <w:rPr>
          <w:rFonts w:asciiTheme="majorHAnsi" w:hAnsiTheme="majorHAnsi" w:cstheme="majorHAnsi"/>
          <w:sz w:val="28"/>
          <w:szCs w:val="28"/>
          <w:lang w:val="ro-MD"/>
        </w:rPr>
        <w:t>5</w:t>
      </w:r>
      <w:r w:rsidRPr="002751FC">
        <w:rPr>
          <w:rFonts w:asciiTheme="majorHAnsi" w:hAnsiTheme="majorHAnsi" w:cstheme="majorHAnsi"/>
          <w:sz w:val="28"/>
          <w:szCs w:val="28"/>
          <w:lang w:val="ro-MD"/>
        </w:rPr>
        <w:t xml:space="preserve"> de zile)</w:t>
      </w:r>
      <w:r w:rsidRPr="002751FC">
        <w:rPr>
          <w:rStyle w:val="ab"/>
          <w:rFonts w:asciiTheme="majorHAnsi" w:hAnsiTheme="majorHAnsi" w:cstheme="majorHAnsi"/>
          <w:sz w:val="28"/>
          <w:szCs w:val="28"/>
          <w:lang w:val="ro-MD"/>
        </w:rPr>
        <w:footnoteReference w:id="61"/>
      </w:r>
      <w:r w:rsidRPr="002751FC">
        <w:rPr>
          <w:rFonts w:asciiTheme="majorHAnsi" w:hAnsiTheme="majorHAnsi" w:cstheme="majorHAnsi"/>
          <w:sz w:val="28"/>
          <w:szCs w:val="28"/>
          <w:lang w:val="ro-MD"/>
        </w:rPr>
        <w:t>.</w:t>
      </w:r>
    </w:p>
    <w:p w:rsidR="00DC303A" w:rsidRPr="002751FC" w:rsidRDefault="00DC303A" w:rsidP="00F45D84">
      <w:pPr>
        <w:spacing w:after="0"/>
        <w:jc w:val="both"/>
        <w:rPr>
          <w:rFonts w:asciiTheme="majorHAnsi" w:hAnsiTheme="majorHAnsi" w:cstheme="majorHAnsi"/>
          <w:sz w:val="28"/>
          <w:szCs w:val="28"/>
          <w:lang w:val="ro-MD"/>
        </w:rPr>
      </w:pPr>
    </w:p>
    <w:p w:rsidR="004274E8" w:rsidRPr="002751FC" w:rsidRDefault="004274E8" w:rsidP="00F45D84">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Acumularea numărului semnificativ de zile de concediu anual nefolosite (68,9% din totalul zilelor de concediu planificate) impune obligații legale față de personalul încadrat, care contribuie la apariția unor angajamente financiare în exercițiile financiare viitoare, </w:t>
      </w:r>
      <w:r w:rsidR="00AE2851" w:rsidRPr="002751FC">
        <w:rPr>
          <w:rFonts w:asciiTheme="majorHAnsi" w:hAnsiTheme="majorHAnsi" w:cstheme="majorHAnsi"/>
          <w:sz w:val="28"/>
          <w:szCs w:val="28"/>
          <w:lang w:val="ro-MD"/>
        </w:rPr>
        <w:t>persistând</w:t>
      </w:r>
      <w:r w:rsidRPr="002751FC">
        <w:rPr>
          <w:rFonts w:asciiTheme="majorHAnsi" w:hAnsiTheme="majorHAnsi" w:cstheme="majorHAnsi"/>
          <w:sz w:val="28"/>
          <w:szCs w:val="28"/>
          <w:lang w:val="ro-MD"/>
        </w:rPr>
        <w:t xml:space="preserve"> riscul sporit de suportare a cheltuielilor suplimentare în condițiile majorării salariilor, ceea ce poate afecta continuitatea activităţii entităţii.</w:t>
      </w:r>
    </w:p>
    <w:p w:rsidR="00F45D84" w:rsidRPr="002751FC" w:rsidRDefault="00F45D84" w:rsidP="00B72C3E">
      <w:pPr>
        <w:spacing w:after="0" w:line="288" w:lineRule="auto"/>
        <w:jc w:val="both"/>
        <w:rPr>
          <w:rFonts w:asciiTheme="majorHAnsi" w:hAnsiTheme="majorHAnsi" w:cstheme="majorHAnsi"/>
          <w:sz w:val="28"/>
          <w:szCs w:val="28"/>
          <w:lang w:val="ro-MD"/>
        </w:rPr>
      </w:pPr>
    </w:p>
    <w:p w:rsidR="002B0C1F" w:rsidRPr="002751FC" w:rsidRDefault="002B0C1F" w:rsidP="00B72C3E">
      <w:pPr>
        <w:pStyle w:val="ac"/>
        <w:numPr>
          <w:ilvl w:val="2"/>
          <w:numId w:val="15"/>
        </w:numPr>
        <w:shd w:val="clear" w:color="auto" w:fill="FFFFFF" w:themeFill="background1"/>
        <w:ind w:left="0" w:firstLine="0"/>
        <w:outlineLvl w:val="0"/>
        <w:rPr>
          <w:rFonts w:asciiTheme="majorHAnsi" w:hAnsiTheme="majorHAnsi" w:cstheme="majorHAnsi"/>
          <w:szCs w:val="28"/>
          <w:lang w:val="ro-MD"/>
        </w:rPr>
      </w:pPr>
      <w:bookmarkStart w:id="46" w:name="_Toc23259109"/>
      <w:r w:rsidRPr="002751FC">
        <w:rPr>
          <w:rFonts w:asciiTheme="majorHAnsi" w:hAnsiTheme="majorHAnsi" w:cstheme="majorHAnsi"/>
          <w:b/>
          <w:szCs w:val="28"/>
          <w:lang w:val="ro-MD"/>
        </w:rPr>
        <w:t xml:space="preserve">Lipsa unor prevederi </w:t>
      </w:r>
      <w:r w:rsidR="00AE2851" w:rsidRPr="002751FC">
        <w:rPr>
          <w:rFonts w:asciiTheme="majorHAnsi" w:hAnsiTheme="majorHAnsi" w:cstheme="majorHAnsi"/>
          <w:b/>
          <w:szCs w:val="28"/>
          <w:lang w:val="ro-MD"/>
        </w:rPr>
        <w:t>exhaustive</w:t>
      </w:r>
      <w:r w:rsidRPr="002751FC">
        <w:rPr>
          <w:rFonts w:asciiTheme="majorHAnsi" w:hAnsiTheme="majorHAnsi" w:cstheme="majorHAnsi"/>
          <w:b/>
          <w:szCs w:val="28"/>
          <w:lang w:val="ro-MD"/>
        </w:rPr>
        <w:t xml:space="preserve"> privitor la </w:t>
      </w:r>
      <w:r w:rsidR="00265D4A" w:rsidRPr="002751FC">
        <w:rPr>
          <w:rFonts w:asciiTheme="majorHAnsi" w:hAnsiTheme="majorHAnsi" w:cstheme="majorHAnsi"/>
          <w:b/>
          <w:szCs w:val="28"/>
          <w:lang w:val="ro-MD"/>
        </w:rPr>
        <w:t xml:space="preserve">nivelul </w:t>
      </w:r>
      <w:r w:rsidRPr="002751FC">
        <w:rPr>
          <w:rFonts w:asciiTheme="majorHAnsi" w:hAnsiTheme="majorHAnsi" w:cstheme="majorHAnsi"/>
          <w:b/>
          <w:szCs w:val="28"/>
          <w:lang w:val="ro-MD"/>
        </w:rPr>
        <w:t>maxim</w:t>
      </w:r>
      <w:r w:rsidR="00265D4A" w:rsidRPr="002751FC">
        <w:rPr>
          <w:rFonts w:asciiTheme="majorHAnsi" w:hAnsiTheme="majorHAnsi" w:cstheme="majorHAnsi"/>
          <w:b/>
          <w:szCs w:val="28"/>
          <w:lang w:val="ro-MD"/>
        </w:rPr>
        <w:t xml:space="preserve"> al</w:t>
      </w:r>
      <w:r w:rsidRPr="002751FC">
        <w:rPr>
          <w:rFonts w:asciiTheme="majorHAnsi" w:hAnsiTheme="majorHAnsi" w:cstheme="majorHAnsi"/>
          <w:b/>
          <w:szCs w:val="28"/>
          <w:lang w:val="ro-MD"/>
        </w:rPr>
        <w:t xml:space="preserve"> salariului tarifar pentru categoria I de salarizare cauzează suportarea cheltuielilor neargumentate de către instituțiile publice cu autonomie financiară </w:t>
      </w:r>
      <w:r w:rsidR="00AE2851" w:rsidRPr="002751FC">
        <w:rPr>
          <w:rFonts w:asciiTheme="majorHAnsi" w:hAnsiTheme="majorHAnsi" w:cstheme="majorHAnsi"/>
          <w:b/>
          <w:szCs w:val="28"/>
          <w:lang w:val="ro-MD"/>
        </w:rPr>
        <w:t>finanțate</w:t>
      </w:r>
      <w:r w:rsidRPr="002751FC">
        <w:rPr>
          <w:rFonts w:asciiTheme="majorHAnsi" w:hAnsiTheme="majorHAnsi" w:cstheme="majorHAnsi"/>
          <w:b/>
          <w:szCs w:val="28"/>
          <w:lang w:val="ro-MD"/>
        </w:rPr>
        <w:t xml:space="preserve"> integral de la bugetul de stat</w:t>
      </w:r>
      <w:bookmarkEnd w:id="46"/>
    </w:p>
    <w:p w:rsidR="002B0C1F" w:rsidRPr="002751FC" w:rsidRDefault="002B0C1F" w:rsidP="00B72C3E">
      <w:pPr>
        <w:pStyle w:val="ac"/>
        <w:shd w:val="clear" w:color="auto" w:fill="FFFFFF" w:themeFill="background1"/>
        <w:ind w:left="0"/>
        <w:rPr>
          <w:rFonts w:asciiTheme="majorHAnsi" w:hAnsiTheme="majorHAnsi" w:cstheme="majorHAnsi"/>
          <w:szCs w:val="28"/>
          <w:lang w:val="ro-MD"/>
        </w:rPr>
      </w:pPr>
    </w:p>
    <w:p w:rsidR="002B0C1F" w:rsidRPr="002751FC" w:rsidRDefault="00AE2851" w:rsidP="00B72C3E">
      <w:pPr>
        <w:pStyle w:val="ac"/>
        <w:shd w:val="clear" w:color="auto" w:fill="FFFFFF" w:themeFill="background1"/>
        <w:ind w:left="0"/>
        <w:rPr>
          <w:rFonts w:asciiTheme="majorHAnsi" w:hAnsiTheme="majorHAnsi" w:cstheme="majorHAnsi"/>
          <w:szCs w:val="28"/>
          <w:highlight w:val="yellow"/>
          <w:lang w:val="ro-MD"/>
        </w:rPr>
      </w:pPr>
      <w:r w:rsidRPr="002751FC">
        <w:rPr>
          <w:rFonts w:asciiTheme="majorHAnsi" w:hAnsiTheme="majorHAnsi" w:cstheme="majorHAnsi"/>
          <w:szCs w:val="28"/>
          <w:shd w:val="clear" w:color="auto" w:fill="FFFFFF" w:themeFill="background1"/>
          <w:lang w:val="ro-MD"/>
        </w:rPr>
        <w:t>Remunerarea</w:t>
      </w:r>
      <w:r w:rsidR="002B0C1F" w:rsidRPr="002751FC">
        <w:rPr>
          <w:rFonts w:asciiTheme="majorHAnsi" w:hAnsiTheme="majorHAnsi" w:cstheme="majorHAnsi"/>
          <w:szCs w:val="28"/>
          <w:shd w:val="clear" w:color="auto" w:fill="FFFFFF" w:themeFill="background1"/>
          <w:lang w:val="ro-MD"/>
        </w:rPr>
        <w:t xml:space="preserve"> personalului de conducere, de profil, </w:t>
      </w:r>
      <w:r w:rsidRPr="002751FC">
        <w:rPr>
          <w:rFonts w:asciiTheme="majorHAnsi" w:hAnsiTheme="majorHAnsi" w:cstheme="majorHAnsi"/>
          <w:szCs w:val="28"/>
          <w:shd w:val="clear" w:color="auto" w:fill="FFFFFF" w:themeFill="background1"/>
          <w:lang w:val="ro-MD"/>
        </w:rPr>
        <w:t>auxiliar</w:t>
      </w:r>
      <w:r w:rsidR="002B0C1F" w:rsidRPr="002751FC">
        <w:rPr>
          <w:rFonts w:asciiTheme="majorHAnsi" w:hAnsiTheme="majorHAnsi" w:cstheme="majorHAnsi"/>
          <w:szCs w:val="28"/>
          <w:shd w:val="clear" w:color="auto" w:fill="FFFFFF" w:themeFill="background1"/>
          <w:lang w:val="ro-MD"/>
        </w:rPr>
        <w:t xml:space="preserve"> și de deservire se efectuează î</w:t>
      </w:r>
      <w:r w:rsidRPr="002751FC">
        <w:rPr>
          <w:rFonts w:asciiTheme="majorHAnsi" w:hAnsiTheme="majorHAnsi" w:cstheme="majorHAnsi"/>
          <w:szCs w:val="28"/>
          <w:shd w:val="clear" w:color="auto" w:fill="FFFFFF" w:themeFill="background1"/>
          <w:lang w:val="ro-MD"/>
        </w:rPr>
        <w:t xml:space="preserve">n conformitate </w:t>
      </w:r>
      <w:r w:rsidR="002B0C1F" w:rsidRPr="002751FC">
        <w:rPr>
          <w:rFonts w:asciiTheme="majorHAnsi" w:hAnsiTheme="majorHAnsi" w:cstheme="majorHAnsi"/>
          <w:szCs w:val="28"/>
          <w:shd w:val="clear" w:color="auto" w:fill="FFFFFF" w:themeFill="background1"/>
          <w:lang w:val="ro-MD"/>
        </w:rPr>
        <w:t>cu Leg</w:t>
      </w:r>
      <w:r w:rsidR="00FD552A" w:rsidRPr="002751FC">
        <w:rPr>
          <w:rFonts w:asciiTheme="majorHAnsi" w:hAnsiTheme="majorHAnsi" w:cstheme="majorHAnsi"/>
          <w:szCs w:val="28"/>
          <w:shd w:val="clear" w:color="auto" w:fill="FFFFFF" w:themeFill="background1"/>
          <w:lang w:val="ro-MD"/>
        </w:rPr>
        <w:t>ea</w:t>
      </w:r>
      <w:r w:rsidR="002B0C1F" w:rsidRPr="002751FC">
        <w:rPr>
          <w:rFonts w:asciiTheme="majorHAnsi" w:hAnsiTheme="majorHAnsi" w:cstheme="majorHAnsi"/>
          <w:szCs w:val="28"/>
          <w:shd w:val="clear" w:color="auto" w:fill="FFFFFF" w:themeFill="background1"/>
          <w:lang w:val="ro-MD"/>
        </w:rPr>
        <w:t xml:space="preserve"> salari</w:t>
      </w:r>
      <w:r w:rsidRPr="002751FC">
        <w:rPr>
          <w:rFonts w:asciiTheme="majorHAnsi" w:hAnsiTheme="majorHAnsi" w:cstheme="majorHAnsi"/>
          <w:szCs w:val="28"/>
          <w:shd w:val="clear" w:color="auto" w:fill="FFFFFF" w:themeFill="background1"/>
          <w:lang w:val="ro-MD"/>
        </w:rPr>
        <w:t>zării</w:t>
      </w:r>
      <w:r w:rsidR="002B0C1F" w:rsidRPr="002751FC">
        <w:rPr>
          <w:rStyle w:val="ab"/>
          <w:rFonts w:asciiTheme="majorHAnsi" w:hAnsiTheme="majorHAnsi" w:cstheme="majorHAnsi"/>
          <w:szCs w:val="28"/>
          <w:shd w:val="clear" w:color="auto" w:fill="FFFFFF" w:themeFill="background1"/>
          <w:lang w:val="ro-MD"/>
        </w:rPr>
        <w:footnoteReference w:id="62"/>
      </w:r>
      <w:r w:rsidR="002B0C1F" w:rsidRPr="002751FC">
        <w:rPr>
          <w:rFonts w:asciiTheme="majorHAnsi" w:hAnsiTheme="majorHAnsi" w:cstheme="majorHAnsi"/>
          <w:szCs w:val="28"/>
          <w:shd w:val="clear" w:color="auto" w:fill="FFFFFF" w:themeFill="background1"/>
          <w:lang w:val="ro-MD"/>
        </w:rPr>
        <w:t xml:space="preserve">, HG </w:t>
      </w:r>
      <w:r w:rsidR="00265D4A" w:rsidRPr="002751FC">
        <w:rPr>
          <w:rFonts w:asciiTheme="majorHAnsi" w:hAnsiTheme="majorHAnsi" w:cstheme="majorHAnsi"/>
          <w:szCs w:val="28"/>
          <w:shd w:val="clear" w:color="auto" w:fill="FFFFFF" w:themeFill="background1"/>
          <w:lang w:val="ro-MD"/>
        </w:rPr>
        <w:t>„C</w:t>
      </w:r>
      <w:r w:rsidR="002B0C1F" w:rsidRPr="002751FC">
        <w:rPr>
          <w:rFonts w:asciiTheme="majorHAnsi" w:hAnsiTheme="majorHAnsi" w:cstheme="majorHAnsi"/>
          <w:szCs w:val="28"/>
          <w:shd w:val="clear" w:color="auto" w:fill="FFFFFF" w:themeFill="background1"/>
          <w:lang w:val="ro-MD"/>
        </w:rPr>
        <w:t>u privire la salarizarea angajaților din unitățile cu autonomie financiară</w:t>
      </w:r>
      <w:r w:rsidR="00265D4A" w:rsidRPr="002751FC">
        <w:rPr>
          <w:rFonts w:asciiTheme="majorHAnsi" w:hAnsiTheme="majorHAnsi" w:cstheme="majorHAnsi"/>
          <w:szCs w:val="28"/>
          <w:shd w:val="clear" w:color="auto" w:fill="FFFFFF" w:themeFill="background1"/>
          <w:lang w:val="ro-MD"/>
        </w:rPr>
        <w:t>”</w:t>
      </w:r>
      <w:r w:rsidR="002B0C1F" w:rsidRPr="002751FC">
        <w:rPr>
          <w:rStyle w:val="ab"/>
          <w:rFonts w:asciiTheme="majorHAnsi" w:hAnsiTheme="majorHAnsi" w:cstheme="majorHAnsi"/>
          <w:szCs w:val="28"/>
          <w:shd w:val="clear" w:color="auto" w:fill="FFFFFF" w:themeFill="background1"/>
          <w:lang w:val="ro-MD"/>
        </w:rPr>
        <w:footnoteReference w:id="63"/>
      </w:r>
      <w:r w:rsidR="002B0C1F" w:rsidRPr="002751FC">
        <w:rPr>
          <w:rFonts w:asciiTheme="majorHAnsi" w:hAnsiTheme="majorHAnsi" w:cstheme="majorHAnsi"/>
          <w:szCs w:val="28"/>
          <w:shd w:val="clear" w:color="auto" w:fill="FFFFFF" w:themeFill="background1"/>
          <w:lang w:val="ro-MD"/>
        </w:rPr>
        <w:t>, Codul muncii și Regulamentul intern al ONVV</w:t>
      </w:r>
      <w:r w:rsidR="00265D4A" w:rsidRPr="002751FC">
        <w:rPr>
          <w:rFonts w:asciiTheme="majorHAnsi" w:hAnsiTheme="majorHAnsi" w:cstheme="majorHAnsi"/>
          <w:szCs w:val="28"/>
          <w:shd w:val="clear" w:color="auto" w:fill="FFFFFF" w:themeFill="background1"/>
          <w:lang w:val="ro-MD"/>
        </w:rPr>
        <w:t>,</w:t>
      </w:r>
      <w:r w:rsidR="002B0C1F" w:rsidRPr="002751FC">
        <w:rPr>
          <w:rFonts w:asciiTheme="majorHAnsi" w:hAnsiTheme="majorHAnsi" w:cstheme="majorHAnsi"/>
          <w:szCs w:val="28"/>
          <w:shd w:val="clear" w:color="auto" w:fill="FFFFFF" w:themeFill="background1"/>
          <w:lang w:val="ro-MD"/>
        </w:rPr>
        <w:t xml:space="preserve"> aprobat de CC la 24.01.2017</w:t>
      </w:r>
      <w:r w:rsidRPr="002751FC">
        <w:rPr>
          <w:rFonts w:asciiTheme="majorHAnsi" w:hAnsiTheme="majorHAnsi" w:cstheme="majorHAnsi"/>
          <w:szCs w:val="28"/>
          <w:shd w:val="clear" w:color="auto" w:fill="FFFFFF" w:themeFill="background1"/>
          <w:lang w:val="ro-MD"/>
        </w:rPr>
        <w:t xml:space="preserve">, </w:t>
      </w:r>
      <w:r w:rsidR="00265D4A" w:rsidRPr="002751FC">
        <w:rPr>
          <w:rFonts w:asciiTheme="majorHAnsi" w:hAnsiTheme="majorHAnsi" w:cstheme="majorHAnsi"/>
          <w:szCs w:val="28"/>
          <w:shd w:val="clear" w:color="auto" w:fill="FFFFFF" w:themeFill="background1"/>
          <w:lang w:val="ro-MD"/>
        </w:rPr>
        <w:t>O</w:t>
      </w:r>
      <w:r w:rsidR="002B0C1F" w:rsidRPr="002751FC">
        <w:rPr>
          <w:rFonts w:asciiTheme="majorHAnsi" w:hAnsiTheme="majorHAnsi" w:cstheme="majorHAnsi"/>
          <w:szCs w:val="28"/>
          <w:shd w:val="clear" w:color="auto" w:fill="FFFFFF" w:themeFill="background1"/>
          <w:lang w:val="ro-MD"/>
        </w:rPr>
        <w:t xml:space="preserve">rdinul directorului ONVV </w:t>
      </w:r>
      <w:r w:rsidR="00265D4A" w:rsidRPr="002751FC">
        <w:rPr>
          <w:rFonts w:asciiTheme="majorHAnsi" w:hAnsiTheme="majorHAnsi" w:cstheme="majorHAnsi"/>
          <w:szCs w:val="28"/>
          <w:shd w:val="clear" w:color="auto" w:fill="FFFFFF" w:themeFill="background1"/>
          <w:lang w:val="ro-MD"/>
        </w:rPr>
        <w:t>din</w:t>
      </w:r>
      <w:r w:rsidR="002B0C1F" w:rsidRPr="002751FC">
        <w:rPr>
          <w:rFonts w:asciiTheme="majorHAnsi" w:hAnsiTheme="majorHAnsi" w:cstheme="majorHAnsi"/>
          <w:szCs w:val="28"/>
          <w:shd w:val="clear" w:color="auto" w:fill="FFFFFF" w:themeFill="background1"/>
          <w:lang w:val="ro-MD"/>
        </w:rPr>
        <w:t xml:space="preserve"> 01.02.2017</w:t>
      </w:r>
      <w:r w:rsidR="002B0C1F" w:rsidRPr="002751FC">
        <w:rPr>
          <w:rStyle w:val="ab"/>
          <w:rFonts w:asciiTheme="majorHAnsi" w:hAnsiTheme="majorHAnsi" w:cstheme="majorHAnsi"/>
          <w:szCs w:val="28"/>
          <w:shd w:val="clear" w:color="auto" w:fill="FFFFFF" w:themeFill="background1"/>
          <w:lang w:val="ro-MD"/>
        </w:rPr>
        <w:footnoteReference w:id="64"/>
      </w:r>
      <w:r w:rsidR="002B0C1F" w:rsidRPr="002751FC">
        <w:rPr>
          <w:rFonts w:asciiTheme="majorHAnsi" w:hAnsiTheme="majorHAnsi" w:cstheme="majorHAnsi"/>
          <w:szCs w:val="28"/>
          <w:shd w:val="clear" w:color="auto" w:fill="FFFFFF" w:themeFill="background1"/>
          <w:lang w:val="ro-MD"/>
        </w:rPr>
        <w:t xml:space="preserve">, precum </w:t>
      </w:r>
      <w:r w:rsidRPr="002751FC">
        <w:rPr>
          <w:rFonts w:asciiTheme="majorHAnsi" w:hAnsiTheme="majorHAnsi" w:cstheme="majorHAnsi"/>
          <w:szCs w:val="28"/>
          <w:shd w:val="clear" w:color="auto" w:fill="FFFFFF" w:themeFill="background1"/>
          <w:lang w:val="ro-MD"/>
        </w:rPr>
        <w:t>ş</w:t>
      </w:r>
      <w:r w:rsidR="002B0C1F" w:rsidRPr="002751FC">
        <w:rPr>
          <w:rFonts w:asciiTheme="majorHAnsi" w:hAnsiTheme="majorHAnsi" w:cstheme="majorHAnsi"/>
          <w:szCs w:val="28"/>
          <w:shd w:val="clear" w:color="auto" w:fill="FFFFFF" w:themeFill="background1"/>
          <w:lang w:val="ro-MD"/>
        </w:rPr>
        <w:t xml:space="preserve">i </w:t>
      </w:r>
      <w:r w:rsidR="00265D4A" w:rsidRPr="002751FC">
        <w:rPr>
          <w:rFonts w:asciiTheme="majorHAnsi" w:hAnsiTheme="majorHAnsi" w:cstheme="majorHAnsi"/>
          <w:szCs w:val="28"/>
          <w:shd w:val="clear" w:color="auto" w:fill="FFFFFF" w:themeFill="background1"/>
          <w:lang w:val="ro-MD"/>
        </w:rPr>
        <w:t>î</w:t>
      </w:r>
      <w:r w:rsidR="002B0C1F" w:rsidRPr="002751FC">
        <w:rPr>
          <w:rFonts w:asciiTheme="majorHAnsi" w:hAnsiTheme="majorHAnsi" w:cstheme="majorHAnsi"/>
          <w:szCs w:val="28"/>
          <w:shd w:val="clear" w:color="auto" w:fill="FFFFFF" w:themeFill="background1"/>
          <w:lang w:val="ro-MD"/>
        </w:rPr>
        <w:t>n</w:t>
      </w:r>
      <w:r w:rsidR="002B0C1F" w:rsidRPr="002751FC">
        <w:rPr>
          <w:rFonts w:asciiTheme="majorHAnsi" w:hAnsiTheme="majorHAnsi" w:cstheme="majorHAnsi"/>
          <w:szCs w:val="28"/>
          <w:lang w:val="ro-MD"/>
        </w:rPr>
        <w:t xml:space="preserve"> baza schemei de încadrare pentru fiecare an, coordonate cu CC și aprobate de MADRM, </w:t>
      </w:r>
      <w:r w:rsidR="00EE5FAE" w:rsidRPr="002751FC">
        <w:rPr>
          <w:rFonts w:asciiTheme="majorHAnsi" w:hAnsiTheme="majorHAnsi" w:cstheme="majorHAnsi"/>
          <w:szCs w:val="28"/>
          <w:lang w:val="ro-MD"/>
        </w:rPr>
        <w:t>ş</w:t>
      </w:r>
      <w:r w:rsidR="002B0C1F" w:rsidRPr="002751FC">
        <w:rPr>
          <w:rFonts w:asciiTheme="majorHAnsi" w:hAnsiTheme="majorHAnsi" w:cstheme="majorHAnsi"/>
          <w:szCs w:val="28"/>
          <w:lang w:val="ro-MD"/>
        </w:rPr>
        <w:t>i ordinelor privind remunerarea muncii.</w:t>
      </w:r>
    </w:p>
    <w:p w:rsidR="002B0C1F" w:rsidRPr="002751FC" w:rsidRDefault="002B0C1F" w:rsidP="00B72C3E">
      <w:pPr>
        <w:pStyle w:val="a5"/>
        <w:rPr>
          <w:rFonts w:asciiTheme="majorHAnsi" w:hAnsiTheme="majorHAnsi" w:cstheme="majorHAnsi"/>
          <w:sz w:val="28"/>
          <w:szCs w:val="28"/>
          <w:lang w:val="ro-MD"/>
        </w:rPr>
      </w:pPr>
      <w:r w:rsidRPr="002751FC">
        <w:rPr>
          <w:rFonts w:asciiTheme="majorHAnsi" w:hAnsiTheme="majorHAnsi" w:cstheme="majorHAnsi"/>
          <w:sz w:val="28"/>
          <w:szCs w:val="28"/>
          <w:lang w:val="ro-MD"/>
        </w:rPr>
        <w:lastRenderedPageBreak/>
        <w:t>Cu referire la prevederile art.14 alin.(4) din Legea salariz</w:t>
      </w:r>
      <w:r w:rsidR="00AE2851" w:rsidRPr="002751FC">
        <w:rPr>
          <w:rFonts w:asciiTheme="majorHAnsi" w:hAnsiTheme="majorHAnsi" w:cstheme="majorHAnsi"/>
          <w:sz w:val="28"/>
          <w:szCs w:val="28"/>
          <w:lang w:val="ro-MD"/>
        </w:rPr>
        <w:t>ă</w:t>
      </w:r>
      <w:r w:rsidRPr="002751FC">
        <w:rPr>
          <w:rFonts w:asciiTheme="majorHAnsi" w:hAnsiTheme="majorHAnsi" w:cstheme="majorHAnsi"/>
          <w:sz w:val="28"/>
          <w:szCs w:val="28"/>
          <w:lang w:val="ro-MD"/>
        </w:rPr>
        <w:t>rii, care stipulează c</w:t>
      </w:r>
      <w:r w:rsidRPr="002751FC">
        <w:rPr>
          <w:rFonts w:asciiTheme="majorHAnsi" w:hAnsiTheme="majorHAnsi" w:cstheme="majorHAnsi"/>
          <w:i/>
          <w:sz w:val="28"/>
          <w:szCs w:val="28"/>
          <w:lang w:val="ro-MD"/>
        </w:rPr>
        <w:t xml:space="preserve">ă în </w:t>
      </w:r>
      <w:r w:rsidR="00AE2851" w:rsidRPr="002751FC">
        <w:rPr>
          <w:rFonts w:asciiTheme="majorHAnsi" w:hAnsiTheme="majorHAnsi" w:cstheme="majorHAnsi"/>
          <w:i/>
          <w:sz w:val="28"/>
          <w:szCs w:val="28"/>
          <w:lang w:val="ro-MD"/>
        </w:rPr>
        <w:t>unitățile</w:t>
      </w:r>
      <w:r w:rsidRPr="002751FC">
        <w:rPr>
          <w:rFonts w:asciiTheme="majorHAnsi" w:hAnsiTheme="majorHAnsi" w:cstheme="majorHAnsi"/>
          <w:i/>
          <w:sz w:val="28"/>
          <w:szCs w:val="28"/>
          <w:lang w:val="ro-MD"/>
        </w:rPr>
        <w:t xml:space="preserve"> unde </w:t>
      </w:r>
      <w:r w:rsidR="00AE2851" w:rsidRPr="002751FC">
        <w:rPr>
          <w:rFonts w:asciiTheme="majorHAnsi" w:hAnsiTheme="majorHAnsi" w:cstheme="majorHAnsi"/>
          <w:i/>
          <w:sz w:val="28"/>
          <w:szCs w:val="28"/>
          <w:lang w:val="ro-MD"/>
        </w:rPr>
        <w:t>salariații</w:t>
      </w:r>
      <w:r w:rsidRPr="002751FC">
        <w:rPr>
          <w:rFonts w:asciiTheme="majorHAnsi" w:hAnsiTheme="majorHAnsi" w:cstheme="majorHAnsi"/>
          <w:i/>
          <w:sz w:val="28"/>
          <w:szCs w:val="28"/>
          <w:lang w:val="ro-MD"/>
        </w:rPr>
        <w:t xml:space="preserve"> şi angajatorii nu au împuternicit </w:t>
      </w:r>
      <w:r w:rsidR="00AE2851" w:rsidRPr="002751FC">
        <w:rPr>
          <w:rFonts w:asciiTheme="majorHAnsi" w:hAnsiTheme="majorHAnsi" w:cstheme="majorHAnsi"/>
          <w:i/>
          <w:sz w:val="28"/>
          <w:szCs w:val="28"/>
          <w:lang w:val="ro-MD"/>
        </w:rPr>
        <w:t>reprezentanții</w:t>
      </w:r>
      <w:r w:rsidRPr="002751FC">
        <w:rPr>
          <w:rFonts w:asciiTheme="majorHAnsi" w:hAnsiTheme="majorHAnsi" w:cstheme="majorHAnsi"/>
          <w:i/>
          <w:sz w:val="28"/>
          <w:szCs w:val="28"/>
          <w:lang w:val="ro-MD"/>
        </w:rPr>
        <w:t xml:space="preserve"> lor să participe la negocierile colective la nivel de ramură sau la nivel de unitate privind aplicarea sistemului tarifar de salarizare, salariul tarifar pentru categoria I de calificare se va stabili în mărime cel puţin egală sau care </w:t>
      </w:r>
      <w:r w:rsidR="00AE2851" w:rsidRPr="002751FC">
        <w:rPr>
          <w:rFonts w:asciiTheme="majorHAnsi" w:hAnsiTheme="majorHAnsi" w:cstheme="majorHAnsi"/>
          <w:i/>
          <w:sz w:val="28"/>
          <w:szCs w:val="28"/>
          <w:lang w:val="ro-MD"/>
        </w:rPr>
        <w:t>depășește</w:t>
      </w:r>
      <w:r w:rsidRPr="002751FC">
        <w:rPr>
          <w:rFonts w:asciiTheme="majorHAnsi" w:hAnsiTheme="majorHAnsi" w:cstheme="majorHAnsi"/>
          <w:i/>
          <w:sz w:val="28"/>
          <w:szCs w:val="28"/>
          <w:lang w:val="ro-MD"/>
        </w:rPr>
        <w:t xml:space="preserve"> cuantumul minim garantat al salariului în sectorul real, stabilit anual prin </w:t>
      </w:r>
      <w:r w:rsidR="00AE2851" w:rsidRPr="002751FC">
        <w:rPr>
          <w:rFonts w:asciiTheme="majorHAnsi" w:hAnsiTheme="majorHAnsi" w:cstheme="majorHAnsi"/>
          <w:i/>
          <w:sz w:val="28"/>
          <w:szCs w:val="28"/>
          <w:lang w:val="ro-MD"/>
        </w:rPr>
        <w:t>hotărâre</w:t>
      </w:r>
      <w:r w:rsidRPr="002751FC">
        <w:rPr>
          <w:rFonts w:asciiTheme="majorHAnsi" w:hAnsiTheme="majorHAnsi" w:cstheme="majorHAnsi"/>
          <w:i/>
          <w:sz w:val="28"/>
          <w:szCs w:val="28"/>
          <w:lang w:val="ro-MD"/>
        </w:rPr>
        <w:t xml:space="preserve"> de Guvern,</w:t>
      </w:r>
      <w:r w:rsidRPr="002751FC">
        <w:rPr>
          <w:rFonts w:asciiTheme="majorHAnsi" w:hAnsiTheme="majorHAnsi" w:cstheme="majorHAnsi"/>
          <w:sz w:val="28"/>
          <w:szCs w:val="28"/>
          <w:lang w:val="ro-MD"/>
        </w:rPr>
        <w:t xml:space="preserve"> CC</w:t>
      </w:r>
      <w:r w:rsidRPr="002751FC">
        <w:rPr>
          <w:rStyle w:val="ab"/>
          <w:rFonts w:asciiTheme="majorHAnsi" w:hAnsiTheme="majorHAnsi" w:cstheme="majorHAnsi"/>
          <w:sz w:val="28"/>
          <w:szCs w:val="28"/>
          <w:lang w:val="ro-MD"/>
        </w:rPr>
        <w:footnoteReference w:id="65"/>
      </w:r>
      <w:r w:rsidRPr="002751FC">
        <w:rPr>
          <w:rFonts w:asciiTheme="majorHAnsi" w:hAnsiTheme="majorHAnsi" w:cstheme="majorHAnsi"/>
          <w:sz w:val="28"/>
          <w:szCs w:val="28"/>
          <w:lang w:val="ro-MD"/>
        </w:rPr>
        <w:t xml:space="preserve"> a stabilit, iar MA</w:t>
      </w:r>
      <w:r w:rsidR="00AE2851" w:rsidRPr="002751FC">
        <w:rPr>
          <w:rFonts w:asciiTheme="majorHAnsi" w:hAnsiTheme="majorHAnsi" w:cstheme="majorHAnsi"/>
          <w:sz w:val="28"/>
          <w:szCs w:val="28"/>
          <w:lang w:val="ro-MD"/>
        </w:rPr>
        <w:t>DRM</w:t>
      </w:r>
      <w:r w:rsidRPr="002751FC">
        <w:rPr>
          <w:rStyle w:val="ab"/>
          <w:rFonts w:asciiTheme="majorHAnsi" w:hAnsiTheme="majorHAnsi" w:cstheme="majorHAnsi"/>
          <w:sz w:val="28"/>
          <w:szCs w:val="28"/>
          <w:lang w:val="ro-MD"/>
        </w:rPr>
        <w:footnoteReference w:id="66"/>
      </w:r>
      <w:r w:rsidR="00AE2851"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a aprobat Schema de încadrare a angajaților ONVV c</w:t>
      </w:r>
      <w:r w:rsidR="00AE2851" w:rsidRPr="002751FC">
        <w:rPr>
          <w:rFonts w:asciiTheme="majorHAnsi" w:hAnsiTheme="majorHAnsi" w:cstheme="majorHAnsi"/>
          <w:sz w:val="28"/>
          <w:szCs w:val="28"/>
          <w:lang w:val="ro-MD"/>
        </w:rPr>
        <w:t xml:space="preserve">u aplicarea salariului tarifar </w:t>
      </w:r>
      <w:r w:rsidRPr="002751FC">
        <w:rPr>
          <w:rFonts w:asciiTheme="majorHAnsi" w:hAnsiTheme="majorHAnsi" w:cstheme="majorHAnsi"/>
          <w:sz w:val="28"/>
          <w:szCs w:val="28"/>
          <w:lang w:val="ro-MD"/>
        </w:rPr>
        <w:t xml:space="preserve">pentru categoria I de calificare în mărime de 7600 </w:t>
      </w:r>
      <w:r w:rsidR="00822816" w:rsidRPr="002751FC">
        <w:rPr>
          <w:rFonts w:asciiTheme="majorHAnsi" w:hAnsiTheme="majorHAnsi" w:cstheme="majorHAnsi"/>
          <w:sz w:val="28"/>
          <w:szCs w:val="28"/>
          <w:lang w:val="ro-MD"/>
        </w:rPr>
        <w:t>MDL</w:t>
      </w:r>
      <w:r w:rsidRPr="002751FC">
        <w:rPr>
          <w:rFonts w:asciiTheme="majorHAnsi" w:hAnsiTheme="majorHAnsi" w:cstheme="majorHAnsi"/>
          <w:sz w:val="28"/>
          <w:szCs w:val="28"/>
          <w:lang w:val="ro-MD"/>
        </w:rPr>
        <w:t xml:space="preserve">. De menționat că salariul </w:t>
      </w:r>
      <w:r w:rsidR="00AE2851" w:rsidRPr="002751FC">
        <w:rPr>
          <w:rFonts w:asciiTheme="majorHAnsi" w:hAnsiTheme="majorHAnsi" w:cstheme="majorHAnsi"/>
          <w:sz w:val="28"/>
          <w:szCs w:val="28"/>
          <w:lang w:val="ro-MD"/>
        </w:rPr>
        <w:t xml:space="preserve">tarifar </w:t>
      </w:r>
      <w:r w:rsidRPr="002751FC">
        <w:rPr>
          <w:rFonts w:asciiTheme="majorHAnsi" w:hAnsiTheme="majorHAnsi" w:cstheme="majorHAnsi"/>
          <w:sz w:val="28"/>
          <w:szCs w:val="28"/>
          <w:lang w:val="ro-MD"/>
        </w:rPr>
        <w:t>pentru categ</w:t>
      </w:r>
      <w:r w:rsidR="00AE2851" w:rsidRPr="002751FC">
        <w:rPr>
          <w:rFonts w:asciiTheme="majorHAnsi" w:hAnsiTheme="majorHAnsi" w:cstheme="majorHAnsi"/>
          <w:sz w:val="28"/>
          <w:szCs w:val="28"/>
          <w:lang w:val="ro-MD"/>
        </w:rPr>
        <w:t>oria I de calificare stabilit depășește</w:t>
      </w:r>
      <w:r w:rsidRPr="002751FC">
        <w:rPr>
          <w:rFonts w:asciiTheme="majorHAnsi" w:hAnsiTheme="majorHAnsi" w:cstheme="majorHAnsi"/>
          <w:sz w:val="28"/>
          <w:szCs w:val="28"/>
          <w:lang w:val="ro-MD"/>
        </w:rPr>
        <w:t xml:space="preserve"> de 3,19 ori</w:t>
      </w:r>
      <w:r w:rsidRPr="002751FC">
        <w:rPr>
          <w:rStyle w:val="ab"/>
          <w:rFonts w:asciiTheme="majorHAnsi" w:hAnsiTheme="majorHAnsi" w:cstheme="majorHAnsi"/>
          <w:sz w:val="28"/>
          <w:szCs w:val="28"/>
          <w:lang w:val="ro-MD"/>
        </w:rPr>
        <w:footnoteReference w:id="67"/>
      </w:r>
      <w:r w:rsidRPr="002751FC">
        <w:rPr>
          <w:rFonts w:asciiTheme="majorHAnsi" w:hAnsiTheme="majorHAnsi" w:cstheme="majorHAnsi"/>
          <w:sz w:val="28"/>
          <w:szCs w:val="28"/>
          <w:lang w:val="ro-MD"/>
        </w:rPr>
        <w:t xml:space="preserve"> cuantumul minim garantat al salariului în sectorul real pentru perioada ianuarie</w:t>
      </w:r>
      <w:r w:rsidR="00FD552A"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aprilie 2018 </w:t>
      </w:r>
      <w:r w:rsidR="00AE2851" w:rsidRPr="002751FC">
        <w:rPr>
          <w:rFonts w:asciiTheme="majorHAnsi" w:hAnsiTheme="majorHAnsi" w:cstheme="majorHAnsi"/>
          <w:sz w:val="28"/>
          <w:szCs w:val="28"/>
          <w:lang w:val="ro-MD"/>
        </w:rPr>
        <w:t>ş</w:t>
      </w:r>
      <w:r w:rsidRPr="002751FC">
        <w:rPr>
          <w:rFonts w:asciiTheme="majorHAnsi" w:hAnsiTheme="majorHAnsi" w:cstheme="majorHAnsi"/>
          <w:sz w:val="28"/>
          <w:szCs w:val="28"/>
          <w:lang w:val="ro-MD"/>
        </w:rPr>
        <w:t>i de 2,91 ori</w:t>
      </w:r>
      <w:r w:rsidRPr="002751FC">
        <w:rPr>
          <w:rStyle w:val="ab"/>
          <w:rFonts w:asciiTheme="majorHAnsi" w:hAnsiTheme="majorHAnsi" w:cstheme="majorHAnsi"/>
          <w:sz w:val="28"/>
          <w:szCs w:val="28"/>
          <w:lang w:val="ro-MD"/>
        </w:rPr>
        <w:footnoteReference w:id="68"/>
      </w:r>
      <w:r w:rsidRPr="002751FC">
        <w:rPr>
          <w:rFonts w:asciiTheme="majorHAnsi" w:hAnsiTheme="majorHAnsi" w:cstheme="majorHAnsi"/>
          <w:sz w:val="28"/>
          <w:szCs w:val="28"/>
          <w:lang w:val="ro-MD"/>
        </w:rPr>
        <w:t xml:space="preserve"> </w:t>
      </w:r>
      <w:r w:rsidR="00FD552A" w:rsidRPr="002751FC">
        <w:rPr>
          <w:rFonts w:asciiTheme="majorHAnsi" w:hAnsiTheme="majorHAnsi" w:cstheme="majorHAnsi"/>
          <w:lang w:val="ro-MD"/>
        </w:rPr>
        <w:t xml:space="preserve">– </w:t>
      </w:r>
      <w:r w:rsidRPr="002751FC">
        <w:rPr>
          <w:rFonts w:asciiTheme="majorHAnsi" w:hAnsiTheme="majorHAnsi" w:cstheme="majorHAnsi"/>
          <w:sz w:val="28"/>
          <w:szCs w:val="28"/>
          <w:lang w:val="ro-MD"/>
        </w:rPr>
        <w:t>cuantumul minim garantat al salariului în sectorul real stabilit pentru perioada mai-decembrie 2018.</w:t>
      </w:r>
    </w:p>
    <w:p w:rsidR="002B0C1F" w:rsidRPr="002751FC" w:rsidRDefault="002B0C1F" w:rsidP="00B72C3E">
      <w:pPr>
        <w:pStyle w:val="a5"/>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 </w:t>
      </w:r>
    </w:p>
    <w:p w:rsidR="002B0C1F" w:rsidRPr="002751FC" w:rsidRDefault="002B0C1F" w:rsidP="00B72C3E">
      <w:pPr>
        <w:pStyle w:val="a5"/>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La salariul de bază pentru categoria I de salarizare (7600 </w:t>
      </w:r>
      <w:r w:rsidR="00822816" w:rsidRPr="002751FC">
        <w:rPr>
          <w:rFonts w:asciiTheme="majorHAnsi" w:hAnsiTheme="majorHAnsi" w:cstheme="majorHAnsi"/>
          <w:sz w:val="28"/>
          <w:szCs w:val="28"/>
          <w:lang w:val="ro-MD"/>
        </w:rPr>
        <w:t>MDL</w:t>
      </w:r>
      <w:r w:rsidRPr="002751FC">
        <w:rPr>
          <w:rFonts w:asciiTheme="majorHAnsi" w:hAnsiTheme="majorHAnsi" w:cstheme="majorHAnsi"/>
          <w:sz w:val="28"/>
          <w:szCs w:val="28"/>
          <w:lang w:val="ro-MD"/>
        </w:rPr>
        <w:t>), ONVV a aplicat coeficienții de multiplicare stabiliți în Anexa nr.4 la HG nr.743 din 11.06.2002</w:t>
      </w:r>
      <w:r w:rsidR="00FD552A"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w:t>
      </w:r>
      <w:r w:rsidR="00FD552A" w:rsidRPr="002751FC">
        <w:rPr>
          <w:rFonts w:asciiTheme="majorHAnsi" w:hAnsiTheme="majorHAnsi" w:cstheme="majorHAnsi"/>
          <w:sz w:val="28"/>
          <w:szCs w:val="28"/>
          <w:lang w:val="ro-MD"/>
        </w:rPr>
        <w:t>A</w:t>
      </w:r>
      <w:r w:rsidRPr="002751FC">
        <w:rPr>
          <w:rFonts w:asciiTheme="majorHAnsi" w:hAnsiTheme="majorHAnsi" w:cstheme="majorHAnsi"/>
          <w:sz w:val="28"/>
          <w:szCs w:val="28"/>
          <w:lang w:val="ro-MD"/>
        </w:rPr>
        <w:t xml:space="preserve">stfel, coeficienții de multiplicare pentru categoriile de salariați au variat față de minimul garantat </w:t>
      </w:r>
      <w:r w:rsidR="002F5DFD" w:rsidRPr="002751FC">
        <w:rPr>
          <w:rFonts w:asciiTheme="majorHAnsi" w:hAnsiTheme="majorHAnsi" w:cstheme="majorHAnsi"/>
          <w:sz w:val="28"/>
          <w:szCs w:val="28"/>
          <w:lang w:val="ro-MD"/>
        </w:rPr>
        <w:t>stabilit</w:t>
      </w:r>
      <w:r w:rsidRPr="002751FC">
        <w:rPr>
          <w:rFonts w:asciiTheme="majorHAnsi" w:hAnsiTheme="majorHAnsi" w:cstheme="majorHAnsi"/>
          <w:sz w:val="28"/>
          <w:szCs w:val="28"/>
          <w:lang w:val="ro-MD"/>
        </w:rPr>
        <w:t xml:space="preserve"> pentru sectorul real pentru perioada ianuarie</w:t>
      </w:r>
      <w:r w:rsidR="00FD552A"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aprilie 2018 </w:t>
      </w:r>
      <w:r w:rsidR="002F5DFD" w:rsidRPr="002751FC">
        <w:rPr>
          <w:rFonts w:asciiTheme="majorHAnsi" w:hAnsiTheme="majorHAnsi" w:cstheme="majorHAnsi"/>
          <w:sz w:val="28"/>
          <w:szCs w:val="28"/>
          <w:lang w:val="ro-MD"/>
        </w:rPr>
        <w:t>de la 3,19</w:t>
      </w:r>
      <w:r w:rsidRPr="002751FC">
        <w:rPr>
          <w:rFonts w:asciiTheme="majorHAnsi" w:hAnsiTheme="majorHAnsi" w:cstheme="majorHAnsi"/>
          <w:sz w:val="28"/>
          <w:szCs w:val="28"/>
          <w:lang w:val="ro-MD"/>
        </w:rPr>
        <w:t xml:space="preserve"> până la 22,35, și în perioada mai</w:t>
      </w:r>
      <w:r w:rsidR="00FD552A"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decembrie 2018 </w:t>
      </w:r>
      <w:r w:rsidR="00FD552A" w:rsidRPr="002751FC">
        <w:rPr>
          <w:rFonts w:asciiTheme="majorHAnsi" w:hAnsiTheme="majorHAnsi" w:cstheme="majorHAnsi"/>
          <w:lang w:val="ro-MD"/>
        </w:rPr>
        <w:t xml:space="preserve">– </w:t>
      </w:r>
      <w:r w:rsidRPr="002751FC">
        <w:rPr>
          <w:rFonts w:asciiTheme="majorHAnsi" w:hAnsiTheme="majorHAnsi" w:cstheme="majorHAnsi"/>
          <w:sz w:val="28"/>
          <w:szCs w:val="28"/>
          <w:lang w:val="ro-MD"/>
        </w:rPr>
        <w:t xml:space="preserve">de la 2,91 până la 20,38. </w:t>
      </w:r>
      <w:r w:rsidRPr="002751FC">
        <w:rPr>
          <w:rFonts w:asciiTheme="majorHAnsi" w:hAnsiTheme="majorHAnsi" w:cstheme="majorHAnsi"/>
          <w:i/>
          <w:sz w:val="28"/>
          <w:szCs w:val="28"/>
          <w:lang w:val="ro-MD"/>
        </w:rPr>
        <w:t>Sinteza situațiilor constatate se prezintă în Tabelul nr.10.</w:t>
      </w:r>
      <w:r w:rsidRPr="002751FC">
        <w:rPr>
          <w:rFonts w:asciiTheme="majorHAnsi" w:hAnsiTheme="majorHAnsi" w:cstheme="majorHAnsi"/>
          <w:sz w:val="28"/>
          <w:szCs w:val="28"/>
          <w:lang w:val="ro-MD"/>
        </w:rPr>
        <w:t xml:space="preserve"> </w:t>
      </w:r>
    </w:p>
    <w:p w:rsidR="00DC303A" w:rsidRPr="002751FC" w:rsidRDefault="002B0C1F" w:rsidP="00B72C3E">
      <w:pPr>
        <w:pStyle w:val="a5"/>
        <w:jc w:val="right"/>
        <w:rPr>
          <w:rFonts w:asciiTheme="majorHAnsi" w:hAnsiTheme="majorHAnsi" w:cstheme="majorHAnsi"/>
          <w:b/>
          <w:lang w:val="ro-MD"/>
        </w:rPr>
      </w:pPr>
      <w:r w:rsidRPr="002751FC">
        <w:rPr>
          <w:rFonts w:asciiTheme="majorHAnsi" w:hAnsiTheme="majorHAnsi" w:cstheme="majorHAnsi"/>
          <w:b/>
          <w:lang w:val="ro-MD"/>
        </w:rPr>
        <w:t>Tabelul nr.10</w:t>
      </w:r>
    </w:p>
    <w:p w:rsidR="002B0C1F" w:rsidRPr="002751FC" w:rsidRDefault="002B0C1F" w:rsidP="00B72C3E">
      <w:pPr>
        <w:pStyle w:val="a5"/>
        <w:jc w:val="center"/>
        <w:rPr>
          <w:rFonts w:asciiTheme="majorHAnsi" w:hAnsiTheme="majorHAnsi" w:cstheme="majorHAnsi"/>
          <w:b/>
          <w:lang w:val="ro-MD"/>
        </w:rPr>
      </w:pPr>
      <w:r w:rsidRPr="002751FC">
        <w:rPr>
          <w:rFonts w:asciiTheme="majorHAnsi" w:hAnsiTheme="majorHAnsi" w:cstheme="majorHAnsi"/>
          <w:b/>
          <w:lang w:val="ro-MD"/>
        </w:rPr>
        <w:t>Sinteza conformității stabilirii salariilor de bază pentru angajații ONVV</w:t>
      </w:r>
    </w:p>
    <w:tbl>
      <w:tblPr>
        <w:tblStyle w:val="ae"/>
        <w:tblW w:w="9776" w:type="dxa"/>
        <w:tblLook w:val="04A0" w:firstRow="1" w:lastRow="0" w:firstColumn="1" w:lastColumn="0" w:noHBand="0" w:noVBand="1"/>
      </w:tblPr>
      <w:tblGrid>
        <w:gridCol w:w="497"/>
        <w:gridCol w:w="1329"/>
        <w:gridCol w:w="739"/>
        <w:gridCol w:w="1116"/>
        <w:gridCol w:w="1173"/>
        <w:gridCol w:w="801"/>
        <w:gridCol w:w="1003"/>
        <w:gridCol w:w="992"/>
        <w:gridCol w:w="992"/>
        <w:gridCol w:w="1134"/>
      </w:tblGrid>
      <w:tr w:rsidR="0006442E" w:rsidRPr="002751FC" w:rsidTr="00FE315B">
        <w:tc>
          <w:tcPr>
            <w:tcW w:w="497" w:type="dxa"/>
            <w:vMerge w:val="restart"/>
            <w:shd w:val="clear" w:color="auto" w:fill="DEEAF6" w:themeFill="accent1" w:themeFillTint="33"/>
            <w:vAlign w:val="center"/>
          </w:tcPr>
          <w:p w:rsidR="0006442E" w:rsidRPr="002751FC" w:rsidRDefault="0006442E" w:rsidP="006D3FE8">
            <w:pPr>
              <w:pStyle w:val="a5"/>
              <w:jc w:val="center"/>
              <w:rPr>
                <w:rFonts w:asciiTheme="majorHAnsi" w:hAnsiTheme="majorHAnsi" w:cstheme="majorHAnsi"/>
                <w:b/>
                <w:sz w:val="16"/>
                <w:szCs w:val="16"/>
                <w:lang w:val="ro-MD"/>
              </w:rPr>
            </w:pPr>
            <w:r w:rsidRPr="002751FC">
              <w:rPr>
                <w:rFonts w:asciiTheme="majorHAnsi" w:hAnsiTheme="majorHAnsi" w:cstheme="majorHAnsi"/>
                <w:b/>
                <w:sz w:val="16"/>
                <w:szCs w:val="16"/>
                <w:lang w:val="ro-MD"/>
              </w:rPr>
              <w:t>Nr. d/o</w:t>
            </w:r>
          </w:p>
        </w:tc>
        <w:tc>
          <w:tcPr>
            <w:tcW w:w="1329" w:type="dxa"/>
            <w:vMerge w:val="restart"/>
            <w:shd w:val="clear" w:color="auto" w:fill="DEEAF6" w:themeFill="accent1" w:themeFillTint="33"/>
            <w:vAlign w:val="center"/>
          </w:tcPr>
          <w:p w:rsidR="0006442E" w:rsidRPr="002751FC" w:rsidRDefault="0006442E" w:rsidP="006D3FE8">
            <w:pPr>
              <w:pStyle w:val="a5"/>
              <w:jc w:val="center"/>
              <w:rPr>
                <w:rFonts w:asciiTheme="majorHAnsi" w:hAnsiTheme="majorHAnsi" w:cstheme="majorHAnsi"/>
                <w:b/>
                <w:sz w:val="16"/>
                <w:szCs w:val="16"/>
                <w:lang w:val="ro-MD"/>
              </w:rPr>
            </w:pPr>
            <w:r w:rsidRPr="002751FC">
              <w:rPr>
                <w:rFonts w:asciiTheme="majorHAnsi" w:hAnsiTheme="majorHAnsi" w:cstheme="majorHAnsi"/>
                <w:b/>
                <w:sz w:val="16"/>
                <w:szCs w:val="16"/>
                <w:lang w:val="ro-MD"/>
              </w:rPr>
              <w:t>Funcția</w:t>
            </w:r>
          </w:p>
        </w:tc>
        <w:tc>
          <w:tcPr>
            <w:tcW w:w="739" w:type="dxa"/>
            <w:vMerge w:val="restart"/>
            <w:shd w:val="clear" w:color="auto" w:fill="DEEAF6" w:themeFill="accent1" w:themeFillTint="33"/>
            <w:vAlign w:val="center"/>
          </w:tcPr>
          <w:p w:rsidR="0006442E" w:rsidRPr="002751FC" w:rsidRDefault="0006442E" w:rsidP="006D3FE8">
            <w:pPr>
              <w:pStyle w:val="a5"/>
              <w:jc w:val="center"/>
              <w:rPr>
                <w:rFonts w:asciiTheme="majorHAnsi" w:hAnsiTheme="majorHAnsi" w:cstheme="majorHAnsi"/>
                <w:b/>
                <w:sz w:val="16"/>
                <w:szCs w:val="16"/>
                <w:lang w:val="ro-MD"/>
              </w:rPr>
            </w:pPr>
            <w:r w:rsidRPr="002751FC">
              <w:rPr>
                <w:rFonts w:asciiTheme="majorHAnsi" w:hAnsiTheme="majorHAnsi" w:cstheme="majorHAnsi"/>
                <w:b/>
                <w:sz w:val="16"/>
                <w:szCs w:val="16"/>
                <w:lang w:val="ro-MD"/>
              </w:rPr>
              <w:t>Nr.</w:t>
            </w:r>
          </w:p>
          <w:p w:rsidR="0006442E" w:rsidRPr="002751FC" w:rsidRDefault="0006442E" w:rsidP="006D3FE8">
            <w:pPr>
              <w:pStyle w:val="a5"/>
              <w:jc w:val="center"/>
              <w:rPr>
                <w:rFonts w:asciiTheme="majorHAnsi" w:hAnsiTheme="majorHAnsi" w:cstheme="majorHAnsi"/>
                <w:b/>
                <w:sz w:val="16"/>
                <w:szCs w:val="16"/>
                <w:lang w:val="ro-MD"/>
              </w:rPr>
            </w:pPr>
            <w:r w:rsidRPr="002751FC">
              <w:rPr>
                <w:rFonts w:asciiTheme="majorHAnsi" w:hAnsiTheme="majorHAnsi" w:cstheme="majorHAnsi"/>
                <w:b/>
                <w:sz w:val="16"/>
                <w:szCs w:val="16"/>
                <w:lang w:val="ro-MD"/>
              </w:rPr>
              <w:t>unități</w:t>
            </w:r>
          </w:p>
        </w:tc>
        <w:tc>
          <w:tcPr>
            <w:tcW w:w="1116" w:type="dxa"/>
            <w:vMerge w:val="restart"/>
            <w:shd w:val="clear" w:color="auto" w:fill="DEEAF6" w:themeFill="accent1" w:themeFillTint="33"/>
            <w:vAlign w:val="center"/>
          </w:tcPr>
          <w:p w:rsidR="0006442E" w:rsidRPr="002751FC" w:rsidRDefault="0006442E" w:rsidP="006D3FE8">
            <w:pPr>
              <w:pStyle w:val="a5"/>
              <w:jc w:val="center"/>
              <w:rPr>
                <w:rFonts w:asciiTheme="majorHAnsi" w:hAnsiTheme="majorHAnsi" w:cstheme="majorHAnsi"/>
                <w:b/>
                <w:sz w:val="16"/>
                <w:szCs w:val="16"/>
                <w:lang w:val="ro-MD"/>
              </w:rPr>
            </w:pPr>
            <w:r w:rsidRPr="002751FC">
              <w:rPr>
                <w:rFonts w:asciiTheme="majorHAnsi" w:hAnsiTheme="majorHAnsi" w:cstheme="majorHAnsi"/>
                <w:b/>
                <w:sz w:val="16"/>
                <w:szCs w:val="16"/>
                <w:lang w:val="ro-MD"/>
              </w:rPr>
              <w:t>Salariul de bază stabilit de CC pentru categoria I</w:t>
            </w:r>
            <w:r w:rsidR="006D3FE8" w:rsidRPr="002751FC">
              <w:rPr>
                <w:rFonts w:asciiTheme="majorHAnsi" w:hAnsiTheme="majorHAnsi" w:cstheme="majorHAnsi"/>
                <w:b/>
                <w:sz w:val="16"/>
                <w:szCs w:val="16"/>
                <w:lang w:val="ro-MD"/>
              </w:rPr>
              <w:t>, MDL</w:t>
            </w:r>
          </w:p>
        </w:tc>
        <w:tc>
          <w:tcPr>
            <w:tcW w:w="1173" w:type="dxa"/>
            <w:vMerge w:val="restart"/>
            <w:shd w:val="clear" w:color="auto" w:fill="DEEAF6" w:themeFill="accent1" w:themeFillTint="33"/>
            <w:vAlign w:val="center"/>
          </w:tcPr>
          <w:p w:rsidR="0006442E" w:rsidRPr="002751FC" w:rsidRDefault="0006442E" w:rsidP="006D3FE8">
            <w:pPr>
              <w:pStyle w:val="a5"/>
              <w:jc w:val="center"/>
              <w:rPr>
                <w:rFonts w:asciiTheme="majorHAnsi" w:hAnsiTheme="majorHAnsi" w:cstheme="majorHAnsi"/>
                <w:b/>
                <w:sz w:val="16"/>
                <w:szCs w:val="16"/>
                <w:lang w:val="ro-MD"/>
              </w:rPr>
            </w:pPr>
            <w:r w:rsidRPr="002751FC">
              <w:rPr>
                <w:rFonts w:asciiTheme="majorHAnsi" w:hAnsiTheme="majorHAnsi" w:cstheme="majorHAnsi"/>
                <w:b/>
                <w:sz w:val="16"/>
                <w:szCs w:val="16"/>
                <w:lang w:val="ro-MD"/>
              </w:rPr>
              <w:t>Coeficienții de multiplicare</w:t>
            </w:r>
          </w:p>
        </w:tc>
        <w:tc>
          <w:tcPr>
            <w:tcW w:w="801" w:type="dxa"/>
            <w:vMerge w:val="restart"/>
            <w:shd w:val="clear" w:color="auto" w:fill="DEEAF6" w:themeFill="accent1" w:themeFillTint="33"/>
            <w:vAlign w:val="center"/>
          </w:tcPr>
          <w:p w:rsidR="0006442E" w:rsidRPr="002751FC" w:rsidRDefault="0006442E" w:rsidP="006D3FE8">
            <w:pPr>
              <w:pStyle w:val="a5"/>
              <w:jc w:val="center"/>
              <w:rPr>
                <w:rFonts w:asciiTheme="majorHAnsi" w:hAnsiTheme="majorHAnsi" w:cstheme="majorHAnsi"/>
                <w:b/>
                <w:sz w:val="16"/>
                <w:szCs w:val="16"/>
                <w:lang w:val="ro-MD"/>
              </w:rPr>
            </w:pPr>
            <w:r w:rsidRPr="002751FC">
              <w:rPr>
                <w:rFonts w:asciiTheme="majorHAnsi" w:hAnsiTheme="majorHAnsi" w:cstheme="majorHAnsi"/>
                <w:b/>
                <w:sz w:val="16"/>
                <w:szCs w:val="16"/>
                <w:lang w:val="ro-MD"/>
              </w:rPr>
              <w:t>Salariul de funcție</w:t>
            </w:r>
            <w:r w:rsidR="00E4448A" w:rsidRPr="002751FC">
              <w:rPr>
                <w:rFonts w:asciiTheme="majorHAnsi" w:hAnsiTheme="majorHAnsi" w:cstheme="majorHAnsi"/>
                <w:b/>
                <w:sz w:val="16"/>
                <w:szCs w:val="16"/>
                <w:lang w:val="ro-MD"/>
              </w:rPr>
              <w:t>, MDL</w:t>
            </w:r>
          </w:p>
        </w:tc>
        <w:tc>
          <w:tcPr>
            <w:tcW w:w="1995" w:type="dxa"/>
            <w:gridSpan w:val="2"/>
            <w:shd w:val="clear" w:color="auto" w:fill="DEEAF6" w:themeFill="accent1" w:themeFillTint="33"/>
            <w:vAlign w:val="center"/>
          </w:tcPr>
          <w:p w:rsidR="001876F9" w:rsidRPr="002751FC" w:rsidRDefault="0006442E" w:rsidP="006D3FE8">
            <w:pPr>
              <w:pStyle w:val="a5"/>
              <w:jc w:val="center"/>
              <w:rPr>
                <w:rFonts w:asciiTheme="majorHAnsi" w:hAnsiTheme="majorHAnsi" w:cstheme="majorHAnsi"/>
                <w:b/>
                <w:sz w:val="16"/>
                <w:szCs w:val="16"/>
                <w:lang w:val="ro-MD"/>
              </w:rPr>
            </w:pPr>
            <w:r w:rsidRPr="002751FC">
              <w:rPr>
                <w:rFonts w:asciiTheme="majorHAnsi" w:hAnsiTheme="majorHAnsi" w:cstheme="majorHAnsi"/>
                <w:b/>
                <w:sz w:val="16"/>
                <w:szCs w:val="16"/>
                <w:lang w:val="ro-MD"/>
              </w:rPr>
              <w:t xml:space="preserve">Depășirea cuantumului salariului de bază stabilit de CC și minim garantat pentru sectorul real </w:t>
            </w:r>
          </w:p>
          <w:p w:rsidR="0006442E" w:rsidRPr="002751FC" w:rsidRDefault="0006442E" w:rsidP="006D3FE8">
            <w:pPr>
              <w:pStyle w:val="a5"/>
              <w:jc w:val="center"/>
              <w:rPr>
                <w:rFonts w:asciiTheme="majorHAnsi" w:hAnsiTheme="majorHAnsi" w:cstheme="majorHAnsi"/>
                <w:b/>
                <w:sz w:val="16"/>
                <w:szCs w:val="16"/>
                <w:lang w:val="ro-MD"/>
              </w:rPr>
            </w:pPr>
            <w:r w:rsidRPr="002751FC">
              <w:rPr>
                <w:rFonts w:asciiTheme="majorHAnsi" w:hAnsiTheme="majorHAnsi" w:cstheme="majorHAnsi"/>
                <w:b/>
                <w:sz w:val="16"/>
                <w:szCs w:val="16"/>
                <w:lang w:val="ro-MD"/>
              </w:rPr>
              <w:t>(nr. de ori)</w:t>
            </w:r>
          </w:p>
        </w:tc>
        <w:tc>
          <w:tcPr>
            <w:tcW w:w="2126" w:type="dxa"/>
            <w:gridSpan w:val="2"/>
            <w:shd w:val="clear" w:color="auto" w:fill="DEEAF6" w:themeFill="accent1" w:themeFillTint="33"/>
            <w:vAlign w:val="center"/>
          </w:tcPr>
          <w:p w:rsidR="0006442E" w:rsidRPr="002751FC" w:rsidRDefault="0006442E" w:rsidP="006D3FE8">
            <w:pPr>
              <w:pStyle w:val="a5"/>
              <w:jc w:val="center"/>
              <w:rPr>
                <w:rFonts w:asciiTheme="majorHAnsi" w:hAnsiTheme="majorHAnsi" w:cstheme="majorHAnsi"/>
                <w:b/>
                <w:sz w:val="16"/>
                <w:szCs w:val="16"/>
                <w:lang w:val="ro-MD"/>
              </w:rPr>
            </w:pPr>
            <w:r w:rsidRPr="002751FC">
              <w:rPr>
                <w:rFonts w:asciiTheme="majorHAnsi" w:hAnsiTheme="majorHAnsi" w:cstheme="majorHAnsi"/>
                <w:b/>
                <w:sz w:val="16"/>
                <w:szCs w:val="16"/>
                <w:lang w:val="ro-MD"/>
              </w:rPr>
              <w:t>Majorarea coeficientului de multiplicare urmare a majorării salariului de bază pentru categoria I de către CC</w:t>
            </w:r>
            <w:r w:rsidR="001876F9" w:rsidRPr="002751FC">
              <w:rPr>
                <w:rFonts w:asciiTheme="majorHAnsi" w:hAnsiTheme="majorHAnsi" w:cstheme="majorHAnsi"/>
                <w:b/>
                <w:sz w:val="16"/>
                <w:szCs w:val="16"/>
                <w:lang w:val="ro-MD"/>
              </w:rPr>
              <w:t xml:space="preserve"> (nr. de ori)</w:t>
            </w:r>
          </w:p>
        </w:tc>
      </w:tr>
      <w:tr w:rsidR="0006442E" w:rsidRPr="002751FC" w:rsidTr="00FE315B">
        <w:tc>
          <w:tcPr>
            <w:tcW w:w="497" w:type="dxa"/>
            <w:vMerge/>
          </w:tcPr>
          <w:p w:rsidR="0006442E" w:rsidRPr="002751FC" w:rsidRDefault="0006442E" w:rsidP="0006442E">
            <w:pPr>
              <w:pStyle w:val="a5"/>
              <w:rPr>
                <w:rFonts w:asciiTheme="majorHAnsi" w:hAnsiTheme="majorHAnsi" w:cstheme="majorHAnsi"/>
                <w:sz w:val="16"/>
                <w:szCs w:val="16"/>
                <w:lang w:val="ro-MD"/>
              </w:rPr>
            </w:pPr>
          </w:p>
        </w:tc>
        <w:tc>
          <w:tcPr>
            <w:tcW w:w="1329" w:type="dxa"/>
            <w:vMerge/>
          </w:tcPr>
          <w:p w:rsidR="0006442E" w:rsidRPr="002751FC" w:rsidRDefault="0006442E" w:rsidP="0006442E">
            <w:pPr>
              <w:pStyle w:val="a5"/>
              <w:rPr>
                <w:rFonts w:asciiTheme="majorHAnsi" w:hAnsiTheme="majorHAnsi" w:cstheme="majorHAnsi"/>
                <w:sz w:val="16"/>
                <w:szCs w:val="16"/>
                <w:lang w:val="ro-MD"/>
              </w:rPr>
            </w:pPr>
          </w:p>
        </w:tc>
        <w:tc>
          <w:tcPr>
            <w:tcW w:w="739" w:type="dxa"/>
            <w:vMerge/>
          </w:tcPr>
          <w:p w:rsidR="0006442E" w:rsidRPr="002751FC" w:rsidRDefault="0006442E" w:rsidP="0006442E">
            <w:pPr>
              <w:pStyle w:val="a5"/>
              <w:rPr>
                <w:rFonts w:asciiTheme="majorHAnsi" w:hAnsiTheme="majorHAnsi" w:cstheme="majorHAnsi"/>
                <w:sz w:val="16"/>
                <w:szCs w:val="16"/>
                <w:lang w:val="ro-MD"/>
              </w:rPr>
            </w:pPr>
          </w:p>
        </w:tc>
        <w:tc>
          <w:tcPr>
            <w:tcW w:w="1116" w:type="dxa"/>
            <w:vMerge/>
            <w:tcBorders>
              <w:bottom w:val="single" w:sz="4" w:space="0" w:color="auto"/>
            </w:tcBorders>
          </w:tcPr>
          <w:p w:rsidR="0006442E" w:rsidRPr="002751FC" w:rsidRDefault="0006442E" w:rsidP="0006442E">
            <w:pPr>
              <w:pStyle w:val="a5"/>
              <w:rPr>
                <w:rFonts w:asciiTheme="majorHAnsi" w:hAnsiTheme="majorHAnsi" w:cstheme="majorHAnsi"/>
                <w:sz w:val="16"/>
                <w:szCs w:val="16"/>
                <w:lang w:val="ro-MD"/>
              </w:rPr>
            </w:pPr>
          </w:p>
        </w:tc>
        <w:tc>
          <w:tcPr>
            <w:tcW w:w="1173" w:type="dxa"/>
            <w:vMerge/>
          </w:tcPr>
          <w:p w:rsidR="0006442E" w:rsidRPr="002751FC" w:rsidRDefault="0006442E" w:rsidP="0006442E">
            <w:pPr>
              <w:pStyle w:val="a5"/>
              <w:rPr>
                <w:rFonts w:asciiTheme="majorHAnsi" w:hAnsiTheme="majorHAnsi" w:cstheme="majorHAnsi"/>
                <w:sz w:val="16"/>
                <w:szCs w:val="16"/>
                <w:lang w:val="ro-MD"/>
              </w:rPr>
            </w:pPr>
          </w:p>
        </w:tc>
        <w:tc>
          <w:tcPr>
            <w:tcW w:w="801" w:type="dxa"/>
            <w:vMerge/>
          </w:tcPr>
          <w:p w:rsidR="0006442E" w:rsidRPr="002751FC" w:rsidRDefault="0006442E" w:rsidP="0006442E">
            <w:pPr>
              <w:pStyle w:val="a5"/>
              <w:rPr>
                <w:rFonts w:asciiTheme="majorHAnsi" w:hAnsiTheme="majorHAnsi" w:cstheme="majorHAnsi"/>
                <w:sz w:val="16"/>
                <w:szCs w:val="16"/>
                <w:lang w:val="ro-MD"/>
              </w:rPr>
            </w:pPr>
          </w:p>
        </w:tc>
        <w:tc>
          <w:tcPr>
            <w:tcW w:w="1003" w:type="dxa"/>
            <w:tcBorders>
              <w:bottom w:val="single" w:sz="4" w:space="0" w:color="auto"/>
            </w:tcBorders>
            <w:shd w:val="clear" w:color="auto" w:fill="DEEAF6" w:themeFill="accent1" w:themeFillTint="33"/>
            <w:vAlign w:val="center"/>
          </w:tcPr>
          <w:p w:rsidR="0006442E" w:rsidRPr="002751FC" w:rsidRDefault="0006442E" w:rsidP="00F0251B">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2360 MDL</w:t>
            </w:r>
          </w:p>
        </w:tc>
        <w:tc>
          <w:tcPr>
            <w:tcW w:w="992" w:type="dxa"/>
            <w:tcBorders>
              <w:bottom w:val="single" w:sz="4" w:space="0" w:color="auto"/>
            </w:tcBorders>
            <w:shd w:val="clear" w:color="auto" w:fill="DEEAF6" w:themeFill="accent1" w:themeFillTint="33"/>
            <w:vAlign w:val="center"/>
          </w:tcPr>
          <w:p w:rsidR="0006442E" w:rsidRPr="002751FC" w:rsidRDefault="0006442E" w:rsidP="00F0251B">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2610 MDL</w:t>
            </w:r>
          </w:p>
        </w:tc>
        <w:tc>
          <w:tcPr>
            <w:tcW w:w="992" w:type="dxa"/>
            <w:shd w:val="clear" w:color="auto" w:fill="DEEAF6" w:themeFill="accent1" w:themeFillTint="33"/>
            <w:vAlign w:val="center"/>
          </w:tcPr>
          <w:p w:rsidR="0006442E" w:rsidRPr="002751FC" w:rsidRDefault="0006442E" w:rsidP="00F0251B">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2360 MDL</w:t>
            </w:r>
          </w:p>
        </w:tc>
        <w:tc>
          <w:tcPr>
            <w:tcW w:w="1134" w:type="dxa"/>
            <w:shd w:val="clear" w:color="auto" w:fill="DEEAF6" w:themeFill="accent1" w:themeFillTint="33"/>
            <w:vAlign w:val="center"/>
          </w:tcPr>
          <w:p w:rsidR="0006442E" w:rsidRPr="002751FC" w:rsidRDefault="0006442E" w:rsidP="00F0251B">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2610 MDL</w:t>
            </w:r>
          </w:p>
        </w:tc>
      </w:tr>
      <w:tr w:rsidR="001367CB" w:rsidRPr="002751FC" w:rsidTr="00FE315B">
        <w:tc>
          <w:tcPr>
            <w:tcW w:w="497" w:type="dxa"/>
          </w:tcPr>
          <w:p w:rsidR="0006442E" w:rsidRPr="002751FC" w:rsidRDefault="0006442E" w:rsidP="0006442E">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1</w:t>
            </w:r>
          </w:p>
        </w:tc>
        <w:tc>
          <w:tcPr>
            <w:tcW w:w="1329" w:type="dxa"/>
          </w:tcPr>
          <w:p w:rsidR="0006442E" w:rsidRPr="002751FC" w:rsidRDefault="0006442E" w:rsidP="0006442E">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Director</w:t>
            </w:r>
          </w:p>
        </w:tc>
        <w:tc>
          <w:tcPr>
            <w:tcW w:w="739" w:type="dxa"/>
            <w:tcBorders>
              <w:right w:val="single" w:sz="4" w:space="0" w:color="auto"/>
            </w:tcBorders>
          </w:tcPr>
          <w:p w:rsidR="0006442E" w:rsidRPr="002751FC" w:rsidRDefault="0006442E" w:rsidP="00A4721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w:t>
            </w:r>
          </w:p>
        </w:tc>
        <w:tc>
          <w:tcPr>
            <w:tcW w:w="1116" w:type="dxa"/>
            <w:tcBorders>
              <w:top w:val="single" w:sz="4" w:space="0" w:color="auto"/>
              <w:left w:val="single" w:sz="4" w:space="0" w:color="auto"/>
              <w:bottom w:val="nil"/>
              <w:right w:val="single" w:sz="4" w:space="0" w:color="auto"/>
            </w:tcBorders>
          </w:tcPr>
          <w:p w:rsidR="0006442E" w:rsidRPr="002751FC" w:rsidRDefault="006D3FE8"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7600</w:t>
            </w:r>
          </w:p>
        </w:tc>
        <w:tc>
          <w:tcPr>
            <w:tcW w:w="1173" w:type="dxa"/>
            <w:tcBorders>
              <w:lef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7</w:t>
            </w:r>
            <w:r w:rsidR="008F2662" w:rsidRPr="002751FC">
              <w:rPr>
                <w:rFonts w:asciiTheme="majorHAnsi" w:hAnsiTheme="majorHAnsi" w:cstheme="majorHAnsi"/>
                <w:sz w:val="16"/>
                <w:szCs w:val="16"/>
                <w:lang w:val="ro-MD"/>
              </w:rPr>
              <w:t>,000</w:t>
            </w:r>
          </w:p>
        </w:tc>
        <w:tc>
          <w:tcPr>
            <w:tcW w:w="801" w:type="dxa"/>
            <w:tcBorders>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53200</w:t>
            </w:r>
          </w:p>
        </w:tc>
        <w:tc>
          <w:tcPr>
            <w:tcW w:w="1003" w:type="dxa"/>
            <w:tcBorders>
              <w:top w:val="single" w:sz="4" w:space="0" w:color="auto"/>
              <w:left w:val="single" w:sz="4" w:space="0" w:color="auto"/>
              <w:bottom w:val="nil"/>
              <w:right w:val="single" w:sz="4" w:space="0" w:color="auto"/>
            </w:tcBorders>
          </w:tcPr>
          <w:p w:rsidR="0006442E" w:rsidRPr="002751FC" w:rsidRDefault="000A1128"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3,1933</w:t>
            </w:r>
          </w:p>
        </w:tc>
        <w:tc>
          <w:tcPr>
            <w:tcW w:w="992" w:type="dxa"/>
            <w:tcBorders>
              <w:top w:val="single" w:sz="4" w:space="0" w:color="auto"/>
              <w:left w:val="single" w:sz="4" w:space="0" w:color="auto"/>
              <w:bottom w:val="nil"/>
              <w:right w:val="single" w:sz="4" w:space="0" w:color="auto"/>
            </w:tcBorders>
          </w:tcPr>
          <w:p w:rsidR="0006442E" w:rsidRPr="002751FC" w:rsidRDefault="000A1128"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2,9119</w:t>
            </w:r>
          </w:p>
        </w:tc>
        <w:tc>
          <w:tcPr>
            <w:tcW w:w="992" w:type="dxa"/>
            <w:tcBorders>
              <w:lef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22,3529</w:t>
            </w:r>
          </w:p>
        </w:tc>
        <w:tc>
          <w:tcPr>
            <w:tcW w:w="1134" w:type="dxa"/>
          </w:tcPr>
          <w:p w:rsidR="0006442E" w:rsidRPr="002751FC" w:rsidRDefault="0006442E"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20,3831</w:t>
            </w:r>
          </w:p>
        </w:tc>
      </w:tr>
      <w:tr w:rsidR="00556941" w:rsidRPr="002751FC" w:rsidTr="00FE315B">
        <w:tc>
          <w:tcPr>
            <w:tcW w:w="497" w:type="dxa"/>
          </w:tcPr>
          <w:p w:rsidR="0006442E" w:rsidRPr="002751FC" w:rsidRDefault="0006442E" w:rsidP="0006442E">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2</w:t>
            </w:r>
          </w:p>
        </w:tc>
        <w:tc>
          <w:tcPr>
            <w:tcW w:w="1329" w:type="dxa"/>
          </w:tcPr>
          <w:p w:rsidR="0006442E" w:rsidRPr="002751FC" w:rsidRDefault="0006442E" w:rsidP="0006442E">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Director adjunct</w:t>
            </w:r>
          </w:p>
        </w:tc>
        <w:tc>
          <w:tcPr>
            <w:tcW w:w="739" w:type="dxa"/>
            <w:tcBorders>
              <w:right w:val="single" w:sz="4" w:space="0" w:color="auto"/>
            </w:tcBorders>
          </w:tcPr>
          <w:p w:rsidR="0006442E" w:rsidRPr="002751FC" w:rsidRDefault="0006442E" w:rsidP="00A4721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w:t>
            </w:r>
          </w:p>
        </w:tc>
        <w:tc>
          <w:tcPr>
            <w:tcW w:w="1116"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1173" w:type="dxa"/>
            <w:tcBorders>
              <w:left w:val="single" w:sz="4" w:space="0" w:color="auto"/>
              <w:bottom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4,6</w:t>
            </w:r>
            <w:r w:rsidR="008F2662" w:rsidRPr="002751FC">
              <w:rPr>
                <w:rFonts w:asciiTheme="majorHAnsi" w:hAnsiTheme="majorHAnsi" w:cstheme="majorHAnsi"/>
                <w:sz w:val="16"/>
                <w:szCs w:val="16"/>
                <w:lang w:val="ro-MD"/>
              </w:rPr>
              <w:t>00</w:t>
            </w:r>
          </w:p>
        </w:tc>
        <w:tc>
          <w:tcPr>
            <w:tcW w:w="801" w:type="dxa"/>
            <w:tcBorders>
              <w:bottom w:val="single" w:sz="4" w:space="0" w:color="auto"/>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34960</w:t>
            </w:r>
          </w:p>
        </w:tc>
        <w:tc>
          <w:tcPr>
            <w:tcW w:w="1003"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992"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992" w:type="dxa"/>
            <w:tcBorders>
              <w:left w:val="single" w:sz="4" w:space="0" w:color="auto"/>
              <w:bottom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14,6861</w:t>
            </w:r>
          </w:p>
        </w:tc>
        <w:tc>
          <w:tcPr>
            <w:tcW w:w="1134" w:type="dxa"/>
            <w:tcBorders>
              <w:bottom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13,3946</w:t>
            </w:r>
          </w:p>
        </w:tc>
      </w:tr>
      <w:tr w:rsidR="00556941" w:rsidRPr="002751FC" w:rsidTr="00FE315B">
        <w:tc>
          <w:tcPr>
            <w:tcW w:w="497" w:type="dxa"/>
          </w:tcPr>
          <w:p w:rsidR="0006442E" w:rsidRPr="002751FC" w:rsidRDefault="0006442E" w:rsidP="0006442E">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3</w:t>
            </w:r>
          </w:p>
        </w:tc>
        <w:tc>
          <w:tcPr>
            <w:tcW w:w="1329" w:type="dxa"/>
          </w:tcPr>
          <w:p w:rsidR="0006442E" w:rsidRPr="002751FC" w:rsidRDefault="0006442E" w:rsidP="0006442E">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Contabil-șef</w:t>
            </w:r>
          </w:p>
        </w:tc>
        <w:tc>
          <w:tcPr>
            <w:tcW w:w="739" w:type="dxa"/>
            <w:tcBorders>
              <w:right w:val="single" w:sz="4" w:space="0" w:color="auto"/>
            </w:tcBorders>
          </w:tcPr>
          <w:p w:rsidR="0006442E" w:rsidRPr="002751FC" w:rsidRDefault="0006442E" w:rsidP="00A4721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w:t>
            </w:r>
          </w:p>
        </w:tc>
        <w:tc>
          <w:tcPr>
            <w:tcW w:w="1116"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1173" w:type="dxa"/>
            <w:tcBorders>
              <w:top w:val="single" w:sz="4" w:space="0" w:color="auto"/>
              <w:left w:val="single" w:sz="4" w:space="0" w:color="auto"/>
              <w:bottom w:val="nil"/>
              <w:right w:val="single" w:sz="4" w:space="0" w:color="auto"/>
            </w:tcBorders>
          </w:tcPr>
          <w:p w:rsidR="0006442E" w:rsidRPr="002751FC" w:rsidRDefault="005A2B5B"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3,085</w:t>
            </w:r>
          </w:p>
        </w:tc>
        <w:tc>
          <w:tcPr>
            <w:tcW w:w="801" w:type="dxa"/>
            <w:tcBorders>
              <w:top w:val="single" w:sz="4" w:space="0" w:color="auto"/>
              <w:left w:val="single" w:sz="4" w:space="0" w:color="auto"/>
              <w:bottom w:val="nil"/>
              <w:right w:val="single" w:sz="4" w:space="0" w:color="auto"/>
            </w:tcBorders>
          </w:tcPr>
          <w:p w:rsidR="0006442E" w:rsidRPr="002751FC" w:rsidRDefault="005A2B5B"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23446</w:t>
            </w:r>
          </w:p>
        </w:tc>
        <w:tc>
          <w:tcPr>
            <w:tcW w:w="1003"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992"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992" w:type="dxa"/>
            <w:tcBorders>
              <w:top w:val="single" w:sz="4" w:space="0" w:color="auto"/>
              <w:left w:val="single" w:sz="4" w:space="0" w:color="auto"/>
              <w:bottom w:val="nil"/>
              <w:right w:val="single" w:sz="4" w:space="0" w:color="auto"/>
            </w:tcBorders>
          </w:tcPr>
          <w:p w:rsidR="0006442E" w:rsidRPr="002751FC" w:rsidRDefault="0054650E"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9,8513</w:t>
            </w:r>
          </w:p>
        </w:tc>
        <w:tc>
          <w:tcPr>
            <w:tcW w:w="1134" w:type="dxa"/>
            <w:tcBorders>
              <w:top w:val="single" w:sz="4" w:space="0" w:color="auto"/>
              <w:left w:val="single" w:sz="4" w:space="0" w:color="auto"/>
              <w:bottom w:val="nil"/>
              <w:right w:val="single" w:sz="4" w:space="0" w:color="auto"/>
            </w:tcBorders>
          </w:tcPr>
          <w:p w:rsidR="0006442E" w:rsidRPr="002751FC" w:rsidRDefault="0054650E"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8,9831</w:t>
            </w:r>
          </w:p>
        </w:tc>
      </w:tr>
      <w:tr w:rsidR="00556941" w:rsidRPr="002751FC" w:rsidTr="00FE315B">
        <w:tc>
          <w:tcPr>
            <w:tcW w:w="497" w:type="dxa"/>
          </w:tcPr>
          <w:p w:rsidR="0006442E" w:rsidRPr="002751FC" w:rsidRDefault="0006442E" w:rsidP="0006442E">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4</w:t>
            </w:r>
          </w:p>
        </w:tc>
        <w:tc>
          <w:tcPr>
            <w:tcW w:w="1329" w:type="dxa"/>
          </w:tcPr>
          <w:p w:rsidR="0006442E" w:rsidRPr="002751FC" w:rsidRDefault="0006442E" w:rsidP="0006442E">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Consultant principal</w:t>
            </w:r>
          </w:p>
        </w:tc>
        <w:tc>
          <w:tcPr>
            <w:tcW w:w="739" w:type="dxa"/>
            <w:tcBorders>
              <w:right w:val="single" w:sz="4" w:space="0" w:color="auto"/>
            </w:tcBorders>
          </w:tcPr>
          <w:p w:rsidR="0006442E" w:rsidRPr="002751FC" w:rsidRDefault="0006442E" w:rsidP="00A4721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w:t>
            </w:r>
          </w:p>
        </w:tc>
        <w:tc>
          <w:tcPr>
            <w:tcW w:w="1116"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1173"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801"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1003"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992"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992"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1134"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r>
      <w:tr w:rsidR="00556941" w:rsidRPr="002751FC" w:rsidTr="00FE315B">
        <w:tc>
          <w:tcPr>
            <w:tcW w:w="497" w:type="dxa"/>
          </w:tcPr>
          <w:p w:rsidR="0006442E" w:rsidRPr="002751FC" w:rsidRDefault="0006442E" w:rsidP="0006442E">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5</w:t>
            </w:r>
          </w:p>
        </w:tc>
        <w:tc>
          <w:tcPr>
            <w:tcW w:w="1329" w:type="dxa"/>
          </w:tcPr>
          <w:p w:rsidR="0006442E" w:rsidRPr="002751FC" w:rsidRDefault="0006442E" w:rsidP="0006442E">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Expert coordonator</w:t>
            </w:r>
          </w:p>
        </w:tc>
        <w:tc>
          <w:tcPr>
            <w:tcW w:w="739" w:type="dxa"/>
            <w:tcBorders>
              <w:right w:val="single" w:sz="4" w:space="0" w:color="auto"/>
            </w:tcBorders>
          </w:tcPr>
          <w:p w:rsidR="0006442E" w:rsidRPr="002751FC" w:rsidRDefault="0006442E" w:rsidP="00A4721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4</w:t>
            </w:r>
          </w:p>
        </w:tc>
        <w:tc>
          <w:tcPr>
            <w:tcW w:w="1116"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1173" w:type="dxa"/>
            <w:tcBorders>
              <w:top w:val="nil"/>
              <w:left w:val="single" w:sz="4" w:space="0" w:color="auto"/>
              <w:bottom w:val="single" w:sz="4" w:space="0" w:color="auto"/>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801" w:type="dxa"/>
            <w:tcBorders>
              <w:top w:val="nil"/>
              <w:left w:val="single" w:sz="4" w:space="0" w:color="auto"/>
              <w:bottom w:val="single" w:sz="4" w:space="0" w:color="auto"/>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1003"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992"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992" w:type="dxa"/>
            <w:tcBorders>
              <w:top w:val="nil"/>
              <w:left w:val="single" w:sz="4" w:space="0" w:color="auto"/>
              <w:bottom w:val="single" w:sz="4" w:space="0" w:color="auto"/>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1134" w:type="dxa"/>
            <w:tcBorders>
              <w:top w:val="nil"/>
              <w:left w:val="single" w:sz="4" w:space="0" w:color="auto"/>
              <w:bottom w:val="single" w:sz="4" w:space="0" w:color="auto"/>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r>
      <w:tr w:rsidR="00661211" w:rsidRPr="002751FC" w:rsidTr="00FE315B">
        <w:tc>
          <w:tcPr>
            <w:tcW w:w="497" w:type="dxa"/>
          </w:tcPr>
          <w:p w:rsidR="0006442E" w:rsidRPr="002751FC" w:rsidRDefault="0006442E" w:rsidP="0006442E">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6</w:t>
            </w:r>
          </w:p>
        </w:tc>
        <w:tc>
          <w:tcPr>
            <w:tcW w:w="1329" w:type="dxa"/>
          </w:tcPr>
          <w:p w:rsidR="0006442E" w:rsidRPr="002751FC" w:rsidRDefault="0006442E" w:rsidP="0006442E">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Expert</w:t>
            </w:r>
          </w:p>
        </w:tc>
        <w:tc>
          <w:tcPr>
            <w:tcW w:w="739" w:type="dxa"/>
            <w:tcBorders>
              <w:right w:val="single" w:sz="4" w:space="0" w:color="auto"/>
            </w:tcBorders>
            <w:shd w:val="clear" w:color="auto" w:fill="FFFFFF" w:themeFill="background1"/>
          </w:tcPr>
          <w:p w:rsidR="0006442E" w:rsidRPr="002751FC" w:rsidRDefault="0006442E" w:rsidP="00A4721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6</w:t>
            </w:r>
          </w:p>
        </w:tc>
        <w:tc>
          <w:tcPr>
            <w:tcW w:w="1116"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1173" w:type="dxa"/>
            <w:tcBorders>
              <w:top w:val="single" w:sz="4" w:space="0" w:color="auto"/>
              <w:left w:val="single" w:sz="4" w:space="0" w:color="auto"/>
              <w:bottom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2,43</w:t>
            </w:r>
            <w:r w:rsidR="008F2662" w:rsidRPr="002751FC">
              <w:rPr>
                <w:rFonts w:asciiTheme="majorHAnsi" w:hAnsiTheme="majorHAnsi" w:cstheme="majorHAnsi"/>
                <w:sz w:val="16"/>
                <w:szCs w:val="16"/>
                <w:lang w:val="ro-MD"/>
              </w:rPr>
              <w:t>0</w:t>
            </w:r>
          </w:p>
        </w:tc>
        <w:tc>
          <w:tcPr>
            <w:tcW w:w="801" w:type="dxa"/>
            <w:tcBorders>
              <w:top w:val="single" w:sz="4" w:space="0" w:color="auto"/>
              <w:bottom w:val="single" w:sz="4" w:space="0" w:color="auto"/>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18468</w:t>
            </w:r>
          </w:p>
        </w:tc>
        <w:tc>
          <w:tcPr>
            <w:tcW w:w="1003"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992" w:type="dxa"/>
            <w:tcBorders>
              <w:top w:val="nil"/>
              <w:left w:val="single" w:sz="4" w:space="0" w:color="auto"/>
              <w:bottom w:val="nil"/>
              <w:right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p>
        </w:tc>
        <w:tc>
          <w:tcPr>
            <w:tcW w:w="992" w:type="dxa"/>
            <w:tcBorders>
              <w:top w:val="single" w:sz="4" w:space="0" w:color="auto"/>
              <w:left w:val="single" w:sz="4" w:space="0" w:color="auto"/>
              <w:bottom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7,7597</w:t>
            </w:r>
          </w:p>
        </w:tc>
        <w:tc>
          <w:tcPr>
            <w:tcW w:w="1134" w:type="dxa"/>
            <w:tcBorders>
              <w:top w:val="single" w:sz="4" w:space="0" w:color="auto"/>
              <w:bottom w:val="single" w:sz="4" w:space="0" w:color="auto"/>
            </w:tcBorders>
          </w:tcPr>
          <w:p w:rsidR="0006442E" w:rsidRPr="002751FC" w:rsidRDefault="0006442E" w:rsidP="00F64554">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7,0759</w:t>
            </w:r>
          </w:p>
        </w:tc>
      </w:tr>
      <w:tr w:rsidR="00995AAC" w:rsidRPr="002751FC" w:rsidTr="00FE315B">
        <w:tc>
          <w:tcPr>
            <w:tcW w:w="497" w:type="dxa"/>
          </w:tcPr>
          <w:p w:rsidR="00E474F9" w:rsidRPr="002751FC" w:rsidRDefault="00E474F9" w:rsidP="00E474F9">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7</w:t>
            </w:r>
          </w:p>
        </w:tc>
        <w:tc>
          <w:tcPr>
            <w:tcW w:w="1329" w:type="dxa"/>
          </w:tcPr>
          <w:p w:rsidR="00E474F9" w:rsidRPr="002751FC" w:rsidRDefault="00E474F9" w:rsidP="00E474F9">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Specialist achiziții</w:t>
            </w:r>
          </w:p>
        </w:tc>
        <w:tc>
          <w:tcPr>
            <w:tcW w:w="739" w:type="dxa"/>
            <w:tcBorders>
              <w:right w:val="single" w:sz="4" w:space="0" w:color="auto"/>
            </w:tcBorders>
            <w:shd w:val="clear" w:color="auto" w:fill="FFFFFF" w:themeFill="background1"/>
          </w:tcPr>
          <w:p w:rsidR="00E474F9" w:rsidRPr="002751FC" w:rsidRDefault="00E474F9"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w:t>
            </w:r>
          </w:p>
        </w:tc>
        <w:tc>
          <w:tcPr>
            <w:tcW w:w="1116" w:type="dxa"/>
            <w:tcBorders>
              <w:top w:val="nil"/>
              <w:left w:val="single" w:sz="4" w:space="0" w:color="auto"/>
              <w:bottom w:val="nil"/>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1173" w:type="dxa"/>
            <w:tcBorders>
              <w:top w:val="single" w:sz="4" w:space="0" w:color="auto"/>
              <w:left w:val="single" w:sz="4" w:space="0" w:color="auto"/>
              <w:bottom w:val="nil"/>
              <w:right w:val="single" w:sz="4" w:space="0" w:color="auto"/>
            </w:tcBorders>
          </w:tcPr>
          <w:p w:rsidR="00E474F9" w:rsidRPr="002751FC" w:rsidRDefault="00F757A8"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1,800</w:t>
            </w:r>
          </w:p>
        </w:tc>
        <w:tc>
          <w:tcPr>
            <w:tcW w:w="801" w:type="dxa"/>
            <w:tcBorders>
              <w:top w:val="single" w:sz="4" w:space="0" w:color="auto"/>
              <w:left w:val="single" w:sz="4" w:space="0" w:color="auto"/>
              <w:bottom w:val="nil"/>
              <w:right w:val="single" w:sz="4" w:space="0" w:color="auto"/>
            </w:tcBorders>
          </w:tcPr>
          <w:p w:rsidR="00E474F9" w:rsidRPr="002751FC" w:rsidRDefault="00F757A8"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13680</w:t>
            </w:r>
          </w:p>
        </w:tc>
        <w:tc>
          <w:tcPr>
            <w:tcW w:w="1003" w:type="dxa"/>
            <w:tcBorders>
              <w:top w:val="nil"/>
              <w:left w:val="single" w:sz="4" w:space="0" w:color="auto"/>
              <w:bottom w:val="nil"/>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992" w:type="dxa"/>
            <w:tcBorders>
              <w:top w:val="nil"/>
              <w:left w:val="single" w:sz="4" w:space="0" w:color="auto"/>
              <w:bottom w:val="nil"/>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992" w:type="dxa"/>
            <w:tcBorders>
              <w:top w:val="single" w:sz="4" w:space="0" w:color="auto"/>
              <w:left w:val="single" w:sz="4" w:space="0" w:color="auto"/>
              <w:bottom w:val="nil"/>
              <w:right w:val="single" w:sz="4" w:space="0" w:color="auto"/>
            </w:tcBorders>
          </w:tcPr>
          <w:p w:rsidR="00E474F9" w:rsidRPr="002751FC" w:rsidRDefault="004A14E3"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5,7479</w:t>
            </w:r>
          </w:p>
        </w:tc>
        <w:tc>
          <w:tcPr>
            <w:tcW w:w="1134" w:type="dxa"/>
            <w:tcBorders>
              <w:top w:val="single" w:sz="4" w:space="0" w:color="auto"/>
              <w:left w:val="single" w:sz="4" w:space="0" w:color="auto"/>
              <w:bottom w:val="nil"/>
              <w:right w:val="single" w:sz="4" w:space="0" w:color="auto"/>
            </w:tcBorders>
          </w:tcPr>
          <w:p w:rsidR="00E474F9" w:rsidRPr="002751FC" w:rsidRDefault="004A14E3"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5,2414</w:t>
            </w:r>
          </w:p>
        </w:tc>
      </w:tr>
      <w:tr w:rsidR="004B7B8A" w:rsidRPr="002751FC" w:rsidTr="00FE315B">
        <w:tc>
          <w:tcPr>
            <w:tcW w:w="497" w:type="dxa"/>
          </w:tcPr>
          <w:p w:rsidR="00E474F9" w:rsidRPr="002751FC" w:rsidRDefault="00E474F9" w:rsidP="00E474F9">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8</w:t>
            </w:r>
          </w:p>
        </w:tc>
        <w:tc>
          <w:tcPr>
            <w:tcW w:w="1329" w:type="dxa"/>
          </w:tcPr>
          <w:p w:rsidR="00E474F9" w:rsidRPr="002751FC" w:rsidRDefault="00E474F9" w:rsidP="00E474F9">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Specialist IGP</w:t>
            </w:r>
          </w:p>
        </w:tc>
        <w:tc>
          <w:tcPr>
            <w:tcW w:w="739" w:type="dxa"/>
            <w:tcBorders>
              <w:right w:val="single" w:sz="4" w:space="0" w:color="auto"/>
            </w:tcBorders>
            <w:shd w:val="clear" w:color="auto" w:fill="FFFFFF" w:themeFill="background1"/>
          </w:tcPr>
          <w:p w:rsidR="00E474F9" w:rsidRPr="002751FC" w:rsidRDefault="00E474F9"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4</w:t>
            </w:r>
          </w:p>
        </w:tc>
        <w:tc>
          <w:tcPr>
            <w:tcW w:w="1116" w:type="dxa"/>
            <w:tcBorders>
              <w:top w:val="nil"/>
              <w:left w:val="single" w:sz="4" w:space="0" w:color="auto"/>
              <w:bottom w:val="nil"/>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1173" w:type="dxa"/>
            <w:tcBorders>
              <w:top w:val="nil"/>
              <w:left w:val="single" w:sz="4" w:space="0" w:color="auto"/>
              <w:bottom w:val="single" w:sz="4" w:space="0" w:color="auto"/>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801" w:type="dxa"/>
            <w:tcBorders>
              <w:top w:val="nil"/>
              <w:left w:val="single" w:sz="4" w:space="0" w:color="auto"/>
              <w:bottom w:val="single" w:sz="4" w:space="0" w:color="auto"/>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1003" w:type="dxa"/>
            <w:tcBorders>
              <w:top w:val="nil"/>
              <w:left w:val="single" w:sz="4" w:space="0" w:color="auto"/>
              <w:bottom w:val="nil"/>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992" w:type="dxa"/>
            <w:tcBorders>
              <w:top w:val="nil"/>
              <w:left w:val="single" w:sz="4" w:space="0" w:color="auto"/>
              <w:bottom w:val="nil"/>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992" w:type="dxa"/>
            <w:tcBorders>
              <w:top w:val="nil"/>
              <w:left w:val="single" w:sz="4" w:space="0" w:color="auto"/>
              <w:bottom w:val="single" w:sz="4" w:space="0" w:color="auto"/>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1134" w:type="dxa"/>
            <w:tcBorders>
              <w:top w:val="nil"/>
              <w:left w:val="single" w:sz="4" w:space="0" w:color="auto"/>
              <w:bottom w:val="single" w:sz="4" w:space="0" w:color="auto"/>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r>
      <w:tr w:rsidR="001367CB" w:rsidRPr="002751FC" w:rsidTr="00FE315B">
        <w:tc>
          <w:tcPr>
            <w:tcW w:w="497" w:type="dxa"/>
          </w:tcPr>
          <w:p w:rsidR="00E474F9" w:rsidRPr="002751FC" w:rsidRDefault="00E474F9" w:rsidP="00E474F9">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9</w:t>
            </w:r>
          </w:p>
        </w:tc>
        <w:tc>
          <w:tcPr>
            <w:tcW w:w="1329" w:type="dxa"/>
          </w:tcPr>
          <w:p w:rsidR="00E474F9" w:rsidRPr="002751FC" w:rsidRDefault="00E474F9" w:rsidP="00E474F9">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Manager de oficiu</w:t>
            </w:r>
          </w:p>
        </w:tc>
        <w:tc>
          <w:tcPr>
            <w:tcW w:w="739" w:type="dxa"/>
            <w:tcBorders>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w:t>
            </w:r>
          </w:p>
        </w:tc>
        <w:tc>
          <w:tcPr>
            <w:tcW w:w="1116" w:type="dxa"/>
            <w:tcBorders>
              <w:top w:val="nil"/>
              <w:left w:val="single" w:sz="4" w:space="0" w:color="auto"/>
              <w:bottom w:val="nil"/>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1173" w:type="dxa"/>
            <w:tcBorders>
              <w:top w:val="single" w:sz="4" w:space="0" w:color="auto"/>
              <w:lef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1,350</w:t>
            </w:r>
          </w:p>
        </w:tc>
        <w:tc>
          <w:tcPr>
            <w:tcW w:w="801" w:type="dxa"/>
            <w:tcBorders>
              <w:top w:val="single" w:sz="4" w:space="0" w:color="auto"/>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10260</w:t>
            </w:r>
          </w:p>
        </w:tc>
        <w:tc>
          <w:tcPr>
            <w:tcW w:w="1003" w:type="dxa"/>
            <w:tcBorders>
              <w:top w:val="nil"/>
              <w:left w:val="single" w:sz="4" w:space="0" w:color="auto"/>
              <w:bottom w:val="nil"/>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992" w:type="dxa"/>
            <w:tcBorders>
              <w:top w:val="nil"/>
              <w:left w:val="single" w:sz="4" w:space="0" w:color="auto"/>
              <w:bottom w:val="nil"/>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992" w:type="dxa"/>
            <w:tcBorders>
              <w:top w:val="single" w:sz="4" w:space="0" w:color="auto"/>
              <w:lef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4,3109</w:t>
            </w:r>
          </w:p>
        </w:tc>
        <w:tc>
          <w:tcPr>
            <w:tcW w:w="1134" w:type="dxa"/>
            <w:tcBorders>
              <w:top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3,9310</w:t>
            </w:r>
          </w:p>
        </w:tc>
      </w:tr>
      <w:tr w:rsidR="001367CB" w:rsidRPr="002751FC" w:rsidTr="00FE315B">
        <w:tc>
          <w:tcPr>
            <w:tcW w:w="497" w:type="dxa"/>
          </w:tcPr>
          <w:p w:rsidR="00E474F9" w:rsidRPr="002751FC" w:rsidRDefault="00E474F9" w:rsidP="00E474F9">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10</w:t>
            </w:r>
          </w:p>
        </w:tc>
        <w:tc>
          <w:tcPr>
            <w:tcW w:w="1329" w:type="dxa"/>
          </w:tcPr>
          <w:p w:rsidR="00E474F9" w:rsidRPr="002751FC" w:rsidRDefault="00E474F9" w:rsidP="00E474F9">
            <w:pPr>
              <w:pStyle w:val="a5"/>
              <w:rPr>
                <w:rFonts w:asciiTheme="majorHAnsi" w:hAnsiTheme="majorHAnsi" w:cstheme="majorHAnsi"/>
                <w:sz w:val="16"/>
                <w:szCs w:val="16"/>
                <w:lang w:val="ro-MD"/>
              </w:rPr>
            </w:pPr>
            <w:r w:rsidRPr="002751FC">
              <w:rPr>
                <w:rFonts w:asciiTheme="majorHAnsi" w:hAnsiTheme="majorHAnsi" w:cstheme="majorHAnsi"/>
                <w:sz w:val="16"/>
                <w:szCs w:val="16"/>
                <w:lang w:val="ro-MD"/>
              </w:rPr>
              <w:t>Administrator logistică</w:t>
            </w:r>
          </w:p>
        </w:tc>
        <w:tc>
          <w:tcPr>
            <w:tcW w:w="739" w:type="dxa"/>
            <w:tcBorders>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w:t>
            </w:r>
          </w:p>
        </w:tc>
        <w:tc>
          <w:tcPr>
            <w:tcW w:w="1116" w:type="dxa"/>
            <w:tcBorders>
              <w:top w:val="nil"/>
              <w:left w:val="single" w:sz="4" w:space="0" w:color="auto"/>
              <w:bottom w:val="single" w:sz="4" w:space="0" w:color="auto"/>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1173" w:type="dxa"/>
            <w:tcBorders>
              <w:lef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1,000</w:t>
            </w:r>
          </w:p>
        </w:tc>
        <w:tc>
          <w:tcPr>
            <w:tcW w:w="801" w:type="dxa"/>
            <w:tcBorders>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7600</w:t>
            </w:r>
          </w:p>
        </w:tc>
        <w:tc>
          <w:tcPr>
            <w:tcW w:w="1003" w:type="dxa"/>
            <w:tcBorders>
              <w:top w:val="nil"/>
              <w:left w:val="single" w:sz="4" w:space="0" w:color="auto"/>
              <w:bottom w:val="single" w:sz="4" w:space="0" w:color="auto"/>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992" w:type="dxa"/>
            <w:tcBorders>
              <w:top w:val="nil"/>
              <w:left w:val="single" w:sz="4" w:space="0" w:color="auto"/>
              <w:bottom w:val="single" w:sz="4" w:space="0" w:color="auto"/>
              <w:righ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p>
        </w:tc>
        <w:tc>
          <w:tcPr>
            <w:tcW w:w="992" w:type="dxa"/>
            <w:tcBorders>
              <w:left w:val="single" w:sz="4" w:space="0" w:color="auto"/>
            </w:tcBorders>
          </w:tcPr>
          <w:p w:rsidR="00E474F9" w:rsidRPr="002751FC" w:rsidRDefault="00E474F9"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3,1933</w:t>
            </w:r>
          </w:p>
        </w:tc>
        <w:tc>
          <w:tcPr>
            <w:tcW w:w="1134" w:type="dxa"/>
          </w:tcPr>
          <w:p w:rsidR="00E474F9" w:rsidRPr="002751FC" w:rsidRDefault="00E474F9" w:rsidP="00E474F9">
            <w:pPr>
              <w:pStyle w:val="a5"/>
              <w:jc w:val="center"/>
              <w:rPr>
                <w:rFonts w:asciiTheme="majorHAnsi" w:hAnsiTheme="majorHAnsi" w:cstheme="majorHAnsi"/>
                <w:sz w:val="16"/>
                <w:szCs w:val="16"/>
                <w:lang w:val="ro-MD"/>
              </w:rPr>
            </w:pPr>
            <w:r w:rsidRPr="002751FC">
              <w:rPr>
                <w:rFonts w:asciiTheme="majorHAnsi" w:hAnsiTheme="majorHAnsi" w:cstheme="majorHAnsi"/>
                <w:sz w:val="16"/>
                <w:szCs w:val="16"/>
                <w:lang w:val="ro-MD"/>
              </w:rPr>
              <w:t>2,9119</w:t>
            </w:r>
          </w:p>
        </w:tc>
      </w:tr>
    </w:tbl>
    <w:p w:rsidR="002B0C1F" w:rsidRPr="002751FC" w:rsidRDefault="002B0C1F" w:rsidP="00B72C3E">
      <w:pPr>
        <w:pStyle w:val="a5"/>
        <w:rPr>
          <w:rFonts w:asciiTheme="majorHAnsi" w:hAnsiTheme="majorHAnsi" w:cstheme="majorHAnsi"/>
          <w:sz w:val="16"/>
          <w:szCs w:val="16"/>
          <w:lang w:val="ro-MD"/>
        </w:rPr>
      </w:pPr>
      <w:r w:rsidRPr="002751FC">
        <w:rPr>
          <w:rFonts w:asciiTheme="majorHAnsi" w:hAnsiTheme="majorHAnsi" w:cstheme="majorHAnsi"/>
          <w:b/>
          <w:sz w:val="16"/>
          <w:szCs w:val="16"/>
          <w:lang w:val="ro-MD"/>
        </w:rPr>
        <w:t>Sursa:</w:t>
      </w:r>
      <w:r w:rsidRPr="002751FC">
        <w:rPr>
          <w:rFonts w:asciiTheme="majorHAnsi" w:hAnsiTheme="majorHAnsi" w:cstheme="majorHAnsi"/>
          <w:sz w:val="16"/>
          <w:szCs w:val="16"/>
          <w:lang w:val="ro-MD"/>
        </w:rPr>
        <w:t xml:space="preserve"> Datele ONVV și </w:t>
      </w:r>
      <w:r w:rsidR="002F5DFD" w:rsidRPr="002751FC">
        <w:rPr>
          <w:rFonts w:asciiTheme="majorHAnsi" w:hAnsiTheme="majorHAnsi" w:cstheme="majorHAnsi"/>
          <w:sz w:val="16"/>
          <w:szCs w:val="16"/>
          <w:lang w:val="ro-MD"/>
        </w:rPr>
        <w:t>cadrul</w:t>
      </w:r>
      <w:r w:rsidRPr="002751FC">
        <w:rPr>
          <w:rFonts w:asciiTheme="majorHAnsi" w:hAnsiTheme="majorHAnsi" w:cstheme="majorHAnsi"/>
          <w:sz w:val="16"/>
          <w:szCs w:val="16"/>
          <w:lang w:val="ro-MD"/>
        </w:rPr>
        <w:t xml:space="preserve"> regulator.</w:t>
      </w:r>
    </w:p>
    <w:p w:rsidR="002B0C1F" w:rsidRPr="002751FC" w:rsidRDefault="002B0C1F" w:rsidP="00B72C3E">
      <w:pPr>
        <w:pStyle w:val="a5"/>
        <w:rPr>
          <w:rFonts w:asciiTheme="majorHAnsi" w:hAnsiTheme="majorHAnsi" w:cstheme="majorHAnsi"/>
          <w:lang w:val="ro-MD"/>
        </w:rPr>
      </w:pPr>
    </w:p>
    <w:p w:rsidR="002B0C1F" w:rsidRPr="002751FC" w:rsidRDefault="002B0C1F" w:rsidP="00B72C3E">
      <w:pPr>
        <w:pStyle w:val="a5"/>
        <w:rPr>
          <w:rFonts w:asciiTheme="majorHAnsi" w:hAnsiTheme="majorHAnsi" w:cstheme="majorHAnsi"/>
          <w:i/>
          <w:sz w:val="28"/>
          <w:szCs w:val="28"/>
          <w:lang w:val="ro-MD"/>
        </w:rPr>
      </w:pPr>
      <w:r w:rsidRPr="002751FC">
        <w:rPr>
          <w:rFonts w:asciiTheme="majorHAnsi" w:hAnsiTheme="majorHAnsi" w:cstheme="majorHAnsi"/>
          <w:sz w:val="28"/>
          <w:szCs w:val="28"/>
          <w:lang w:val="ro-MD"/>
        </w:rPr>
        <w:lastRenderedPageBreak/>
        <w:t>Calculele efectuate de audit denotă că salariile stabilite angajați</w:t>
      </w:r>
      <w:r w:rsidR="009C1296" w:rsidRPr="002751FC">
        <w:rPr>
          <w:rFonts w:asciiTheme="majorHAnsi" w:hAnsiTheme="majorHAnsi" w:cstheme="majorHAnsi"/>
          <w:sz w:val="28"/>
          <w:szCs w:val="28"/>
          <w:lang w:val="ro-MD"/>
        </w:rPr>
        <w:t>lor</w:t>
      </w:r>
      <w:r w:rsidRPr="002751FC">
        <w:rPr>
          <w:rFonts w:asciiTheme="majorHAnsi" w:hAnsiTheme="majorHAnsi" w:cstheme="majorHAnsi"/>
          <w:sz w:val="28"/>
          <w:szCs w:val="28"/>
          <w:lang w:val="ro-MD"/>
        </w:rPr>
        <w:t xml:space="preserve"> ONVV pentru anul 2018 sunt în corespundere cu prevederile cadrului regulator. Totodată, lipsa în cadrul regulator a unor prevederi exhaustive privitor la </w:t>
      </w:r>
      <w:r w:rsidR="00915B0D" w:rsidRPr="002751FC">
        <w:rPr>
          <w:rFonts w:asciiTheme="majorHAnsi" w:hAnsiTheme="majorHAnsi" w:cstheme="majorHAnsi"/>
          <w:sz w:val="28"/>
          <w:szCs w:val="28"/>
          <w:lang w:val="ro-MD"/>
        </w:rPr>
        <w:t>nivelul/</w:t>
      </w:r>
      <w:r w:rsidR="009C1296" w:rsidRPr="002751FC">
        <w:rPr>
          <w:rFonts w:asciiTheme="majorHAnsi" w:hAnsiTheme="majorHAnsi" w:cstheme="majorHAnsi"/>
          <w:sz w:val="28"/>
          <w:szCs w:val="28"/>
          <w:lang w:val="ro-MD"/>
        </w:rPr>
        <w:t xml:space="preserve">cuantumul </w:t>
      </w:r>
      <w:r w:rsidRPr="002751FC">
        <w:rPr>
          <w:rFonts w:asciiTheme="majorHAnsi" w:hAnsiTheme="majorHAnsi" w:cstheme="majorHAnsi"/>
          <w:sz w:val="28"/>
          <w:szCs w:val="28"/>
          <w:lang w:val="ro-MD"/>
        </w:rPr>
        <w:t xml:space="preserve">maxim cu care entitățile </w:t>
      </w:r>
      <w:r w:rsidR="00BE7C6E" w:rsidRPr="002751FC">
        <w:rPr>
          <w:rFonts w:asciiTheme="majorHAnsi" w:hAnsiTheme="majorHAnsi" w:cstheme="majorHAnsi"/>
          <w:sz w:val="28"/>
          <w:szCs w:val="28"/>
          <w:lang w:val="ro-MD"/>
        </w:rPr>
        <w:t>își</w:t>
      </w:r>
      <w:r w:rsidRPr="002751FC">
        <w:rPr>
          <w:rFonts w:asciiTheme="majorHAnsi" w:hAnsiTheme="majorHAnsi" w:cstheme="majorHAnsi"/>
          <w:sz w:val="28"/>
          <w:szCs w:val="28"/>
          <w:lang w:val="ro-MD"/>
        </w:rPr>
        <w:t xml:space="preserve"> pot stabili salariile tarifare pentru categoria I a </w:t>
      </w:r>
      <w:r w:rsidR="00915B0D" w:rsidRPr="002751FC">
        <w:rPr>
          <w:rFonts w:asciiTheme="majorHAnsi" w:hAnsiTheme="majorHAnsi" w:cstheme="majorHAnsi"/>
          <w:sz w:val="28"/>
          <w:szCs w:val="28"/>
          <w:lang w:val="ro-MD"/>
        </w:rPr>
        <w:t>condiționat</w:t>
      </w:r>
      <w:r w:rsidRPr="002751FC">
        <w:rPr>
          <w:rFonts w:asciiTheme="majorHAnsi" w:hAnsiTheme="majorHAnsi" w:cstheme="majorHAnsi"/>
          <w:sz w:val="28"/>
          <w:szCs w:val="28"/>
          <w:lang w:val="ro-MD"/>
        </w:rPr>
        <w:t xml:space="preserve"> faptul că salariul de bază a</w:t>
      </w:r>
      <w:r w:rsidR="00915B0D" w:rsidRPr="002751FC">
        <w:rPr>
          <w:rFonts w:asciiTheme="majorHAnsi" w:hAnsiTheme="majorHAnsi" w:cstheme="majorHAnsi"/>
          <w:sz w:val="28"/>
          <w:szCs w:val="28"/>
          <w:lang w:val="ro-MD"/>
        </w:rPr>
        <w:t>l</w:t>
      </w:r>
      <w:r w:rsidRPr="002751FC">
        <w:rPr>
          <w:rFonts w:asciiTheme="majorHAnsi" w:hAnsiTheme="majorHAnsi" w:cstheme="majorHAnsi"/>
          <w:sz w:val="28"/>
          <w:szCs w:val="28"/>
          <w:lang w:val="ro-MD"/>
        </w:rPr>
        <w:t xml:space="preserve"> conducătorului ONVV a constituit 53,2 mii </w:t>
      </w:r>
      <w:r w:rsidR="00915B0D" w:rsidRPr="002751FC">
        <w:rPr>
          <w:rFonts w:asciiTheme="majorHAnsi" w:hAnsiTheme="majorHAnsi" w:cstheme="majorHAnsi"/>
          <w:sz w:val="28"/>
          <w:szCs w:val="28"/>
          <w:lang w:val="ro-MD"/>
        </w:rPr>
        <w:t>MDL</w:t>
      </w:r>
      <w:r w:rsidRPr="002751FC">
        <w:rPr>
          <w:rFonts w:asciiTheme="majorHAnsi" w:hAnsiTheme="majorHAnsi" w:cstheme="majorHAnsi"/>
          <w:sz w:val="28"/>
          <w:szCs w:val="28"/>
          <w:lang w:val="ro-MD"/>
        </w:rPr>
        <w:t xml:space="preserve">, iar salariul mediu </w:t>
      </w:r>
      <w:r w:rsidR="00BE7C6E" w:rsidRPr="002751FC">
        <w:rPr>
          <w:rFonts w:asciiTheme="majorHAnsi" w:hAnsiTheme="majorHAnsi" w:cstheme="majorHAnsi"/>
          <w:sz w:val="28"/>
          <w:szCs w:val="28"/>
          <w:lang w:val="ro-MD"/>
        </w:rPr>
        <w:t>lunar</w:t>
      </w:r>
      <w:r w:rsidRPr="002751FC">
        <w:rPr>
          <w:rFonts w:asciiTheme="majorHAnsi" w:hAnsiTheme="majorHAnsi" w:cstheme="majorHAnsi"/>
          <w:sz w:val="28"/>
          <w:szCs w:val="28"/>
          <w:lang w:val="ro-MD"/>
        </w:rPr>
        <w:t xml:space="preserve"> al acestuia </w:t>
      </w:r>
      <w:r w:rsidR="00915B0D" w:rsidRPr="002751FC">
        <w:rPr>
          <w:rFonts w:asciiTheme="majorHAnsi" w:hAnsiTheme="majorHAnsi" w:cstheme="majorHAnsi"/>
          <w:lang w:val="ro-MD"/>
        </w:rPr>
        <w:t xml:space="preserve">– </w:t>
      </w:r>
      <w:r w:rsidRPr="002751FC">
        <w:rPr>
          <w:rFonts w:asciiTheme="majorHAnsi" w:hAnsiTheme="majorHAnsi" w:cstheme="majorHAnsi"/>
          <w:sz w:val="28"/>
          <w:szCs w:val="28"/>
          <w:lang w:val="ro-MD"/>
        </w:rPr>
        <w:t xml:space="preserve">66,5 mii </w:t>
      </w:r>
      <w:r w:rsidR="00915B0D" w:rsidRPr="002751FC">
        <w:rPr>
          <w:rFonts w:asciiTheme="majorHAnsi" w:hAnsiTheme="majorHAnsi" w:cstheme="majorHAnsi"/>
          <w:sz w:val="28"/>
          <w:szCs w:val="28"/>
          <w:lang w:val="ro-MD"/>
        </w:rPr>
        <w:t>MDL</w:t>
      </w:r>
      <w:r w:rsidRPr="002751FC">
        <w:rPr>
          <w:rFonts w:asciiTheme="majorHAnsi" w:hAnsiTheme="majorHAnsi" w:cstheme="majorHAnsi"/>
          <w:sz w:val="28"/>
          <w:szCs w:val="28"/>
          <w:lang w:val="ro-MD"/>
        </w:rPr>
        <w:t>. Salariul de bază</w:t>
      </w:r>
      <w:r w:rsidR="00BE7C6E" w:rsidRPr="002751FC">
        <w:rPr>
          <w:rFonts w:asciiTheme="majorHAnsi" w:hAnsiTheme="majorHAnsi" w:cstheme="majorHAnsi"/>
          <w:sz w:val="28"/>
          <w:szCs w:val="28"/>
          <w:lang w:val="ro-MD"/>
        </w:rPr>
        <w:t xml:space="preserve"> pentru cei</w:t>
      </w:r>
      <w:r w:rsidRPr="002751FC">
        <w:rPr>
          <w:rFonts w:asciiTheme="majorHAnsi" w:hAnsiTheme="majorHAnsi" w:cstheme="majorHAnsi"/>
          <w:sz w:val="28"/>
          <w:szCs w:val="28"/>
          <w:lang w:val="ro-MD"/>
        </w:rPr>
        <w:t xml:space="preserve">lalți angajați a variat de la 7,6 mii </w:t>
      </w:r>
      <w:r w:rsidR="004179EF" w:rsidRPr="002751FC">
        <w:rPr>
          <w:rFonts w:asciiTheme="majorHAnsi" w:hAnsiTheme="majorHAnsi" w:cstheme="majorHAnsi"/>
          <w:sz w:val="28"/>
          <w:szCs w:val="28"/>
          <w:lang w:val="ro-MD"/>
        </w:rPr>
        <w:t xml:space="preserve">MDL </w:t>
      </w:r>
      <w:r w:rsidRPr="002751FC">
        <w:rPr>
          <w:rFonts w:asciiTheme="majorHAnsi" w:hAnsiTheme="majorHAnsi" w:cstheme="majorHAnsi"/>
          <w:sz w:val="28"/>
          <w:szCs w:val="28"/>
          <w:lang w:val="ro-MD"/>
        </w:rPr>
        <w:t>până la</w:t>
      </w:r>
      <w:r w:rsidR="006079B3" w:rsidRPr="002751FC">
        <w:rPr>
          <w:rFonts w:asciiTheme="majorHAnsi" w:hAnsiTheme="majorHAnsi" w:cstheme="majorHAnsi"/>
          <w:sz w:val="28"/>
          <w:szCs w:val="28"/>
          <w:lang w:val="ro-MD"/>
        </w:rPr>
        <w:t xml:space="preserve"> 34,96 mii </w:t>
      </w:r>
      <w:r w:rsidR="004179EF" w:rsidRPr="002751FC">
        <w:rPr>
          <w:rFonts w:asciiTheme="majorHAnsi" w:hAnsiTheme="majorHAnsi" w:cstheme="majorHAnsi"/>
          <w:sz w:val="28"/>
          <w:szCs w:val="28"/>
          <w:lang w:val="ro-MD"/>
        </w:rPr>
        <w:t>MDL</w:t>
      </w:r>
      <w:r w:rsidR="006079B3" w:rsidRPr="002751FC">
        <w:rPr>
          <w:rFonts w:asciiTheme="majorHAnsi" w:hAnsiTheme="majorHAnsi" w:cstheme="majorHAnsi"/>
          <w:sz w:val="28"/>
          <w:szCs w:val="28"/>
          <w:lang w:val="ro-MD"/>
        </w:rPr>
        <w:t xml:space="preserve">. </w:t>
      </w:r>
      <w:r w:rsidRPr="002751FC">
        <w:rPr>
          <w:rFonts w:asciiTheme="majorHAnsi" w:hAnsiTheme="majorHAnsi" w:cstheme="majorHAnsi"/>
          <w:i/>
          <w:sz w:val="28"/>
          <w:szCs w:val="28"/>
          <w:lang w:val="ro-MD"/>
        </w:rPr>
        <w:t>Sinteza salariilor de bază stabilite angajaților ONVV se prezintă în Anexa nr.10 la prezentul Raport de audit.</w:t>
      </w:r>
    </w:p>
    <w:p w:rsidR="002B0C1F" w:rsidRPr="002751FC" w:rsidRDefault="002B0C1F" w:rsidP="00B72C3E">
      <w:pPr>
        <w:pStyle w:val="a5"/>
        <w:rPr>
          <w:rFonts w:asciiTheme="majorHAnsi" w:hAnsiTheme="majorHAnsi" w:cstheme="majorHAnsi"/>
          <w:lang w:val="ro-MD"/>
        </w:rPr>
      </w:pPr>
    </w:p>
    <w:p w:rsidR="002B0C1F" w:rsidRPr="002751FC" w:rsidRDefault="002B0C1F" w:rsidP="00B72C3E">
      <w:pPr>
        <w:pStyle w:val="a5"/>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De </w:t>
      </w:r>
      <w:r w:rsidR="006079B3" w:rsidRPr="002751FC">
        <w:rPr>
          <w:rFonts w:asciiTheme="majorHAnsi" w:hAnsiTheme="majorHAnsi" w:cstheme="majorHAnsi"/>
          <w:sz w:val="28"/>
          <w:szCs w:val="28"/>
          <w:lang w:val="ro-MD"/>
        </w:rPr>
        <w:t xml:space="preserve">asemenea, </w:t>
      </w:r>
      <w:r w:rsidRPr="002751FC">
        <w:rPr>
          <w:rFonts w:asciiTheme="majorHAnsi" w:hAnsiTheme="majorHAnsi" w:cstheme="majorHAnsi"/>
          <w:sz w:val="28"/>
          <w:szCs w:val="28"/>
          <w:lang w:val="ro-MD"/>
        </w:rPr>
        <w:t xml:space="preserve">se </w:t>
      </w:r>
      <w:r w:rsidR="006079B3" w:rsidRPr="002751FC">
        <w:rPr>
          <w:rFonts w:asciiTheme="majorHAnsi" w:hAnsiTheme="majorHAnsi" w:cstheme="majorHAnsi"/>
          <w:sz w:val="28"/>
          <w:szCs w:val="28"/>
          <w:lang w:val="ro-MD"/>
        </w:rPr>
        <w:t>a</w:t>
      </w:r>
      <w:r w:rsidRPr="002751FC">
        <w:rPr>
          <w:rFonts w:asciiTheme="majorHAnsi" w:hAnsiTheme="majorHAnsi" w:cstheme="majorHAnsi"/>
          <w:sz w:val="28"/>
          <w:szCs w:val="28"/>
          <w:lang w:val="ro-MD"/>
        </w:rPr>
        <w:t>testă și alte lacune în cadrul regulator. Astfel, pct.5, pct.5</w:t>
      </w:r>
      <w:r w:rsidRPr="002751FC">
        <w:rPr>
          <w:rFonts w:asciiTheme="majorHAnsi" w:hAnsiTheme="majorHAnsi" w:cstheme="majorHAnsi"/>
          <w:sz w:val="28"/>
          <w:szCs w:val="28"/>
          <w:vertAlign w:val="superscript"/>
          <w:lang w:val="ro-MD"/>
        </w:rPr>
        <w:t>1</w:t>
      </w:r>
      <w:r w:rsidRPr="002751FC">
        <w:rPr>
          <w:rFonts w:asciiTheme="majorHAnsi" w:hAnsiTheme="majorHAnsi" w:cstheme="majorHAnsi"/>
          <w:sz w:val="28"/>
          <w:szCs w:val="28"/>
          <w:lang w:val="ro-MD"/>
        </w:rPr>
        <w:t xml:space="preserve"> ș</w:t>
      </w:r>
      <w:r w:rsidR="00200247" w:rsidRPr="002751FC">
        <w:rPr>
          <w:rFonts w:asciiTheme="majorHAnsi" w:hAnsiTheme="majorHAnsi" w:cstheme="majorHAnsi"/>
          <w:sz w:val="28"/>
          <w:szCs w:val="28"/>
          <w:lang w:val="ro-MD"/>
        </w:rPr>
        <w:t>i</w:t>
      </w:r>
      <w:r w:rsidRPr="002751FC">
        <w:rPr>
          <w:rFonts w:asciiTheme="majorHAnsi" w:hAnsiTheme="majorHAnsi" w:cstheme="majorHAnsi"/>
          <w:sz w:val="28"/>
          <w:szCs w:val="28"/>
          <w:lang w:val="ro-MD"/>
        </w:rPr>
        <w:t xml:space="preserve"> pct.5</w:t>
      </w:r>
      <w:r w:rsidRPr="002751FC">
        <w:rPr>
          <w:rFonts w:asciiTheme="majorHAnsi" w:hAnsiTheme="majorHAnsi" w:cstheme="majorHAnsi"/>
          <w:sz w:val="28"/>
          <w:szCs w:val="28"/>
          <w:vertAlign w:val="superscript"/>
          <w:lang w:val="ro-MD"/>
        </w:rPr>
        <w:t>2</w:t>
      </w:r>
      <w:r w:rsidRPr="002751FC">
        <w:rPr>
          <w:rFonts w:asciiTheme="majorHAnsi" w:hAnsiTheme="majorHAnsi" w:cstheme="majorHAnsi"/>
          <w:sz w:val="28"/>
          <w:szCs w:val="28"/>
          <w:lang w:val="ro-MD"/>
        </w:rPr>
        <w:t xml:space="preserve"> din HG </w:t>
      </w:r>
      <w:r w:rsidR="00200247" w:rsidRPr="002751FC">
        <w:rPr>
          <w:rFonts w:asciiTheme="majorHAnsi" w:hAnsiTheme="majorHAnsi" w:cstheme="majorHAnsi"/>
          <w:sz w:val="28"/>
          <w:szCs w:val="28"/>
          <w:lang w:val="ro-MD"/>
        </w:rPr>
        <w:t>nr.</w:t>
      </w:r>
      <w:r w:rsidRPr="002751FC">
        <w:rPr>
          <w:rFonts w:asciiTheme="majorHAnsi" w:hAnsiTheme="majorHAnsi" w:cstheme="majorHAnsi"/>
          <w:sz w:val="28"/>
          <w:szCs w:val="28"/>
          <w:lang w:val="ro-MD"/>
        </w:rPr>
        <w:t xml:space="preserve">743 din </w:t>
      </w:r>
      <w:r w:rsidRPr="00E031FA">
        <w:rPr>
          <w:rFonts w:asciiTheme="majorHAnsi" w:hAnsiTheme="majorHAnsi" w:cstheme="majorHAnsi"/>
          <w:sz w:val="28"/>
          <w:szCs w:val="28"/>
          <w:lang w:val="ro-MD"/>
        </w:rPr>
        <w:t>11.06.20</w:t>
      </w:r>
      <w:r w:rsidR="0044561A" w:rsidRPr="00E031FA">
        <w:rPr>
          <w:rFonts w:asciiTheme="majorHAnsi" w:hAnsiTheme="majorHAnsi" w:cstheme="majorHAnsi"/>
          <w:sz w:val="28"/>
          <w:szCs w:val="28"/>
          <w:lang w:val="en-US"/>
        </w:rPr>
        <w:t>02</w:t>
      </w:r>
      <w:r w:rsidRPr="00E031FA">
        <w:rPr>
          <w:rFonts w:asciiTheme="majorHAnsi" w:hAnsiTheme="majorHAnsi" w:cstheme="majorHAnsi"/>
          <w:sz w:val="28"/>
          <w:szCs w:val="28"/>
          <w:lang w:val="ro-MD"/>
        </w:rPr>
        <w:t xml:space="preserve"> reglementează</w:t>
      </w:r>
      <w:r w:rsidRPr="002751FC">
        <w:rPr>
          <w:rFonts w:asciiTheme="majorHAnsi" w:hAnsiTheme="majorHAnsi" w:cstheme="majorHAnsi"/>
          <w:sz w:val="28"/>
          <w:szCs w:val="28"/>
          <w:lang w:val="ro-MD"/>
        </w:rPr>
        <w:t xml:space="preserve"> </w:t>
      </w:r>
      <w:r w:rsidR="00200247" w:rsidRPr="002751FC">
        <w:rPr>
          <w:rFonts w:asciiTheme="majorHAnsi" w:hAnsiTheme="majorHAnsi" w:cstheme="majorHAnsi"/>
          <w:sz w:val="28"/>
          <w:szCs w:val="28"/>
          <w:lang w:val="ro-MD"/>
        </w:rPr>
        <w:t>plafo</w:t>
      </w:r>
      <w:r w:rsidR="004179EF" w:rsidRPr="002751FC">
        <w:rPr>
          <w:rFonts w:asciiTheme="majorHAnsi" w:hAnsiTheme="majorHAnsi" w:cstheme="majorHAnsi"/>
          <w:sz w:val="28"/>
          <w:szCs w:val="28"/>
          <w:lang w:val="ro-MD"/>
        </w:rPr>
        <w:t>a</w:t>
      </w:r>
      <w:r w:rsidR="00200247" w:rsidRPr="002751FC">
        <w:rPr>
          <w:rFonts w:asciiTheme="majorHAnsi" w:hAnsiTheme="majorHAnsi" w:cstheme="majorHAnsi"/>
          <w:sz w:val="28"/>
          <w:szCs w:val="28"/>
          <w:lang w:val="ro-MD"/>
        </w:rPr>
        <w:t>n</w:t>
      </w:r>
      <w:r w:rsidR="004179EF" w:rsidRPr="002751FC">
        <w:rPr>
          <w:rFonts w:asciiTheme="majorHAnsi" w:hAnsiTheme="majorHAnsi" w:cstheme="majorHAnsi"/>
          <w:sz w:val="28"/>
          <w:szCs w:val="28"/>
          <w:lang w:val="ro-MD"/>
        </w:rPr>
        <w:t>e</w:t>
      </w:r>
      <w:r w:rsidR="00200247" w:rsidRPr="002751FC">
        <w:rPr>
          <w:rFonts w:asciiTheme="majorHAnsi" w:hAnsiTheme="majorHAnsi" w:cstheme="majorHAnsi"/>
          <w:sz w:val="28"/>
          <w:szCs w:val="28"/>
          <w:lang w:val="ro-MD"/>
        </w:rPr>
        <w:t>l</w:t>
      </w:r>
      <w:r w:rsidR="004179EF" w:rsidRPr="002751FC">
        <w:rPr>
          <w:rFonts w:asciiTheme="majorHAnsi" w:hAnsiTheme="majorHAnsi" w:cstheme="majorHAnsi"/>
          <w:sz w:val="28"/>
          <w:szCs w:val="28"/>
          <w:lang w:val="ro-MD"/>
        </w:rPr>
        <w:t>e</w:t>
      </w:r>
      <w:r w:rsidRPr="002751FC">
        <w:rPr>
          <w:rFonts w:asciiTheme="majorHAnsi" w:hAnsiTheme="majorHAnsi" w:cstheme="majorHAnsi"/>
          <w:sz w:val="28"/>
          <w:szCs w:val="28"/>
          <w:lang w:val="ro-MD"/>
        </w:rPr>
        <w:t xml:space="preserve"> minim și maxim a</w:t>
      </w:r>
      <w:r w:rsidR="004179EF" w:rsidRPr="002751FC">
        <w:rPr>
          <w:rFonts w:asciiTheme="majorHAnsi" w:hAnsiTheme="majorHAnsi" w:cstheme="majorHAnsi"/>
          <w:sz w:val="28"/>
          <w:szCs w:val="28"/>
          <w:lang w:val="ro-MD"/>
        </w:rPr>
        <w:t>le</w:t>
      </w:r>
      <w:r w:rsidRPr="002751FC">
        <w:rPr>
          <w:rFonts w:asciiTheme="majorHAnsi" w:hAnsiTheme="majorHAnsi" w:cstheme="majorHAnsi"/>
          <w:sz w:val="28"/>
          <w:szCs w:val="28"/>
          <w:lang w:val="ro-MD"/>
        </w:rPr>
        <w:t xml:space="preserve"> salariilor doar pentru conducătorii î</w:t>
      </w:r>
      <w:r w:rsidR="00200247" w:rsidRPr="002751FC">
        <w:rPr>
          <w:rFonts w:asciiTheme="majorHAnsi" w:hAnsiTheme="majorHAnsi" w:cstheme="majorHAnsi"/>
          <w:sz w:val="28"/>
          <w:szCs w:val="28"/>
          <w:lang w:val="ro-MD"/>
        </w:rPr>
        <w:t xml:space="preserve">ntreprinderilor de stat, ai </w:t>
      </w:r>
      <w:r w:rsidR="00200247" w:rsidRPr="002751FC">
        <w:rPr>
          <w:rFonts w:asciiTheme="majorHAnsi" w:hAnsiTheme="majorHAnsi" w:cstheme="majorHAnsi"/>
          <w:sz w:val="28"/>
          <w:szCs w:val="28"/>
          <w:shd w:val="clear" w:color="auto" w:fill="FFFFFF"/>
          <w:lang w:val="ro-MD"/>
        </w:rPr>
        <w:t>autorităților</w:t>
      </w:r>
      <w:r w:rsidRPr="002751FC">
        <w:rPr>
          <w:rFonts w:asciiTheme="majorHAnsi" w:hAnsiTheme="majorHAnsi" w:cstheme="majorHAnsi"/>
          <w:sz w:val="28"/>
          <w:szCs w:val="28"/>
          <w:shd w:val="clear" w:color="auto" w:fill="FFFFFF"/>
          <w:lang w:val="ro-MD"/>
        </w:rPr>
        <w:t xml:space="preserve"> şi instituţiilor publice de reglementare, certificare, supraveghere şi control cu autonomie financiară, și celor </w:t>
      </w:r>
      <w:r w:rsidR="00200247" w:rsidRPr="002751FC">
        <w:rPr>
          <w:rFonts w:asciiTheme="majorHAnsi" w:hAnsiTheme="majorHAnsi" w:cstheme="majorHAnsi"/>
          <w:sz w:val="28"/>
          <w:szCs w:val="28"/>
          <w:shd w:val="clear" w:color="auto" w:fill="FFFFFF"/>
          <w:lang w:val="ro-MD"/>
        </w:rPr>
        <w:t>monopoliste</w:t>
      </w:r>
      <w:r w:rsidRPr="002751FC">
        <w:rPr>
          <w:rFonts w:asciiTheme="majorHAnsi" w:hAnsiTheme="majorHAnsi" w:cstheme="majorHAnsi"/>
          <w:sz w:val="28"/>
          <w:szCs w:val="28"/>
          <w:shd w:val="clear" w:color="auto" w:fill="FFFFFF"/>
          <w:lang w:val="ro-MD"/>
        </w:rPr>
        <w:t xml:space="preserve">, </w:t>
      </w:r>
      <w:r w:rsidR="004179EF" w:rsidRPr="002751FC">
        <w:rPr>
          <w:rFonts w:asciiTheme="majorHAnsi" w:hAnsiTheme="majorHAnsi" w:cstheme="majorHAnsi"/>
          <w:sz w:val="28"/>
          <w:szCs w:val="28"/>
          <w:shd w:val="clear" w:color="auto" w:fill="FFFFFF"/>
          <w:lang w:val="ro-MD"/>
        </w:rPr>
        <w:t xml:space="preserve">pe când </w:t>
      </w:r>
      <w:r w:rsidRPr="002751FC">
        <w:rPr>
          <w:rFonts w:asciiTheme="majorHAnsi" w:hAnsiTheme="majorHAnsi" w:cstheme="majorHAnsi"/>
          <w:sz w:val="28"/>
          <w:szCs w:val="28"/>
          <w:shd w:val="clear" w:color="auto" w:fill="FFFFFF"/>
          <w:lang w:val="ro-MD"/>
        </w:rPr>
        <w:t xml:space="preserve">salariul conducătorilor </w:t>
      </w:r>
      <w:r w:rsidR="00200247" w:rsidRPr="002751FC">
        <w:rPr>
          <w:rFonts w:asciiTheme="majorHAnsi" w:hAnsiTheme="majorHAnsi" w:cstheme="majorHAnsi"/>
          <w:sz w:val="28"/>
          <w:szCs w:val="28"/>
          <w:shd w:val="clear" w:color="auto" w:fill="FFFFFF"/>
          <w:lang w:val="ro-MD"/>
        </w:rPr>
        <w:t>instituţiilor publice</w:t>
      </w:r>
      <w:r w:rsidRPr="002751FC">
        <w:rPr>
          <w:rFonts w:asciiTheme="majorHAnsi" w:hAnsiTheme="majorHAnsi" w:cstheme="majorHAnsi"/>
          <w:sz w:val="28"/>
          <w:szCs w:val="28"/>
          <w:shd w:val="clear" w:color="auto" w:fill="FFFFFF"/>
          <w:lang w:val="ro-MD"/>
        </w:rPr>
        <w:t xml:space="preserve"> cu autonomie financiară, finanțate </w:t>
      </w:r>
      <w:r w:rsidR="00200247" w:rsidRPr="002751FC">
        <w:rPr>
          <w:rFonts w:asciiTheme="majorHAnsi" w:hAnsiTheme="majorHAnsi" w:cstheme="majorHAnsi"/>
          <w:sz w:val="28"/>
          <w:szCs w:val="28"/>
          <w:shd w:val="clear" w:color="auto" w:fill="FFFFFF"/>
          <w:lang w:val="ro-MD"/>
        </w:rPr>
        <w:t>integral</w:t>
      </w:r>
      <w:r w:rsidRPr="002751FC">
        <w:rPr>
          <w:rFonts w:asciiTheme="majorHAnsi" w:hAnsiTheme="majorHAnsi" w:cstheme="majorHAnsi"/>
          <w:sz w:val="28"/>
          <w:szCs w:val="28"/>
          <w:shd w:val="clear" w:color="auto" w:fill="FFFFFF"/>
          <w:lang w:val="ro-MD"/>
        </w:rPr>
        <w:t xml:space="preserve"> de la bugetul de stat, în cazul dat </w:t>
      </w:r>
      <w:r w:rsidR="004179EF" w:rsidRPr="002751FC">
        <w:rPr>
          <w:rFonts w:asciiTheme="majorHAnsi" w:hAnsiTheme="majorHAnsi" w:cstheme="majorHAnsi"/>
          <w:lang w:val="ro-MD"/>
        </w:rPr>
        <w:t xml:space="preserve">– </w:t>
      </w:r>
      <w:r w:rsidRPr="002751FC">
        <w:rPr>
          <w:rFonts w:asciiTheme="majorHAnsi" w:hAnsiTheme="majorHAnsi" w:cstheme="majorHAnsi"/>
          <w:sz w:val="28"/>
          <w:szCs w:val="28"/>
          <w:shd w:val="clear" w:color="auto" w:fill="FFFFFF"/>
          <w:lang w:val="ro-MD"/>
        </w:rPr>
        <w:t>ONVV, nu este plafonat</w:t>
      </w:r>
      <w:r w:rsidRPr="002751FC">
        <w:rPr>
          <w:rFonts w:asciiTheme="majorHAnsi" w:hAnsiTheme="majorHAnsi" w:cstheme="majorHAnsi"/>
          <w:sz w:val="28"/>
          <w:szCs w:val="28"/>
          <w:lang w:val="ro-MD"/>
        </w:rPr>
        <w:t>. Această situație permite stabilirea salariilor</w:t>
      </w:r>
      <w:r w:rsidR="00D67D05" w:rsidRPr="002751FC">
        <w:rPr>
          <w:rFonts w:asciiTheme="majorHAnsi" w:hAnsiTheme="majorHAnsi" w:cstheme="majorHAnsi"/>
          <w:sz w:val="28"/>
          <w:szCs w:val="28"/>
          <w:lang w:val="ro-MD"/>
        </w:rPr>
        <w:t xml:space="preserve"> de </w:t>
      </w:r>
      <w:r w:rsidR="000C17E4" w:rsidRPr="002751FC">
        <w:rPr>
          <w:rFonts w:asciiTheme="majorHAnsi" w:hAnsiTheme="majorHAnsi" w:cstheme="majorHAnsi"/>
          <w:sz w:val="28"/>
          <w:szCs w:val="28"/>
          <w:lang w:val="ro-MD"/>
        </w:rPr>
        <w:t>funcție</w:t>
      </w:r>
      <w:r w:rsidR="00D67D05"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conduc</w:t>
      </w:r>
      <w:r w:rsidR="00200247" w:rsidRPr="002751FC">
        <w:rPr>
          <w:rFonts w:asciiTheme="majorHAnsi" w:hAnsiTheme="majorHAnsi" w:cstheme="majorHAnsi"/>
          <w:sz w:val="28"/>
          <w:szCs w:val="28"/>
          <w:lang w:val="ro-MD"/>
        </w:rPr>
        <w:t>ă</w:t>
      </w:r>
      <w:r w:rsidRPr="002751FC">
        <w:rPr>
          <w:rFonts w:asciiTheme="majorHAnsi" w:hAnsiTheme="majorHAnsi" w:cstheme="majorHAnsi"/>
          <w:sz w:val="28"/>
          <w:szCs w:val="28"/>
          <w:lang w:val="ro-MD"/>
        </w:rPr>
        <w:t xml:space="preserve">torilor </w:t>
      </w:r>
      <w:r w:rsidR="00200247" w:rsidRPr="002751FC">
        <w:rPr>
          <w:rFonts w:asciiTheme="majorHAnsi" w:hAnsiTheme="majorHAnsi" w:cstheme="majorHAnsi"/>
          <w:sz w:val="28"/>
          <w:szCs w:val="28"/>
          <w:lang w:val="ro-MD"/>
        </w:rPr>
        <w:t>entităților</w:t>
      </w:r>
      <w:r w:rsidRPr="002751FC">
        <w:rPr>
          <w:rFonts w:asciiTheme="majorHAnsi" w:hAnsiTheme="majorHAnsi" w:cstheme="majorHAnsi"/>
          <w:sz w:val="28"/>
          <w:szCs w:val="28"/>
          <w:lang w:val="ro-MD"/>
        </w:rPr>
        <w:t xml:space="preserve"> de această formă </w:t>
      </w:r>
      <w:proofErr w:type="spellStart"/>
      <w:r w:rsidRPr="002751FC">
        <w:rPr>
          <w:rFonts w:asciiTheme="majorHAnsi" w:hAnsiTheme="majorHAnsi" w:cstheme="majorHAnsi"/>
          <w:sz w:val="28"/>
          <w:szCs w:val="28"/>
          <w:lang w:val="ro-MD"/>
        </w:rPr>
        <w:t>organizatorico</w:t>
      </w:r>
      <w:proofErr w:type="spellEnd"/>
      <w:r w:rsidRPr="002751FC">
        <w:rPr>
          <w:rFonts w:asciiTheme="majorHAnsi" w:hAnsiTheme="majorHAnsi" w:cstheme="majorHAnsi"/>
          <w:sz w:val="28"/>
          <w:szCs w:val="28"/>
          <w:lang w:val="ro-MD"/>
        </w:rPr>
        <w:t>-juridică</w:t>
      </w:r>
      <w:r w:rsidR="00200247"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în mărime nelimitat</w:t>
      </w:r>
      <w:r w:rsidR="00200247" w:rsidRPr="002751FC">
        <w:rPr>
          <w:rFonts w:asciiTheme="majorHAnsi" w:hAnsiTheme="majorHAnsi" w:cstheme="majorHAnsi"/>
          <w:sz w:val="28"/>
          <w:szCs w:val="28"/>
          <w:lang w:val="ro-MD"/>
        </w:rPr>
        <w:t>ă</w:t>
      </w:r>
      <w:r w:rsidRPr="002751FC">
        <w:rPr>
          <w:rFonts w:asciiTheme="majorHAnsi" w:hAnsiTheme="majorHAnsi" w:cstheme="majorHAnsi"/>
          <w:sz w:val="28"/>
          <w:szCs w:val="28"/>
          <w:lang w:val="ro-MD"/>
        </w:rPr>
        <w:t xml:space="preserve">, </w:t>
      </w:r>
      <w:r w:rsidR="00200247" w:rsidRPr="002751FC">
        <w:rPr>
          <w:rFonts w:asciiTheme="majorHAnsi" w:hAnsiTheme="majorHAnsi" w:cstheme="majorHAnsi"/>
          <w:sz w:val="28"/>
          <w:szCs w:val="28"/>
          <w:lang w:val="ro-MD"/>
        </w:rPr>
        <w:t>BS</w:t>
      </w:r>
      <w:r w:rsidRPr="002751FC">
        <w:rPr>
          <w:rFonts w:asciiTheme="majorHAnsi" w:hAnsiTheme="majorHAnsi" w:cstheme="majorHAnsi"/>
          <w:sz w:val="28"/>
          <w:szCs w:val="28"/>
          <w:lang w:val="ro-MD"/>
        </w:rPr>
        <w:t xml:space="preserve"> suportând astfel cheltuieli suplimentare nejustificate</w:t>
      </w:r>
      <w:r w:rsidRPr="002751FC">
        <w:rPr>
          <w:rStyle w:val="ab"/>
          <w:rFonts w:asciiTheme="majorHAnsi" w:hAnsiTheme="majorHAnsi" w:cstheme="majorHAnsi"/>
          <w:sz w:val="28"/>
          <w:szCs w:val="28"/>
          <w:lang w:val="ro-MD"/>
        </w:rPr>
        <w:footnoteReference w:id="69"/>
      </w:r>
      <w:r w:rsidRPr="002751FC">
        <w:rPr>
          <w:rFonts w:asciiTheme="majorHAnsi" w:hAnsiTheme="majorHAnsi" w:cstheme="majorHAnsi"/>
          <w:sz w:val="28"/>
          <w:szCs w:val="28"/>
          <w:lang w:val="ro-MD"/>
        </w:rPr>
        <w:t xml:space="preserve">. </w:t>
      </w:r>
    </w:p>
    <w:p w:rsidR="002B0C1F" w:rsidRPr="002751FC" w:rsidRDefault="002B0C1F" w:rsidP="00B72C3E">
      <w:pPr>
        <w:pStyle w:val="a5"/>
        <w:rPr>
          <w:rFonts w:asciiTheme="majorHAnsi" w:hAnsiTheme="majorHAnsi" w:cstheme="majorHAnsi"/>
          <w:lang w:val="ro-MD"/>
        </w:rPr>
      </w:pPr>
    </w:p>
    <w:p w:rsidR="002B0C1F" w:rsidRPr="002751FC" w:rsidRDefault="002B0C1F" w:rsidP="00B72C3E">
      <w:pPr>
        <w:pStyle w:val="a5"/>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În contextul celor relatate, lipsa acestor criterii a limitat auditul în evaluarea conformității stabilirii salariului de bază pentru conducătorul ONVV, deoarece acesta a depășit cu 1985 </w:t>
      </w:r>
      <w:r w:rsidR="00B25EE7" w:rsidRPr="002751FC">
        <w:rPr>
          <w:rFonts w:asciiTheme="majorHAnsi" w:hAnsiTheme="majorHAnsi" w:cstheme="majorHAnsi"/>
          <w:sz w:val="28"/>
          <w:szCs w:val="28"/>
          <w:lang w:val="ro-MD"/>
        </w:rPr>
        <w:t xml:space="preserve">MDL </w:t>
      </w:r>
      <w:r w:rsidRPr="002751FC">
        <w:rPr>
          <w:rFonts w:asciiTheme="majorHAnsi" w:hAnsiTheme="majorHAnsi" w:cstheme="majorHAnsi"/>
          <w:sz w:val="28"/>
          <w:szCs w:val="28"/>
          <w:lang w:val="ro-MD"/>
        </w:rPr>
        <w:t>lunar</w:t>
      </w:r>
      <w:r w:rsidRPr="002751FC">
        <w:rPr>
          <w:rStyle w:val="ab"/>
          <w:rFonts w:asciiTheme="majorHAnsi" w:hAnsiTheme="majorHAnsi" w:cstheme="majorHAnsi"/>
          <w:sz w:val="28"/>
          <w:szCs w:val="28"/>
          <w:lang w:val="ro-MD"/>
        </w:rPr>
        <w:footnoteReference w:id="70"/>
      </w:r>
      <w:r w:rsidR="004179EF" w:rsidRPr="002751FC">
        <w:rPr>
          <w:rFonts w:asciiTheme="majorHAnsi" w:hAnsiTheme="majorHAnsi" w:cstheme="majorHAnsi"/>
          <w:sz w:val="28"/>
          <w:szCs w:val="28"/>
          <w:lang w:val="ro-MD"/>
        </w:rPr>
        <w:t xml:space="preserve"> </w:t>
      </w:r>
      <w:r w:rsidR="004179EF" w:rsidRPr="002751FC">
        <w:rPr>
          <w:rFonts w:asciiTheme="majorHAnsi" w:hAnsiTheme="majorHAnsi" w:cstheme="majorHAnsi"/>
          <w:sz w:val="28"/>
          <w:szCs w:val="28"/>
          <w:shd w:val="clear" w:color="auto" w:fill="FFFFFF"/>
          <w:lang w:val="ro-MD"/>
        </w:rPr>
        <w:t>mărimea în</w:t>
      </w:r>
      <w:r w:rsidR="00ED37FB">
        <w:rPr>
          <w:rFonts w:asciiTheme="majorHAnsi" w:hAnsiTheme="majorHAnsi" w:cstheme="majorHAnsi"/>
          <w:sz w:val="28"/>
          <w:szCs w:val="28"/>
          <w:shd w:val="clear" w:color="auto" w:fill="FFFFFF"/>
          <w:lang w:val="ro-MD"/>
        </w:rPr>
        <w:t>cincită</w:t>
      </w:r>
      <w:r w:rsidR="004179EF" w:rsidRPr="002751FC">
        <w:rPr>
          <w:rFonts w:asciiTheme="majorHAnsi" w:hAnsiTheme="majorHAnsi" w:cstheme="majorHAnsi"/>
          <w:sz w:val="28"/>
          <w:szCs w:val="28"/>
          <w:shd w:val="clear" w:color="auto" w:fill="FFFFFF"/>
          <w:lang w:val="ro-MD"/>
        </w:rPr>
        <w:t xml:space="preserve"> a salariului mediu lunar constituit în ansamblu pe unitate</w:t>
      </w:r>
      <w:r w:rsidR="004179EF"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sau 23820 </w:t>
      </w:r>
      <w:r w:rsidR="00B25EE7" w:rsidRPr="002751FC">
        <w:rPr>
          <w:rFonts w:asciiTheme="majorHAnsi" w:hAnsiTheme="majorHAnsi" w:cstheme="majorHAnsi"/>
          <w:sz w:val="28"/>
          <w:szCs w:val="28"/>
          <w:lang w:val="ro-MD"/>
        </w:rPr>
        <w:t>MDL</w:t>
      </w:r>
      <w:r w:rsidRPr="002751FC">
        <w:rPr>
          <w:rFonts w:asciiTheme="majorHAnsi" w:hAnsiTheme="majorHAnsi" w:cstheme="majorHAnsi"/>
          <w:sz w:val="28"/>
          <w:szCs w:val="28"/>
          <w:lang w:val="ro-MD"/>
        </w:rPr>
        <w:t xml:space="preserve"> anual, totodată </w:t>
      </w:r>
      <w:r w:rsidR="00B25EE7" w:rsidRPr="002751FC">
        <w:rPr>
          <w:rFonts w:asciiTheme="majorHAnsi" w:hAnsiTheme="majorHAnsi" w:cstheme="majorHAnsi"/>
          <w:sz w:val="28"/>
          <w:szCs w:val="28"/>
          <w:lang w:val="ro-MD"/>
        </w:rPr>
        <w:t>î</w:t>
      </w:r>
      <w:r w:rsidR="00E90697" w:rsidRPr="002751FC">
        <w:rPr>
          <w:rFonts w:asciiTheme="majorHAnsi" w:hAnsiTheme="majorHAnsi" w:cstheme="majorHAnsi"/>
          <w:sz w:val="28"/>
          <w:szCs w:val="28"/>
          <w:lang w:val="ro-MD"/>
        </w:rPr>
        <w:t>n</w:t>
      </w:r>
      <w:r w:rsidRPr="002751FC">
        <w:rPr>
          <w:rFonts w:asciiTheme="majorHAnsi" w:hAnsiTheme="majorHAnsi" w:cstheme="majorHAnsi"/>
          <w:sz w:val="28"/>
          <w:szCs w:val="28"/>
          <w:lang w:val="ro-MD"/>
        </w:rPr>
        <w:t>cadrându-se în mărimea în</w:t>
      </w:r>
      <w:r w:rsidR="00ED37FB">
        <w:rPr>
          <w:rFonts w:asciiTheme="majorHAnsi" w:hAnsiTheme="majorHAnsi" w:cstheme="majorHAnsi"/>
          <w:sz w:val="28"/>
          <w:szCs w:val="28"/>
          <w:lang w:val="ro-MD"/>
        </w:rPr>
        <w:t>trei</w:t>
      </w:r>
      <w:r w:rsidRPr="002751FC">
        <w:rPr>
          <w:rFonts w:asciiTheme="majorHAnsi" w:hAnsiTheme="majorHAnsi" w:cstheme="majorHAnsi"/>
          <w:sz w:val="28"/>
          <w:szCs w:val="28"/>
          <w:lang w:val="ro-MD"/>
        </w:rPr>
        <w:t>tă</w:t>
      </w:r>
      <w:r w:rsidRPr="002751FC">
        <w:rPr>
          <w:rStyle w:val="ab"/>
          <w:rFonts w:asciiTheme="majorHAnsi" w:hAnsiTheme="majorHAnsi" w:cstheme="majorHAnsi"/>
          <w:sz w:val="28"/>
          <w:szCs w:val="28"/>
          <w:lang w:val="ro-MD"/>
        </w:rPr>
        <w:footnoteReference w:id="71"/>
      </w:r>
      <w:r w:rsidRPr="002751FC">
        <w:rPr>
          <w:rFonts w:asciiTheme="majorHAnsi" w:hAnsiTheme="majorHAnsi" w:cstheme="majorHAnsi"/>
          <w:sz w:val="28"/>
          <w:szCs w:val="28"/>
          <w:lang w:val="ro-MD"/>
        </w:rPr>
        <w:t>.</w:t>
      </w:r>
    </w:p>
    <w:p w:rsidR="00295A75" w:rsidRPr="002751FC" w:rsidRDefault="00295A75" w:rsidP="00B72C3E">
      <w:pPr>
        <w:pStyle w:val="a5"/>
        <w:rPr>
          <w:rFonts w:asciiTheme="majorHAnsi" w:hAnsiTheme="majorHAnsi" w:cstheme="majorHAnsi"/>
          <w:lang w:val="ro-MD"/>
        </w:rPr>
      </w:pPr>
    </w:p>
    <w:p w:rsidR="00371431" w:rsidRPr="002751FC" w:rsidRDefault="00371431" w:rsidP="00B72C3E">
      <w:pPr>
        <w:pStyle w:val="a5"/>
        <w:rPr>
          <w:rFonts w:asciiTheme="majorHAnsi" w:hAnsiTheme="majorHAnsi" w:cstheme="majorHAnsi"/>
          <w:sz w:val="28"/>
          <w:szCs w:val="28"/>
          <w:lang w:val="ro-MD"/>
        </w:rPr>
      </w:pPr>
      <w:r w:rsidRPr="002751FC">
        <w:rPr>
          <w:rFonts w:asciiTheme="majorHAnsi" w:hAnsiTheme="majorHAnsi" w:cstheme="majorHAnsi"/>
          <w:sz w:val="28"/>
          <w:szCs w:val="28"/>
          <w:lang w:val="ro-MD"/>
        </w:rPr>
        <w:t>De m</w:t>
      </w:r>
      <w:r w:rsidR="009B78AD" w:rsidRPr="002751FC">
        <w:rPr>
          <w:rFonts w:asciiTheme="majorHAnsi" w:hAnsiTheme="majorHAnsi" w:cstheme="majorHAnsi"/>
          <w:sz w:val="28"/>
          <w:szCs w:val="28"/>
          <w:lang w:val="ro-MD"/>
        </w:rPr>
        <w:t>enționat că salariul de bază a</w:t>
      </w:r>
      <w:r w:rsidR="004179EF" w:rsidRPr="002751FC">
        <w:rPr>
          <w:rFonts w:asciiTheme="majorHAnsi" w:hAnsiTheme="majorHAnsi" w:cstheme="majorHAnsi"/>
          <w:sz w:val="28"/>
          <w:szCs w:val="28"/>
          <w:lang w:val="ro-MD"/>
        </w:rPr>
        <w:t>l</w:t>
      </w:r>
      <w:r w:rsidR="009B78AD"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Directorului ONVV depășește de 7,7 ori salariul mediu lunar pe economie pentru anul 2018</w:t>
      </w:r>
      <w:r w:rsidRPr="002751FC">
        <w:rPr>
          <w:rStyle w:val="ab"/>
          <w:rFonts w:asciiTheme="majorHAnsi" w:hAnsiTheme="majorHAnsi" w:cstheme="majorHAnsi"/>
          <w:sz w:val="28"/>
          <w:szCs w:val="28"/>
          <w:lang w:val="ro-MD"/>
        </w:rPr>
        <w:footnoteReference w:id="72"/>
      </w:r>
      <w:r w:rsidRPr="002751FC">
        <w:rPr>
          <w:rFonts w:asciiTheme="majorHAnsi" w:hAnsiTheme="majorHAnsi" w:cstheme="majorHAnsi"/>
          <w:sz w:val="28"/>
          <w:szCs w:val="28"/>
          <w:lang w:val="ro-MD"/>
        </w:rPr>
        <w:t>.</w:t>
      </w:r>
    </w:p>
    <w:p w:rsidR="00154436" w:rsidRPr="002751FC" w:rsidRDefault="00154436" w:rsidP="00B72C3E">
      <w:pPr>
        <w:pStyle w:val="a5"/>
        <w:rPr>
          <w:rFonts w:asciiTheme="majorHAnsi" w:hAnsiTheme="majorHAnsi" w:cstheme="majorHAnsi"/>
          <w:sz w:val="28"/>
          <w:szCs w:val="28"/>
          <w:lang w:val="ro-MD"/>
        </w:rPr>
      </w:pPr>
    </w:p>
    <w:p w:rsidR="002B0C1F" w:rsidRPr="002751FC" w:rsidRDefault="002B0C1F" w:rsidP="00D444D1">
      <w:pPr>
        <w:pStyle w:val="ac"/>
        <w:numPr>
          <w:ilvl w:val="2"/>
          <w:numId w:val="15"/>
        </w:numPr>
        <w:spacing w:line="259" w:lineRule="auto"/>
        <w:ind w:left="0" w:firstLine="0"/>
        <w:outlineLvl w:val="0"/>
        <w:rPr>
          <w:rFonts w:asciiTheme="majorHAnsi" w:hAnsiTheme="majorHAnsi" w:cstheme="majorHAnsi"/>
          <w:b/>
          <w:szCs w:val="28"/>
          <w:lang w:val="ro-MD"/>
        </w:rPr>
      </w:pPr>
      <w:bookmarkStart w:id="47" w:name="_Toc23259110"/>
      <w:r w:rsidRPr="002751FC">
        <w:rPr>
          <w:rFonts w:asciiTheme="majorHAnsi" w:hAnsiTheme="majorHAnsi" w:cstheme="majorHAnsi"/>
          <w:b/>
          <w:szCs w:val="28"/>
          <w:lang w:val="ro-MD"/>
        </w:rPr>
        <w:t xml:space="preserve">ONVV a achitat </w:t>
      </w:r>
      <w:r w:rsidR="00F97A5D" w:rsidRPr="002751FC">
        <w:rPr>
          <w:rFonts w:asciiTheme="majorHAnsi" w:hAnsiTheme="majorHAnsi" w:cstheme="majorHAnsi"/>
          <w:b/>
          <w:szCs w:val="28"/>
          <w:lang w:val="ro-MD"/>
        </w:rPr>
        <w:t>nejustificat</w:t>
      </w:r>
      <w:r w:rsidRPr="002751FC">
        <w:rPr>
          <w:rFonts w:asciiTheme="majorHAnsi" w:hAnsiTheme="majorHAnsi" w:cstheme="majorHAnsi"/>
          <w:b/>
          <w:szCs w:val="28"/>
          <w:lang w:val="ro-MD"/>
        </w:rPr>
        <w:t xml:space="preserve"> studiile de doctorat </w:t>
      </w:r>
      <w:r w:rsidR="004179EF" w:rsidRPr="002751FC">
        <w:rPr>
          <w:rFonts w:asciiTheme="majorHAnsi" w:hAnsiTheme="majorHAnsi" w:cstheme="majorHAnsi"/>
          <w:b/>
          <w:szCs w:val="28"/>
          <w:lang w:val="ro-MD"/>
        </w:rPr>
        <w:t>ale</w:t>
      </w:r>
      <w:r w:rsidRPr="002751FC">
        <w:rPr>
          <w:rFonts w:asciiTheme="majorHAnsi" w:hAnsiTheme="majorHAnsi" w:cstheme="majorHAnsi"/>
          <w:b/>
          <w:szCs w:val="28"/>
          <w:lang w:val="ro-MD"/>
        </w:rPr>
        <w:t xml:space="preserve"> un</w:t>
      </w:r>
      <w:r w:rsidR="004179EF" w:rsidRPr="002751FC">
        <w:rPr>
          <w:rFonts w:asciiTheme="majorHAnsi" w:hAnsiTheme="majorHAnsi" w:cstheme="majorHAnsi"/>
          <w:b/>
          <w:szCs w:val="28"/>
          <w:lang w:val="ro-MD"/>
        </w:rPr>
        <w:t>ui</w:t>
      </w:r>
      <w:r w:rsidRPr="002751FC">
        <w:rPr>
          <w:rFonts w:asciiTheme="majorHAnsi" w:hAnsiTheme="majorHAnsi" w:cstheme="majorHAnsi"/>
          <w:b/>
          <w:szCs w:val="28"/>
          <w:lang w:val="ro-MD"/>
        </w:rPr>
        <w:t xml:space="preserve"> angajat</w:t>
      </w:r>
      <w:bookmarkEnd w:id="47"/>
    </w:p>
    <w:p w:rsidR="002B0C1F" w:rsidRPr="002751FC" w:rsidRDefault="002B0C1F" w:rsidP="00D444D1">
      <w:pPr>
        <w:pStyle w:val="ac"/>
        <w:spacing w:line="259" w:lineRule="auto"/>
        <w:rPr>
          <w:rFonts w:asciiTheme="majorHAnsi" w:hAnsiTheme="majorHAnsi" w:cstheme="majorHAnsi"/>
          <w:szCs w:val="28"/>
          <w:lang w:val="ro-MD"/>
        </w:rPr>
      </w:pPr>
    </w:p>
    <w:p w:rsidR="002B0C1F" w:rsidRPr="002751FC" w:rsidRDefault="002B0C1F" w:rsidP="00D444D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Deși ONVV a aprobat Regulamentul cu privire la organizarea formării profesionale</w:t>
      </w:r>
      <w:r w:rsidRPr="002751FC">
        <w:rPr>
          <w:rStyle w:val="ab"/>
          <w:rFonts w:asciiTheme="majorHAnsi" w:hAnsiTheme="majorHAnsi" w:cstheme="majorHAnsi"/>
          <w:sz w:val="28"/>
          <w:szCs w:val="28"/>
          <w:lang w:val="ro-MD"/>
        </w:rPr>
        <w:footnoteReference w:id="73"/>
      </w:r>
      <w:r w:rsidRPr="002751FC">
        <w:rPr>
          <w:rFonts w:asciiTheme="majorHAnsi" w:hAnsiTheme="majorHAnsi" w:cstheme="majorHAnsi"/>
          <w:sz w:val="28"/>
          <w:szCs w:val="28"/>
          <w:lang w:val="ro-MD"/>
        </w:rPr>
        <w:t>, acesta nu include procedura şi criteriile în baza cărora sunt selectați candidații pentru finanț</w:t>
      </w:r>
      <w:r w:rsidR="001E1711" w:rsidRPr="002751FC">
        <w:rPr>
          <w:rFonts w:asciiTheme="majorHAnsi" w:hAnsiTheme="majorHAnsi" w:cstheme="majorHAnsi"/>
          <w:sz w:val="28"/>
          <w:szCs w:val="28"/>
          <w:lang w:val="ro-MD"/>
        </w:rPr>
        <w:t>area</w:t>
      </w:r>
      <w:r w:rsidRPr="002751FC">
        <w:rPr>
          <w:rFonts w:asciiTheme="majorHAnsi" w:hAnsiTheme="majorHAnsi" w:cstheme="majorHAnsi"/>
          <w:sz w:val="28"/>
          <w:szCs w:val="28"/>
          <w:lang w:val="ro-MD"/>
        </w:rPr>
        <w:t xml:space="preserve"> studiil</w:t>
      </w:r>
      <w:r w:rsidR="001E1711" w:rsidRPr="002751FC">
        <w:rPr>
          <w:rFonts w:asciiTheme="majorHAnsi" w:hAnsiTheme="majorHAnsi" w:cstheme="majorHAnsi"/>
          <w:sz w:val="28"/>
          <w:szCs w:val="28"/>
          <w:lang w:val="ro-MD"/>
        </w:rPr>
        <w:t>or</w:t>
      </w:r>
      <w:r w:rsidRPr="002751FC">
        <w:rPr>
          <w:rFonts w:asciiTheme="majorHAnsi" w:hAnsiTheme="majorHAnsi" w:cstheme="majorHAnsi"/>
          <w:sz w:val="28"/>
          <w:szCs w:val="28"/>
          <w:lang w:val="ro-MD"/>
        </w:rPr>
        <w:t xml:space="preserve"> de formare continuă (</w:t>
      </w:r>
      <w:r w:rsidR="001E1711" w:rsidRPr="002751FC">
        <w:rPr>
          <w:rFonts w:asciiTheme="majorHAnsi" w:hAnsiTheme="majorHAnsi" w:cstheme="majorHAnsi"/>
          <w:sz w:val="28"/>
          <w:szCs w:val="28"/>
          <w:lang w:val="ro-MD"/>
        </w:rPr>
        <w:t>inclusiv</w:t>
      </w:r>
      <w:r w:rsidR="00C26DAD" w:rsidRPr="002751FC">
        <w:rPr>
          <w:rFonts w:asciiTheme="majorHAnsi" w:hAnsiTheme="majorHAnsi" w:cstheme="majorHAnsi"/>
          <w:sz w:val="28"/>
          <w:szCs w:val="28"/>
          <w:lang w:val="ro-MD"/>
        </w:rPr>
        <w:t xml:space="preserve"> studiile universitare,</w:t>
      </w:r>
      <w:r w:rsidR="001E1711" w:rsidRPr="002751FC">
        <w:rPr>
          <w:rFonts w:asciiTheme="majorHAnsi" w:hAnsiTheme="majorHAnsi" w:cstheme="majorHAnsi"/>
          <w:sz w:val="28"/>
          <w:szCs w:val="28"/>
          <w:lang w:val="ro-MD"/>
        </w:rPr>
        <w:t xml:space="preserve"> ciclul III, doctorat</w:t>
      </w:r>
      <w:r w:rsidRPr="002751FC">
        <w:rPr>
          <w:rFonts w:asciiTheme="majorHAnsi" w:hAnsiTheme="majorHAnsi" w:cstheme="majorHAnsi"/>
          <w:sz w:val="28"/>
          <w:szCs w:val="28"/>
          <w:lang w:val="ro-MD"/>
        </w:rPr>
        <w:t xml:space="preserve">). </w:t>
      </w:r>
    </w:p>
    <w:p w:rsidR="001E723D" w:rsidRPr="002751FC" w:rsidRDefault="001E723D" w:rsidP="00D444D1">
      <w:pPr>
        <w:spacing w:after="0"/>
        <w:jc w:val="both"/>
        <w:rPr>
          <w:rFonts w:asciiTheme="majorHAnsi" w:hAnsiTheme="majorHAnsi" w:cstheme="majorHAnsi"/>
          <w:sz w:val="28"/>
          <w:szCs w:val="28"/>
          <w:lang w:val="ro-MD"/>
        </w:rPr>
      </w:pPr>
    </w:p>
    <w:p w:rsidR="002B0C1F" w:rsidRPr="002751FC" w:rsidRDefault="002B0C1F" w:rsidP="00D444D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În aceste condiții, auditul a atestat că, în anul 2018, din bugetul FVV au fost finanțate studiile universitare, ciclul III, doctorat pentr</w:t>
      </w:r>
      <w:r w:rsidR="00455073">
        <w:rPr>
          <w:rFonts w:asciiTheme="majorHAnsi" w:hAnsiTheme="majorHAnsi" w:cstheme="majorHAnsi"/>
          <w:sz w:val="28"/>
          <w:szCs w:val="28"/>
          <w:lang w:val="ro-MD"/>
        </w:rPr>
        <w:t>u angajatul</w:t>
      </w:r>
      <w:r w:rsidRPr="002751FC">
        <w:rPr>
          <w:rFonts w:asciiTheme="majorHAnsi" w:hAnsiTheme="majorHAnsi" w:cstheme="majorHAnsi"/>
          <w:sz w:val="28"/>
          <w:szCs w:val="28"/>
          <w:lang w:val="ro-MD"/>
        </w:rPr>
        <w:t xml:space="preserve"> în funcție de consultant juridic principal</w:t>
      </w:r>
      <w:r w:rsidR="004179EF" w:rsidRPr="002751FC">
        <w:rPr>
          <w:rFonts w:asciiTheme="majorHAnsi" w:hAnsiTheme="majorHAnsi" w:cstheme="majorHAnsi"/>
          <w:sz w:val="28"/>
          <w:szCs w:val="28"/>
          <w:lang w:val="ro-MD"/>
        </w:rPr>
        <w:t>,</w:t>
      </w:r>
      <w:r w:rsidR="00436F9B" w:rsidRPr="002751FC">
        <w:rPr>
          <w:rFonts w:asciiTheme="majorHAnsi" w:hAnsiTheme="majorHAnsi" w:cstheme="majorHAnsi"/>
          <w:sz w:val="28"/>
          <w:szCs w:val="28"/>
          <w:lang w:val="ro-MD"/>
        </w:rPr>
        <w:t xml:space="preserve"> în valoare de 0,038 </w:t>
      </w:r>
      <w:proofErr w:type="spellStart"/>
      <w:r w:rsidR="00436F9B" w:rsidRPr="002751FC">
        <w:rPr>
          <w:rFonts w:asciiTheme="majorHAnsi" w:hAnsiTheme="majorHAnsi" w:cstheme="majorHAnsi"/>
          <w:sz w:val="28"/>
          <w:szCs w:val="28"/>
          <w:lang w:val="ro-MD"/>
        </w:rPr>
        <w:t>mil.</w:t>
      </w:r>
      <w:r w:rsidRPr="002751FC">
        <w:rPr>
          <w:rFonts w:asciiTheme="majorHAnsi" w:hAnsiTheme="majorHAnsi" w:cstheme="majorHAnsi"/>
          <w:sz w:val="28"/>
          <w:szCs w:val="28"/>
          <w:lang w:val="ro-MD"/>
        </w:rPr>
        <w:t>MDL</w:t>
      </w:r>
      <w:proofErr w:type="spellEnd"/>
      <w:r w:rsidRPr="002751FC">
        <w:rPr>
          <w:rStyle w:val="ab"/>
          <w:rFonts w:asciiTheme="majorHAnsi" w:hAnsiTheme="majorHAnsi" w:cstheme="majorHAnsi"/>
          <w:sz w:val="28"/>
          <w:szCs w:val="28"/>
          <w:lang w:val="ro-MD"/>
        </w:rPr>
        <w:footnoteReference w:id="74"/>
      </w:r>
      <w:r w:rsidRPr="002751FC">
        <w:rPr>
          <w:rFonts w:asciiTheme="majorHAnsi" w:hAnsiTheme="majorHAnsi" w:cstheme="majorHAnsi"/>
          <w:sz w:val="28"/>
          <w:szCs w:val="28"/>
          <w:lang w:val="ro-MD"/>
        </w:rPr>
        <w:t xml:space="preserve">. Auditul nu poate evalua oportunitatea finanțării studiilor de doctorat anume pentru consultantul juridic principal, acesta fiind selectat în lipsa unor criterii prestabilite de selectare la care </w:t>
      </w:r>
      <w:r w:rsidR="00C72467" w:rsidRPr="002751FC">
        <w:rPr>
          <w:rFonts w:asciiTheme="majorHAnsi" w:hAnsiTheme="majorHAnsi" w:cstheme="majorHAnsi"/>
          <w:sz w:val="28"/>
          <w:szCs w:val="28"/>
          <w:lang w:val="ro-MD"/>
        </w:rPr>
        <w:t>ar fi</w:t>
      </w:r>
      <w:r w:rsidRPr="002751FC">
        <w:rPr>
          <w:rFonts w:asciiTheme="majorHAnsi" w:hAnsiTheme="majorHAnsi" w:cstheme="majorHAnsi"/>
          <w:sz w:val="28"/>
          <w:szCs w:val="28"/>
          <w:lang w:val="ro-MD"/>
        </w:rPr>
        <w:t xml:space="preserve"> putut participa ceilalți 15 angajați ai ONVV care nu au studii de doctorat.</w:t>
      </w:r>
    </w:p>
    <w:p w:rsidR="001E723D" w:rsidRPr="002751FC" w:rsidRDefault="001E723D" w:rsidP="00D444D1">
      <w:pPr>
        <w:spacing w:after="0"/>
        <w:jc w:val="both"/>
        <w:rPr>
          <w:rFonts w:asciiTheme="majorHAnsi" w:hAnsiTheme="majorHAnsi" w:cstheme="majorHAnsi"/>
          <w:sz w:val="28"/>
          <w:szCs w:val="28"/>
          <w:lang w:val="ro-MD"/>
        </w:rPr>
      </w:pPr>
    </w:p>
    <w:p w:rsidR="00C72467" w:rsidRPr="002751FC" w:rsidRDefault="002B0C1F" w:rsidP="00D444D1">
      <w:pPr>
        <w:spacing w:after="0"/>
        <w:jc w:val="both"/>
        <w:rPr>
          <w:rFonts w:asciiTheme="majorHAnsi" w:hAnsiTheme="majorHAnsi" w:cstheme="majorHAnsi"/>
          <w:sz w:val="28"/>
          <w:szCs w:val="28"/>
          <w:lang w:val="ro-MD"/>
        </w:rPr>
      </w:pPr>
      <w:r w:rsidRPr="002751FC">
        <w:rPr>
          <w:rFonts w:asciiTheme="majorHAnsi" w:hAnsiTheme="majorHAnsi" w:cstheme="majorHAnsi"/>
          <w:color w:val="000000"/>
          <w:sz w:val="28"/>
          <w:szCs w:val="28"/>
          <w:shd w:val="clear" w:color="auto" w:fill="FFFFFF"/>
          <w:lang w:val="ro-MD"/>
        </w:rPr>
        <w:t>Totodată, se constată că, cu salariatul respectiv nu a fost încheiat un contract în care să fie incl</w:t>
      </w:r>
      <w:r w:rsidR="00436F9B" w:rsidRPr="002751FC">
        <w:rPr>
          <w:rFonts w:asciiTheme="majorHAnsi" w:hAnsiTheme="majorHAnsi" w:cstheme="majorHAnsi"/>
          <w:color w:val="000000"/>
          <w:sz w:val="28"/>
          <w:szCs w:val="28"/>
          <w:shd w:val="clear" w:color="auto" w:fill="FFFFFF"/>
          <w:lang w:val="ro-MD"/>
        </w:rPr>
        <w:t>u</w:t>
      </w:r>
      <w:r w:rsidRPr="002751FC">
        <w:rPr>
          <w:rFonts w:asciiTheme="majorHAnsi" w:hAnsiTheme="majorHAnsi" w:cstheme="majorHAnsi"/>
          <w:color w:val="000000"/>
          <w:sz w:val="28"/>
          <w:szCs w:val="28"/>
          <w:shd w:val="clear" w:color="auto" w:fill="FFFFFF"/>
          <w:lang w:val="ro-MD"/>
        </w:rPr>
        <w:t>s</w:t>
      </w:r>
      <w:r w:rsidR="00436F9B" w:rsidRPr="002751FC">
        <w:rPr>
          <w:rFonts w:asciiTheme="majorHAnsi" w:hAnsiTheme="majorHAnsi" w:cstheme="majorHAnsi"/>
          <w:color w:val="000000"/>
          <w:sz w:val="28"/>
          <w:szCs w:val="28"/>
          <w:shd w:val="clear" w:color="auto" w:fill="FFFFFF"/>
          <w:lang w:val="ro-MD"/>
        </w:rPr>
        <w:t>ă</w:t>
      </w:r>
      <w:r w:rsidRPr="002751FC">
        <w:rPr>
          <w:rFonts w:asciiTheme="majorHAnsi" w:hAnsiTheme="majorHAnsi" w:cstheme="majorHAnsi"/>
          <w:color w:val="000000"/>
          <w:sz w:val="28"/>
          <w:szCs w:val="28"/>
          <w:shd w:val="clear" w:color="auto" w:fill="FFFFFF"/>
          <w:lang w:val="ro-MD"/>
        </w:rPr>
        <w:t xml:space="preserve"> </w:t>
      </w:r>
      <w:r w:rsidR="00436F9B" w:rsidRPr="002751FC">
        <w:rPr>
          <w:rFonts w:asciiTheme="majorHAnsi" w:hAnsiTheme="majorHAnsi" w:cstheme="majorHAnsi"/>
          <w:sz w:val="28"/>
          <w:szCs w:val="28"/>
          <w:lang w:val="ro-MD"/>
        </w:rPr>
        <w:t>obligația</w:t>
      </w:r>
      <w:r w:rsidRPr="002751FC">
        <w:rPr>
          <w:rFonts w:asciiTheme="majorHAnsi" w:hAnsiTheme="majorHAnsi" w:cstheme="majorHAnsi"/>
          <w:sz w:val="28"/>
          <w:szCs w:val="28"/>
          <w:lang w:val="ro-MD"/>
        </w:rPr>
        <w:t xml:space="preserve"> de a finaliza cu succes studiile de doctorat, de a activa în cadrul ONVV pe un termen minim stabilit de angajator, precum și stabilite </w:t>
      </w:r>
      <w:r w:rsidR="007E613C" w:rsidRPr="002751FC">
        <w:rPr>
          <w:rFonts w:asciiTheme="majorHAnsi" w:hAnsiTheme="majorHAnsi" w:cstheme="majorHAnsi"/>
          <w:color w:val="000000"/>
          <w:sz w:val="28"/>
          <w:szCs w:val="28"/>
          <w:shd w:val="clear" w:color="auto" w:fill="FFFFFF"/>
          <w:lang w:val="ro-MD"/>
        </w:rPr>
        <w:t>condițiile</w:t>
      </w:r>
      <w:r w:rsidRPr="002751FC">
        <w:rPr>
          <w:rFonts w:asciiTheme="majorHAnsi" w:hAnsiTheme="majorHAnsi" w:cstheme="majorHAnsi"/>
          <w:color w:val="000000"/>
          <w:sz w:val="28"/>
          <w:szCs w:val="28"/>
          <w:shd w:val="clear" w:color="auto" w:fill="FFFFFF"/>
          <w:lang w:val="ro-MD"/>
        </w:rPr>
        <w:t xml:space="preserve"> de acoperire (restituire) a cheltuielilor suportate de ONVV pe durata studiilor în cazul eliberării salariatului</w:t>
      </w:r>
      <w:r w:rsidRPr="002751FC">
        <w:rPr>
          <w:rFonts w:asciiTheme="majorHAnsi" w:hAnsiTheme="majorHAnsi" w:cstheme="majorHAnsi"/>
          <w:sz w:val="28"/>
          <w:szCs w:val="28"/>
          <w:lang w:val="ro-MD"/>
        </w:rPr>
        <w:t xml:space="preserve"> până la finalizarea studiilor</w:t>
      </w:r>
      <w:r w:rsidRPr="002751FC">
        <w:rPr>
          <w:rStyle w:val="ab"/>
          <w:rFonts w:asciiTheme="majorHAnsi" w:hAnsiTheme="majorHAnsi" w:cstheme="majorHAnsi"/>
          <w:sz w:val="28"/>
          <w:szCs w:val="28"/>
          <w:lang w:val="ro-MD"/>
        </w:rPr>
        <w:footnoteReference w:id="75"/>
      </w:r>
      <w:r w:rsidRPr="002751FC">
        <w:rPr>
          <w:rFonts w:asciiTheme="majorHAnsi" w:hAnsiTheme="majorHAnsi" w:cstheme="majorHAnsi"/>
          <w:sz w:val="28"/>
          <w:szCs w:val="28"/>
          <w:lang w:val="ro-MD"/>
        </w:rPr>
        <w:t xml:space="preserve"> sau nefinaliz</w:t>
      </w:r>
      <w:r w:rsidR="00C72467" w:rsidRPr="002751FC">
        <w:rPr>
          <w:rFonts w:asciiTheme="majorHAnsi" w:hAnsiTheme="majorHAnsi" w:cstheme="majorHAnsi"/>
          <w:sz w:val="28"/>
          <w:szCs w:val="28"/>
          <w:lang w:val="ro-MD"/>
        </w:rPr>
        <w:t>ării</w:t>
      </w:r>
      <w:r w:rsidRPr="002751FC">
        <w:rPr>
          <w:rFonts w:asciiTheme="majorHAnsi" w:hAnsiTheme="majorHAnsi" w:cstheme="majorHAnsi"/>
          <w:sz w:val="28"/>
          <w:szCs w:val="28"/>
          <w:lang w:val="ro-MD"/>
        </w:rPr>
        <w:t xml:space="preserve"> acestora. </w:t>
      </w:r>
    </w:p>
    <w:p w:rsidR="00A44ED0" w:rsidRPr="002751FC" w:rsidRDefault="00A44ED0" w:rsidP="00D444D1">
      <w:pPr>
        <w:spacing w:after="0"/>
        <w:jc w:val="both"/>
        <w:rPr>
          <w:rFonts w:asciiTheme="majorHAnsi" w:hAnsiTheme="majorHAnsi" w:cstheme="majorHAnsi"/>
          <w:sz w:val="28"/>
          <w:szCs w:val="28"/>
          <w:lang w:val="ro-MD"/>
        </w:rPr>
      </w:pPr>
    </w:p>
    <w:p w:rsidR="002B0C1F" w:rsidRPr="002751FC" w:rsidRDefault="002B0C1F" w:rsidP="00D444D1">
      <w:pPr>
        <w:spacing w:after="0"/>
        <w:jc w:val="both"/>
        <w:rPr>
          <w:rFonts w:asciiTheme="majorHAnsi" w:hAnsiTheme="majorHAnsi" w:cstheme="majorHAnsi"/>
          <w:sz w:val="28"/>
          <w:szCs w:val="28"/>
          <w:lang w:val="ro-MD"/>
        </w:rPr>
      </w:pPr>
      <w:r w:rsidRPr="002751FC">
        <w:rPr>
          <w:rFonts w:asciiTheme="majorHAnsi" w:hAnsiTheme="majorHAnsi" w:cstheme="majorHAnsi"/>
          <w:color w:val="000000"/>
          <w:sz w:val="28"/>
          <w:szCs w:val="28"/>
          <w:shd w:val="clear" w:color="auto" w:fill="FFFFFF"/>
          <w:lang w:val="ro-MD"/>
        </w:rPr>
        <w:t xml:space="preserve">De </w:t>
      </w:r>
      <w:r w:rsidR="007E613C" w:rsidRPr="002751FC">
        <w:rPr>
          <w:rFonts w:asciiTheme="majorHAnsi" w:hAnsiTheme="majorHAnsi" w:cstheme="majorHAnsi"/>
          <w:color w:val="000000"/>
          <w:sz w:val="28"/>
          <w:szCs w:val="28"/>
          <w:shd w:val="clear" w:color="auto" w:fill="FFFFFF"/>
          <w:lang w:val="ro-MD"/>
        </w:rPr>
        <w:t>menționat</w:t>
      </w:r>
      <w:r w:rsidRPr="002751FC">
        <w:rPr>
          <w:rFonts w:asciiTheme="majorHAnsi" w:hAnsiTheme="majorHAnsi" w:cstheme="majorHAnsi"/>
          <w:color w:val="000000"/>
          <w:sz w:val="28"/>
          <w:szCs w:val="28"/>
          <w:shd w:val="clear" w:color="auto" w:fill="FFFFFF"/>
          <w:lang w:val="ro-MD"/>
        </w:rPr>
        <w:t xml:space="preserve"> că ONVV a achitat </w:t>
      </w:r>
      <w:r w:rsidR="007E613C" w:rsidRPr="002751FC">
        <w:rPr>
          <w:rFonts w:asciiTheme="majorHAnsi" w:hAnsiTheme="majorHAnsi" w:cstheme="majorHAnsi"/>
          <w:color w:val="000000"/>
          <w:sz w:val="28"/>
          <w:szCs w:val="28"/>
          <w:shd w:val="clear" w:color="auto" w:fill="FFFFFF"/>
          <w:lang w:val="ro-MD"/>
        </w:rPr>
        <w:t xml:space="preserve">integral studiile pentru </w:t>
      </w:r>
      <w:r w:rsidRPr="002751FC">
        <w:rPr>
          <w:rFonts w:asciiTheme="majorHAnsi" w:hAnsiTheme="majorHAnsi" w:cstheme="majorHAnsi"/>
          <w:color w:val="000000"/>
          <w:sz w:val="28"/>
          <w:szCs w:val="28"/>
          <w:shd w:val="clear" w:color="auto" w:fill="FFFFFF"/>
          <w:lang w:val="ro-MD"/>
        </w:rPr>
        <w:t xml:space="preserve">întreaga perioadă (3 ani), suma respectivă fiind trecută la cheltuielile anului 2018, pe </w:t>
      </w:r>
      <w:r w:rsidR="007E613C" w:rsidRPr="002751FC">
        <w:rPr>
          <w:rFonts w:asciiTheme="majorHAnsi" w:hAnsiTheme="majorHAnsi" w:cstheme="majorHAnsi"/>
          <w:color w:val="000000"/>
          <w:sz w:val="28"/>
          <w:szCs w:val="28"/>
          <w:shd w:val="clear" w:color="auto" w:fill="FFFFFF"/>
          <w:lang w:val="ro-MD"/>
        </w:rPr>
        <w:t>când</w:t>
      </w:r>
      <w:r w:rsidR="00C72467" w:rsidRPr="002751FC">
        <w:rPr>
          <w:rFonts w:asciiTheme="majorHAnsi" w:hAnsiTheme="majorHAnsi" w:cstheme="majorHAnsi"/>
          <w:color w:val="000000"/>
          <w:sz w:val="28"/>
          <w:szCs w:val="28"/>
          <w:shd w:val="clear" w:color="auto" w:fill="FFFFFF"/>
          <w:lang w:val="ro-MD"/>
        </w:rPr>
        <w:t>,</w:t>
      </w:r>
      <w:r w:rsidRPr="002751FC">
        <w:rPr>
          <w:rFonts w:asciiTheme="majorHAnsi" w:hAnsiTheme="majorHAnsi" w:cstheme="majorHAnsi"/>
          <w:color w:val="000000"/>
          <w:sz w:val="28"/>
          <w:szCs w:val="28"/>
          <w:shd w:val="clear" w:color="auto" w:fill="FFFFFF"/>
          <w:lang w:val="ro-MD"/>
        </w:rPr>
        <w:t xml:space="preserve"> regulamentar</w:t>
      </w:r>
      <w:r w:rsidR="001D0D32" w:rsidRPr="002751FC">
        <w:rPr>
          <w:rFonts w:asciiTheme="majorHAnsi" w:hAnsiTheme="majorHAnsi" w:cstheme="majorHAnsi"/>
          <w:color w:val="000000"/>
          <w:sz w:val="28"/>
          <w:szCs w:val="28"/>
          <w:shd w:val="clear" w:color="auto" w:fill="FFFFFF"/>
          <w:lang w:val="ro-MD"/>
        </w:rPr>
        <w:t xml:space="preserve">, sumele achitate în avans </w:t>
      </w:r>
      <w:r w:rsidRPr="002751FC">
        <w:rPr>
          <w:rFonts w:asciiTheme="majorHAnsi" w:hAnsiTheme="majorHAnsi" w:cstheme="majorHAnsi"/>
          <w:color w:val="000000"/>
          <w:sz w:val="28"/>
          <w:szCs w:val="28"/>
          <w:shd w:val="clear" w:color="auto" w:fill="FFFFFF"/>
          <w:lang w:val="ro-MD"/>
        </w:rPr>
        <w:t xml:space="preserve">pentru anii de studii 2 și 3 urmau a fi reflectate ca „Cheltuieli anticipate” sau „Creanțe ale personalului”, astfel fiind afectate </w:t>
      </w:r>
      <w:r w:rsidRPr="002751FC">
        <w:rPr>
          <w:rFonts w:asciiTheme="majorHAnsi" w:hAnsiTheme="majorHAnsi" w:cstheme="majorHAnsi"/>
          <w:sz w:val="28"/>
          <w:szCs w:val="28"/>
          <w:lang w:val="ro-MD"/>
        </w:rPr>
        <w:t>angajamentele financiare ale exercițiilor financiare viitoare</w:t>
      </w:r>
      <w:r w:rsidR="001D0D32"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w:t>
      </w:r>
      <w:r w:rsidR="001D0D32" w:rsidRPr="002751FC">
        <w:rPr>
          <w:rFonts w:asciiTheme="majorHAnsi" w:hAnsiTheme="majorHAnsi" w:cstheme="majorHAnsi"/>
          <w:sz w:val="28"/>
          <w:szCs w:val="28"/>
          <w:lang w:val="ro-MD"/>
        </w:rPr>
        <w:t xml:space="preserve">În condițiile neîncheierii </w:t>
      </w:r>
      <w:r w:rsidRPr="002751FC">
        <w:rPr>
          <w:rFonts w:asciiTheme="majorHAnsi" w:hAnsiTheme="majorHAnsi" w:cstheme="majorHAnsi"/>
          <w:sz w:val="28"/>
          <w:szCs w:val="28"/>
          <w:lang w:val="ro-MD"/>
        </w:rPr>
        <w:t>c</w:t>
      </w:r>
      <w:r w:rsidR="001D0D32" w:rsidRPr="002751FC">
        <w:rPr>
          <w:rFonts w:asciiTheme="majorHAnsi" w:hAnsiTheme="majorHAnsi" w:cstheme="majorHAnsi"/>
          <w:sz w:val="28"/>
          <w:szCs w:val="28"/>
          <w:lang w:val="ro-MD"/>
        </w:rPr>
        <w:t>o</w:t>
      </w:r>
      <w:r w:rsidRPr="002751FC">
        <w:rPr>
          <w:rFonts w:asciiTheme="majorHAnsi" w:hAnsiTheme="majorHAnsi" w:cstheme="majorHAnsi"/>
          <w:sz w:val="28"/>
          <w:szCs w:val="28"/>
          <w:lang w:val="ro-MD"/>
        </w:rPr>
        <w:t xml:space="preserve">ntractului între ONVV și angajat, persistă riscul de nerecuperare a </w:t>
      </w:r>
      <w:r w:rsidR="00C72467" w:rsidRPr="002751FC">
        <w:rPr>
          <w:rFonts w:asciiTheme="majorHAnsi" w:hAnsiTheme="majorHAnsi" w:cstheme="majorHAnsi"/>
          <w:sz w:val="28"/>
          <w:szCs w:val="28"/>
          <w:lang w:val="ro-MD"/>
        </w:rPr>
        <w:t xml:space="preserve">mijloacelor </w:t>
      </w:r>
      <w:r w:rsidRPr="002751FC">
        <w:rPr>
          <w:rFonts w:asciiTheme="majorHAnsi" w:hAnsiTheme="majorHAnsi" w:cstheme="majorHAnsi"/>
          <w:sz w:val="28"/>
          <w:szCs w:val="28"/>
          <w:lang w:val="ro-MD"/>
        </w:rPr>
        <w:t>financiare alocate în cazul în care ultimul nu va finaliza studiil</w:t>
      </w:r>
      <w:r w:rsidR="001D0D32" w:rsidRPr="002751FC">
        <w:rPr>
          <w:rFonts w:asciiTheme="majorHAnsi" w:hAnsiTheme="majorHAnsi" w:cstheme="majorHAnsi"/>
          <w:sz w:val="28"/>
          <w:szCs w:val="28"/>
          <w:lang w:val="ro-MD"/>
        </w:rPr>
        <w:t>e și,</w:t>
      </w:r>
      <w:r w:rsidRPr="002751FC">
        <w:rPr>
          <w:rFonts w:asciiTheme="majorHAnsi" w:hAnsiTheme="majorHAnsi" w:cstheme="majorHAnsi"/>
          <w:sz w:val="28"/>
          <w:szCs w:val="28"/>
          <w:lang w:val="ro-MD"/>
        </w:rPr>
        <w:t xml:space="preserve"> respectiv</w:t>
      </w:r>
      <w:r w:rsidR="001D0D32"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nu va obține titlul de doctor. </w:t>
      </w:r>
    </w:p>
    <w:p w:rsidR="00A44ED0" w:rsidRPr="002751FC" w:rsidRDefault="00A44ED0" w:rsidP="00D444D1">
      <w:pPr>
        <w:spacing w:after="0"/>
        <w:jc w:val="both"/>
        <w:rPr>
          <w:rFonts w:asciiTheme="majorHAnsi" w:hAnsiTheme="majorHAnsi" w:cstheme="majorHAnsi"/>
          <w:sz w:val="28"/>
          <w:szCs w:val="28"/>
          <w:lang w:val="ro-MD"/>
        </w:rPr>
      </w:pPr>
    </w:p>
    <w:p w:rsidR="002B0C1F" w:rsidRPr="002751FC" w:rsidRDefault="002B0C1F" w:rsidP="00D444D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Lipsa unui mecanism transparent de selectare a candidaților pentru participarea la instruiri de perfecționare profesională continuă (doctorat) </w:t>
      </w:r>
      <w:r w:rsidR="00C72467" w:rsidRPr="002751FC">
        <w:rPr>
          <w:rFonts w:asciiTheme="majorHAnsi" w:hAnsiTheme="majorHAnsi" w:cstheme="majorHAnsi"/>
          <w:sz w:val="28"/>
          <w:szCs w:val="28"/>
          <w:lang w:val="ro-MD"/>
        </w:rPr>
        <w:t>generează</w:t>
      </w:r>
      <w:r w:rsidRPr="002751FC">
        <w:rPr>
          <w:rFonts w:asciiTheme="majorHAnsi" w:hAnsiTheme="majorHAnsi" w:cstheme="majorHAnsi"/>
          <w:sz w:val="28"/>
          <w:szCs w:val="28"/>
          <w:lang w:val="ro-MD"/>
        </w:rPr>
        <w:t xml:space="preserve"> nerespectarea principiilor de bună guvernanță</w:t>
      </w:r>
      <w:r w:rsidRPr="002751FC">
        <w:rPr>
          <w:rStyle w:val="ab"/>
          <w:rFonts w:asciiTheme="majorHAnsi" w:hAnsiTheme="majorHAnsi" w:cstheme="majorHAnsi"/>
          <w:sz w:val="28"/>
          <w:szCs w:val="28"/>
          <w:lang w:val="ro-MD"/>
        </w:rPr>
        <w:footnoteReference w:id="76"/>
      </w:r>
      <w:r w:rsidR="00C72467"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și anume: transparență, </w:t>
      </w:r>
      <w:r w:rsidR="00C72467" w:rsidRPr="002751FC">
        <w:rPr>
          <w:rFonts w:asciiTheme="majorHAnsi" w:hAnsiTheme="majorHAnsi" w:cstheme="majorHAnsi"/>
          <w:sz w:val="28"/>
          <w:szCs w:val="28"/>
          <w:lang w:val="ro-MD"/>
        </w:rPr>
        <w:t>responsabilitate</w:t>
      </w:r>
      <w:r w:rsidRPr="002751FC">
        <w:rPr>
          <w:rFonts w:asciiTheme="majorHAnsi" w:hAnsiTheme="majorHAnsi" w:cstheme="majorHAnsi"/>
          <w:sz w:val="28"/>
          <w:szCs w:val="28"/>
          <w:lang w:val="ro-MD"/>
        </w:rPr>
        <w:t>, economicitate, legalitate</w:t>
      </w:r>
      <w:r w:rsidR="00C72467"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echitate etc. </w:t>
      </w:r>
    </w:p>
    <w:p w:rsidR="001D0D32" w:rsidRPr="002751FC" w:rsidRDefault="001D0D32" w:rsidP="00B72C3E">
      <w:pPr>
        <w:spacing w:after="0" w:line="288" w:lineRule="auto"/>
        <w:jc w:val="both"/>
        <w:rPr>
          <w:rFonts w:asciiTheme="majorHAnsi" w:hAnsiTheme="majorHAnsi" w:cstheme="majorHAnsi"/>
          <w:sz w:val="28"/>
          <w:szCs w:val="28"/>
          <w:lang w:val="ro-MD"/>
        </w:rPr>
      </w:pPr>
    </w:p>
    <w:p w:rsidR="002B0C1F" w:rsidRPr="002751FC" w:rsidRDefault="008142D6" w:rsidP="00B72C3E">
      <w:pPr>
        <w:spacing w:after="0"/>
        <w:outlineLvl w:val="0"/>
        <w:rPr>
          <w:rFonts w:asciiTheme="majorHAnsi" w:hAnsiTheme="majorHAnsi" w:cstheme="majorHAnsi"/>
          <w:b/>
          <w:szCs w:val="28"/>
          <w:lang w:val="ro-MD"/>
        </w:rPr>
      </w:pPr>
      <w:bookmarkStart w:id="48" w:name="_Toc23259111"/>
      <w:r w:rsidRPr="002751FC">
        <w:rPr>
          <w:rFonts w:asciiTheme="majorHAnsi" w:eastAsia="Times New Roman" w:hAnsiTheme="majorHAnsi" w:cstheme="majorHAnsi"/>
          <w:b/>
          <w:sz w:val="28"/>
          <w:szCs w:val="28"/>
          <w:lang w:val="ro-MD" w:eastAsia="ro-RO"/>
        </w:rPr>
        <w:t>4.3.7</w:t>
      </w:r>
      <w:r w:rsidR="002505A0">
        <w:rPr>
          <w:rFonts w:asciiTheme="majorHAnsi" w:eastAsia="Times New Roman" w:hAnsiTheme="majorHAnsi" w:cstheme="majorHAnsi"/>
          <w:b/>
          <w:sz w:val="28"/>
          <w:szCs w:val="28"/>
          <w:lang w:val="ro-MD" w:eastAsia="ro-RO"/>
        </w:rPr>
        <w:t>.</w:t>
      </w:r>
      <w:r w:rsidRPr="002751FC">
        <w:rPr>
          <w:rFonts w:asciiTheme="majorHAnsi" w:eastAsia="Times New Roman" w:hAnsiTheme="majorHAnsi" w:cstheme="majorHAnsi"/>
          <w:b/>
          <w:sz w:val="28"/>
          <w:szCs w:val="28"/>
          <w:lang w:val="ro-MD" w:eastAsia="ro-RO"/>
        </w:rPr>
        <w:t xml:space="preserve"> </w:t>
      </w:r>
      <w:r w:rsidR="002B0C1F" w:rsidRPr="002751FC">
        <w:rPr>
          <w:rFonts w:asciiTheme="majorHAnsi" w:eastAsia="Times New Roman" w:hAnsiTheme="majorHAnsi" w:cstheme="majorHAnsi"/>
          <w:b/>
          <w:sz w:val="28"/>
          <w:szCs w:val="28"/>
          <w:lang w:val="ro-MD" w:eastAsia="ro-RO"/>
        </w:rPr>
        <w:t>ONVV a suportat cheltuieli nejustificate pentru deplasări peste hotare</w:t>
      </w:r>
      <w:bookmarkEnd w:id="48"/>
      <w:r w:rsidR="002B0C1F" w:rsidRPr="002751FC">
        <w:rPr>
          <w:rFonts w:asciiTheme="majorHAnsi" w:eastAsia="Times New Roman" w:hAnsiTheme="majorHAnsi" w:cstheme="majorHAnsi"/>
          <w:b/>
          <w:sz w:val="28"/>
          <w:szCs w:val="28"/>
          <w:lang w:val="ro-MD" w:eastAsia="ro-RO"/>
        </w:rPr>
        <w:t xml:space="preserve"> </w:t>
      </w:r>
    </w:p>
    <w:p w:rsidR="002B0C1F" w:rsidRPr="002751FC" w:rsidRDefault="002B0C1F" w:rsidP="00B72C3E">
      <w:pPr>
        <w:pStyle w:val="ac"/>
        <w:ind w:left="644"/>
        <w:rPr>
          <w:rFonts w:asciiTheme="majorHAnsi" w:hAnsiTheme="majorHAnsi" w:cstheme="majorHAnsi"/>
          <w:b/>
          <w:szCs w:val="28"/>
          <w:lang w:val="ro-MD"/>
        </w:rPr>
      </w:pPr>
    </w:p>
    <w:p w:rsidR="00277C16" w:rsidRPr="0056000A" w:rsidRDefault="00277C16" w:rsidP="00B72C3E">
      <w:pPr>
        <w:spacing w:after="0" w:line="240" w:lineRule="auto"/>
        <w:jc w:val="both"/>
        <w:rPr>
          <w:rFonts w:asciiTheme="majorHAnsi" w:eastAsia="Times New Roman" w:hAnsiTheme="majorHAnsi" w:cstheme="majorHAnsi"/>
          <w:sz w:val="28"/>
          <w:szCs w:val="28"/>
          <w:lang w:val="ro-MD"/>
        </w:rPr>
      </w:pPr>
      <w:r w:rsidRPr="002751FC">
        <w:rPr>
          <w:rFonts w:asciiTheme="majorHAnsi" w:hAnsiTheme="majorHAnsi" w:cstheme="majorHAnsi"/>
          <w:sz w:val="28"/>
          <w:szCs w:val="28"/>
          <w:lang w:val="ro-MD"/>
        </w:rPr>
        <w:t xml:space="preserve">Probele de audit au relevat că, din totalul cheltuielilor pentru </w:t>
      </w:r>
      <w:r w:rsidR="009103CC" w:rsidRPr="002751FC">
        <w:rPr>
          <w:rFonts w:asciiTheme="majorHAnsi" w:hAnsiTheme="majorHAnsi" w:cstheme="majorHAnsi"/>
          <w:sz w:val="28"/>
          <w:szCs w:val="28"/>
          <w:lang w:val="ro-MD"/>
        </w:rPr>
        <w:t>deplasări</w:t>
      </w:r>
      <w:r w:rsidRPr="002751FC">
        <w:rPr>
          <w:rFonts w:asciiTheme="majorHAnsi" w:hAnsiTheme="majorHAnsi" w:cstheme="majorHAnsi"/>
          <w:sz w:val="28"/>
          <w:szCs w:val="28"/>
          <w:lang w:val="ro-MD"/>
        </w:rPr>
        <w:t xml:space="preserve"> peste hotare (1,2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 xml:space="preserve">), ONVV, </w:t>
      </w:r>
      <w:r w:rsidR="009103CC" w:rsidRPr="002751FC">
        <w:rPr>
          <w:rFonts w:asciiTheme="majorHAnsi" w:hAnsiTheme="majorHAnsi" w:cstheme="majorHAnsi"/>
          <w:sz w:val="28"/>
          <w:szCs w:val="28"/>
          <w:lang w:val="ro-MD"/>
        </w:rPr>
        <w:t>nerespectând</w:t>
      </w:r>
      <w:r w:rsidRPr="002751FC">
        <w:rPr>
          <w:rFonts w:asciiTheme="majorHAnsi" w:hAnsiTheme="majorHAnsi" w:cstheme="majorHAnsi"/>
          <w:sz w:val="28"/>
          <w:szCs w:val="28"/>
          <w:lang w:val="ro-MD"/>
        </w:rPr>
        <w:t xml:space="preserve"> prevederile Regulamentului cu privire la delegarea </w:t>
      </w:r>
      <w:proofErr w:type="spellStart"/>
      <w:r w:rsidRPr="00331197">
        <w:rPr>
          <w:rFonts w:asciiTheme="majorHAnsi" w:hAnsiTheme="majorHAnsi" w:cstheme="majorHAnsi"/>
          <w:sz w:val="28"/>
          <w:szCs w:val="28"/>
          <w:lang w:val="ro-MD"/>
        </w:rPr>
        <w:lastRenderedPageBreak/>
        <w:t>salariaţilor</w:t>
      </w:r>
      <w:proofErr w:type="spellEnd"/>
      <w:r w:rsidRPr="00331197">
        <w:rPr>
          <w:rFonts w:asciiTheme="majorHAnsi" w:hAnsiTheme="majorHAnsi" w:cstheme="majorHAnsi"/>
          <w:sz w:val="28"/>
          <w:szCs w:val="28"/>
          <w:lang w:val="ro-MD"/>
        </w:rPr>
        <w:t xml:space="preserve"> </w:t>
      </w:r>
      <w:proofErr w:type="spellStart"/>
      <w:r w:rsidRPr="00331197">
        <w:rPr>
          <w:rFonts w:asciiTheme="majorHAnsi" w:hAnsiTheme="majorHAnsi" w:cstheme="majorHAnsi"/>
          <w:sz w:val="28"/>
          <w:szCs w:val="28"/>
          <w:lang w:val="ro-MD"/>
        </w:rPr>
        <w:t>entităţilor</w:t>
      </w:r>
      <w:proofErr w:type="spellEnd"/>
      <w:r w:rsidRPr="00331197">
        <w:rPr>
          <w:rFonts w:asciiTheme="majorHAnsi" w:hAnsiTheme="majorHAnsi" w:cstheme="majorHAnsi"/>
          <w:sz w:val="28"/>
          <w:szCs w:val="28"/>
          <w:lang w:val="ro-MD"/>
        </w:rPr>
        <w:t xml:space="preserve"> din Republica Moldova</w:t>
      </w:r>
      <w:r w:rsidRPr="00331197">
        <w:rPr>
          <w:rStyle w:val="ab"/>
          <w:rFonts w:asciiTheme="majorHAnsi" w:hAnsiTheme="majorHAnsi" w:cstheme="majorHAnsi"/>
          <w:sz w:val="28"/>
          <w:szCs w:val="28"/>
          <w:lang w:val="ro-MD"/>
        </w:rPr>
        <w:footnoteReference w:id="77"/>
      </w:r>
      <w:r w:rsidRPr="00331197">
        <w:rPr>
          <w:rFonts w:asciiTheme="majorHAnsi" w:eastAsia="Times New Roman" w:hAnsiTheme="majorHAnsi" w:cstheme="majorHAnsi"/>
          <w:sz w:val="28"/>
          <w:szCs w:val="28"/>
          <w:lang w:val="ro-MD"/>
        </w:rPr>
        <w:t xml:space="preserve">, a achitat cheltuieli de deplasare peste hotare </w:t>
      </w:r>
      <w:r w:rsidR="00C72467" w:rsidRPr="0056000A">
        <w:rPr>
          <w:rFonts w:asciiTheme="majorHAnsi" w:eastAsia="Times New Roman" w:hAnsiTheme="majorHAnsi" w:cstheme="majorHAnsi"/>
          <w:sz w:val="28"/>
          <w:szCs w:val="28"/>
          <w:lang w:val="ro-MD"/>
        </w:rPr>
        <w:t>unor</w:t>
      </w:r>
      <w:r w:rsidRPr="0056000A">
        <w:rPr>
          <w:rFonts w:asciiTheme="majorHAnsi" w:eastAsia="Times New Roman" w:hAnsiTheme="majorHAnsi" w:cstheme="majorHAnsi"/>
          <w:sz w:val="28"/>
          <w:szCs w:val="28"/>
          <w:lang w:val="ro-MD"/>
        </w:rPr>
        <w:t xml:space="preserve"> angajați din </w:t>
      </w:r>
      <w:r w:rsidR="009103CC" w:rsidRPr="0056000A">
        <w:rPr>
          <w:rFonts w:asciiTheme="majorHAnsi" w:eastAsia="Times New Roman" w:hAnsiTheme="majorHAnsi" w:cstheme="majorHAnsi"/>
          <w:sz w:val="28"/>
          <w:szCs w:val="28"/>
          <w:lang w:val="ro-MD"/>
        </w:rPr>
        <w:t>afara</w:t>
      </w:r>
      <w:r w:rsidRPr="0056000A">
        <w:rPr>
          <w:rFonts w:asciiTheme="majorHAnsi" w:eastAsia="Times New Roman" w:hAnsiTheme="majorHAnsi" w:cstheme="majorHAnsi"/>
          <w:sz w:val="28"/>
          <w:szCs w:val="28"/>
          <w:lang w:val="ro-MD"/>
        </w:rPr>
        <w:t xml:space="preserve"> ONVV, astfel </w:t>
      </w:r>
      <w:r w:rsidR="009103CC" w:rsidRPr="0056000A">
        <w:rPr>
          <w:rFonts w:asciiTheme="majorHAnsi" w:eastAsia="Times New Roman" w:hAnsiTheme="majorHAnsi" w:cstheme="majorHAnsi"/>
          <w:sz w:val="28"/>
          <w:szCs w:val="28"/>
          <w:lang w:val="ro-MD"/>
        </w:rPr>
        <w:t>cheltuind</w:t>
      </w:r>
      <w:r w:rsidRPr="0056000A">
        <w:rPr>
          <w:rFonts w:asciiTheme="majorHAnsi" w:eastAsia="Times New Roman" w:hAnsiTheme="majorHAnsi" w:cstheme="majorHAnsi"/>
          <w:sz w:val="28"/>
          <w:szCs w:val="28"/>
          <w:lang w:val="ro-MD"/>
        </w:rPr>
        <w:t xml:space="preserve"> </w:t>
      </w:r>
      <w:r w:rsidRPr="0056000A">
        <w:rPr>
          <w:rFonts w:asciiTheme="majorHAnsi" w:eastAsia="Times New Roman" w:hAnsiTheme="majorHAnsi" w:cstheme="majorHAnsi"/>
          <w:sz w:val="28"/>
          <w:szCs w:val="28"/>
          <w:shd w:val="clear" w:color="auto" w:fill="FFFFFF" w:themeFill="background1"/>
          <w:lang w:val="ro-MD"/>
        </w:rPr>
        <w:t xml:space="preserve">nejustificat </w:t>
      </w:r>
      <w:r w:rsidRPr="0056000A">
        <w:rPr>
          <w:rFonts w:asciiTheme="majorHAnsi" w:eastAsia="Times New Roman" w:hAnsiTheme="majorHAnsi" w:cstheme="majorHAnsi"/>
          <w:b/>
          <w:sz w:val="28"/>
          <w:szCs w:val="28"/>
          <w:shd w:val="clear" w:color="auto" w:fill="FFFFFF" w:themeFill="background1"/>
          <w:lang w:val="ro-MD"/>
        </w:rPr>
        <w:t xml:space="preserve">0,147 </w:t>
      </w:r>
      <w:proofErr w:type="spellStart"/>
      <w:r w:rsidRPr="0056000A">
        <w:rPr>
          <w:rFonts w:asciiTheme="majorHAnsi" w:eastAsia="Times New Roman" w:hAnsiTheme="majorHAnsi" w:cstheme="majorHAnsi"/>
          <w:b/>
          <w:sz w:val="28"/>
          <w:szCs w:val="28"/>
          <w:lang w:val="ro-MD"/>
        </w:rPr>
        <w:t>mil.MDL</w:t>
      </w:r>
      <w:proofErr w:type="spellEnd"/>
      <w:r w:rsidRPr="0056000A">
        <w:rPr>
          <w:rFonts w:asciiTheme="majorHAnsi" w:eastAsia="Times New Roman" w:hAnsiTheme="majorHAnsi" w:cstheme="majorHAnsi"/>
          <w:sz w:val="28"/>
          <w:szCs w:val="28"/>
          <w:lang w:val="ro-MD"/>
        </w:rPr>
        <w:t xml:space="preserve">. </w:t>
      </w:r>
    </w:p>
    <w:p w:rsidR="00277C16" w:rsidRPr="00331197" w:rsidRDefault="00277C16" w:rsidP="00B72C3E">
      <w:pPr>
        <w:spacing w:after="0" w:line="240" w:lineRule="auto"/>
        <w:jc w:val="both"/>
        <w:rPr>
          <w:rFonts w:asciiTheme="majorHAnsi" w:hAnsiTheme="majorHAnsi" w:cstheme="majorHAnsi"/>
          <w:sz w:val="28"/>
          <w:szCs w:val="28"/>
          <w:lang w:val="ro-MD"/>
        </w:rPr>
      </w:pPr>
    </w:p>
    <w:p w:rsidR="00277C16" w:rsidRPr="002751FC" w:rsidRDefault="00277C16" w:rsidP="00B72C3E">
      <w:pPr>
        <w:spacing w:after="0" w:line="240" w:lineRule="auto"/>
        <w:jc w:val="both"/>
        <w:rPr>
          <w:rFonts w:asciiTheme="majorHAnsi" w:hAnsiTheme="majorHAnsi" w:cstheme="majorHAnsi"/>
          <w:sz w:val="28"/>
          <w:szCs w:val="28"/>
          <w:lang w:val="ro-MD"/>
        </w:rPr>
      </w:pPr>
      <w:r w:rsidRPr="00331197">
        <w:rPr>
          <w:rFonts w:asciiTheme="majorHAnsi" w:hAnsiTheme="majorHAnsi" w:cstheme="majorHAnsi"/>
          <w:sz w:val="28"/>
          <w:szCs w:val="28"/>
          <w:lang w:val="ro-MD"/>
        </w:rPr>
        <w:t>Deși</w:t>
      </w:r>
      <w:r w:rsidR="006567CA" w:rsidRPr="00331197">
        <w:rPr>
          <w:rFonts w:asciiTheme="majorHAnsi" w:hAnsiTheme="majorHAnsi" w:cstheme="majorHAnsi"/>
          <w:sz w:val="28"/>
          <w:szCs w:val="28"/>
          <w:lang w:val="ro-MD"/>
        </w:rPr>
        <w:t xml:space="preserve"> </w:t>
      </w:r>
      <w:r w:rsidRPr="00331197">
        <w:rPr>
          <w:rFonts w:asciiTheme="majorHAnsi" w:hAnsiTheme="majorHAnsi" w:cstheme="majorHAnsi"/>
          <w:sz w:val="28"/>
          <w:szCs w:val="28"/>
          <w:lang w:val="ro-MD"/>
        </w:rPr>
        <w:t xml:space="preserve">pct.17 din Statutul ONVV stipulează că membrii Consiliului beneficiază de compensarea cheltuielilor ce </w:t>
      </w:r>
      <w:proofErr w:type="spellStart"/>
      <w:r w:rsidRPr="00331197">
        <w:rPr>
          <w:rFonts w:asciiTheme="majorHAnsi" w:hAnsiTheme="majorHAnsi" w:cstheme="majorHAnsi"/>
          <w:sz w:val="28"/>
          <w:szCs w:val="28"/>
          <w:lang w:val="ro-MD"/>
        </w:rPr>
        <w:t>ţin</w:t>
      </w:r>
      <w:proofErr w:type="spellEnd"/>
      <w:r w:rsidRPr="00331197">
        <w:rPr>
          <w:rFonts w:asciiTheme="majorHAnsi" w:hAnsiTheme="majorHAnsi" w:cstheme="majorHAnsi"/>
          <w:sz w:val="28"/>
          <w:szCs w:val="28"/>
          <w:lang w:val="ro-MD"/>
        </w:rPr>
        <w:t xml:space="preserve"> de deplasările efectuate în interesul exercitării </w:t>
      </w:r>
      <w:r w:rsidR="00C90093" w:rsidRPr="00331197">
        <w:rPr>
          <w:rFonts w:asciiTheme="majorHAnsi" w:hAnsiTheme="majorHAnsi" w:cstheme="majorHAnsi"/>
          <w:sz w:val="28"/>
          <w:szCs w:val="28"/>
          <w:lang w:val="ro-MD"/>
        </w:rPr>
        <w:t>atribuțiilor</w:t>
      </w:r>
      <w:r w:rsidRPr="00331197">
        <w:rPr>
          <w:rFonts w:asciiTheme="majorHAnsi" w:hAnsiTheme="majorHAnsi" w:cstheme="majorHAnsi"/>
          <w:sz w:val="28"/>
          <w:szCs w:val="28"/>
          <w:lang w:val="ro-MD"/>
        </w:rPr>
        <w:t xml:space="preserve"> de membru al Consiliului, ONVV a suportat cheltuieli neregulamentare pentru deplasări peste hotare a</w:t>
      </w:r>
      <w:r w:rsidR="00B10F6D" w:rsidRPr="00331197">
        <w:rPr>
          <w:rFonts w:asciiTheme="majorHAnsi" w:hAnsiTheme="majorHAnsi" w:cstheme="majorHAnsi"/>
          <w:sz w:val="28"/>
          <w:szCs w:val="28"/>
          <w:lang w:val="ro-MD"/>
        </w:rPr>
        <w:t>le</w:t>
      </w:r>
      <w:r w:rsidRPr="00331197">
        <w:rPr>
          <w:rFonts w:asciiTheme="majorHAnsi" w:hAnsiTheme="majorHAnsi" w:cstheme="majorHAnsi"/>
          <w:sz w:val="28"/>
          <w:szCs w:val="28"/>
          <w:lang w:val="ro-MD"/>
        </w:rPr>
        <w:t xml:space="preserve"> membrilor CC (0,066 </w:t>
      </w:r>
      <w:proofErr w:type="spellStart"/>
      <w:r w:rsidRPr="00331197">
        <w:rPr>
          <w:rFonts w:asciiTheme="majorHAnsi" w:hAnsiTheme="majorHAnsi" w:cstheme="majorHAnsi"/>
          <w:sz w:val="28"/>
          <w:szCs w:val="28"/>
          <w:lang w:val="ro-MD"/>
        </w:rPr>
        <w:t>mil.MDL</w:t>
      </w:r>
      <w:proofErr w:type="spellEnd"/>
      <w:r w:rsidRPr="00331197">
        <w:rPr>
          <w:rFonts w:asciiTheme="majorHAnsi" w:hAnsiTheme="majorHAnsi" w:cstheme="majorHAnsi"/>
          <w:sz w:val="28"/>
          <w:szCs w:val="28"/>
          <w:lang w:val="ro-MD"/>
        </w:rPr>
        <w:t>)</w:t>
      </w:r>
      <w:r w:rsidRPr="00331197">
        <w:rPr>
          <w:rStyle w:val="ab"/>
          <w:rFonts w:asciiTheme="majorHAnsi" w:hAnsiTheme="majorHAnsi" w:cstheme="majorHAnsi"/>
          <w:sz w:val="28"/>
          <w:szCs w:val="28"/>
          <w:lang w:val="ro-MD"/>
        </w:rPr>
        <w:footnoteReference w:id="78"/>
      </w:r>
      <w:r w:rsidRPr="00331197">
        <w:rPr>
          <w:rFonts w:asciiTheme="majorHAnsi" w:hAnsiTheme="majorHAnsi" w:cstheme="majorHAnsi"/>
          <w:sz w:val="28"/>
          <w:szCs w:val="28"/>
          <w:lang w:val="ro-MD"/>
        </w:rPr>
        <w:t xml:space="preserve">, fiind suportate </w:t>
      </w:r>
      <w:proofErr w:type="spellStart"/>
      <w:r w:rsidR="00C90093" w:rsidRPr="00331197">
        <w:rPr>
          <w:rFonts w:asciiTheme="majorHAnsi" w:hAnsiTheme="majorHAnsi" w:cstheme="majorHAnsi"/>
          <w:sz w:val="28"/>
          <w:szCs w:val="28"/>
          <w:lang w:val="ro-MD"/>
        </w:rPr>
        <w:t>şi</w:t>
      </w:r>
      <w:proofErr w:type="spellEnd"/>
      <w:r w:rsidR="00C90093" w:rsidRPr="00331197">
        <w:rPr>
          <w:rFonts w:asciiTheme="majorHAnsi" w:hAnsiTheme="majorHAnsi" w:cstheme="majorHAnsi"/>
          <w:sz w:val="28"/>
          <w:szCs w:val="28"/>
          <w:lang w:val="ro-MD"/>
        </w:rPr>
        <w:t xml:space="preserve"> </w:t>
      </w:r>
      <w:r w:rsidRPr="0056000A">
        <w:rPr>
          <w:rFonts w:asciiTheme="majorHAnsi" w:hAnsiTheme="majorHAnsi" w:cstheme="majorHAnsi"/>
          <w:sz w:val="28"/>
          <w:szCs w:val="28"/>
          <w:lang w:val="ro-MD"/>
        </w:rPr>
        <w:t>cheltuieli nejustificate pentru deplasări</w:t>
      </w:r>
      <w:r w:rsidR="0056000A">
        <w:rPr>
          <w:rFonts w:asciiTheme="majorHAnsi" w:hAnsiTheme="majorHAnsi" w:cstheme="majorHAnsi"/>
          <w:sz w:val="28"/>
          <w:szCs w:val="28"/>
          <w:lang w:val="ro-MD"/>
        </w:rPr>
        <w:t>le</w:t>
      </w:r>
      <w:r w:rsidRPr="0056000A">
        <w:rPr>
          <w:rFonts w:asciiTheme="majorHAnsi" w:hAnsiTheme="majorHAnsi" w:cstheme="majorHAnsi"/>
          <w:sz w:val="28"/>
          <w:szCs w:val="28"/>
          <w:lang w:val="ro-MD"/>
        </w:rPr>
        <w:t xml:space="preserve"> peste hotare a</w:t>
      </w:r>
      <w:r w:rsidR="0056000A">
        <w:rPr>
          <w:rFonts w:asciiTheme="majorHAnsi" w:hAnsiTheme="majorHAnsi" w:cstheme="majorHAnsi"/>
          <w:sz w:val="28"/>
          <w:szCs w:val="28"/>
          <w:lang w:val="ro-MD"/>
        </w:rPr>
        <w:t>le</w:t>
      </w:r>
      <w:r w:rsidRPr="0056000A">
        <w:rPr>
          <w:rFonts w:asciiTheme="majorHAnsi" w:hAnsiTheme="majorHAnsi" w:cstheme="majorHAnsi"/>
          <w:sz w:val="28"/>
          <w:szCs w:val="28"/>
          <w:lang w:val="ro-MD"/>
        </w:rPr>
        <w:t xml:space="preserve"> </w:t>
      </w:r>
      <w:r w:rsidR="00B10F6D" w:rsidRPr="0056000A">
        <w:rPr>
          <w:rFonts w:asciiTheme="majorHAnsi" w:hAnsiTheme="majorHAnsi" w:cstheme="majorHAnsi"/>
          <w:sz w:val="28"/>
          <w:szCs w:val="28"/>
          <w:lang w:val="ro-MD"/>
        </w:rPr>
        <w:t xml:space="preserve">unor </w:t>
      </w:r>
      <w:r w:rsidRPr="0056000A">
        <w:rPr>
          <w:rFonts w:asciiTheme="majorHAnsi" w:hAnsiTheme="majorHAnsi" w:cstheme="majorHAnsi"/>
          <w:sz w:val="28"/>
          <w:szCs w:val="28"/>
          <w:lang w:val="ro-MD"/>
        </w:rPr>
        <w:t>persoane</w:t>
      </w:r>
      <w:r w:rsidRPr="002751FC">
        <w:rPr>
          <w:rFonts w:asciiTheme="majorHAnsi" w:hAnsiTheme="majorHAnsi" w:cstheme="majorHAnsi"/>
          <w:sz w:val="28"/>
          <w:szCs w:val="28"/>
          <w:lang w:val="ro-MD"/>
        </w:rPr>
        <w:t xml:space="preserve"> cu </w:t>
      </w:r>
      <w:r w:rsidR="00C90093" w:rsidRPr="002751FC">
        <w:rPr>
          <w:rFonts w:asciiTheme="majorHAnsi" w:hAnsiTheme="majorHAnsi" w:cstheme="majorHAnsi"/>
          <w:sz w:val="28"/>
          <w:szCs w:val="28"/>
          <w:lang w:val="ro-MD"/>
        </w:rPr>
        <w:t>funcții</w:t>
      </w:r>
      <w:r w:rsidRPr="002751FC">
        <w:rPr>
          <w:rFonts w:asciiTheme="majorHAnsi" w:hAnsiTheme="majorHAnsi" w:cstheme="majorHAnsi"/>
          <w:sz w:val="28"/>
          <w:szCs w:val="28"/>
          <w:lang w:val="ro-MD"/>
        </w:rPr>
        <w:t xml:space="preserve"> de demnitate publică</w:t>
      </w:r>
      <w:r w:rsidRPr="002751FC">
        <w:rPr>
          <w:rStyle w:val="ab"/>
          <w:rFonts w:asciiTheme="majorHAnsi" w:hAnsiTheme="majorHAnsi" w:cstheme="majorHAnsi"/>
          <w:sz w:val="28"/>
          <w:szCs w:val="28"/>
          <w:lang w:val="ro-MD"/>
        </w:rPr>
        <w:footnoteReference w:id="79"/>
      </w:r>
      <w:r w:rsidRPr="002751FC">
        <w:rPr>
          <w:rFonts w:asciiTheme="majorHAnsi" w:hAnsiTheme="majorHAnsi" w:cstheme="majorHAnsi"/>
          <w:sz w:val="28"/>
          <w:szCs w:val="28"/>
          <w:lang w:val="ro-MD"/>
        </w:rPr>
        <w:t xml:space="preserve"> (0,081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w:t>
      </w:r>
    </w:p>
    <w:p w:rsidR="002B0C1F" w:rsidRPr="002751FC" w:rsidRDefault="00277C16" w:rsidP="00B72C3E">
      <w:pPr>
        <w:spacing w:after="0" w:line="240" w:lineRule="auto"/>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br/>
        <w:t xml:space="preserve">De asemenea, în cadrul ONVV nu a fost </w:t>
      </w:r>
      <w:r w:rsidR="00C90093" w:rsidRPr="002751FC">
        <w:rPr>
          <w:rFonts w:asciiTheme="majorHAnsi" w:hAnsiTheme="majorHAnsi" w:cstheme="majorHAnsi"/>
          <w:sz w:val="28"/>
          <w:szCs w:val="28"/>
          <w:lang w:val="ro-MD"/>
        </w:rPr>
        <w:t>respectat</w:t>
      </w:r>
      <w:r w:rsidRPr="002751FC">
        <w:rPr>
          <w:rFonts w:asciiTheme="majorHAnsi" w:hAnsiTheme="majorHAnsi" w:cstheme="majorHAnsi"/>
          <w:sz w:val="28"/>
          <w:szCs w:val="28"/>
          <w:lang w:val="ro-MD"/>
        </w:rPr>
        <w:t xml:space="preserve"> pct.9 din Regulamentul cu privire la delegarea salariaţilor </w:t>
      </w:r>
      <w:r w:rsidR="00C90093" w:rsidRPr="002751FC">
        <w:rPr>
          <w:rFonts w:asciiTheme="majorHAnsi" w:hAnsiTheme="majorHAnsi" w:cstheme="majorHAnsi"/>
          <w:sz w:val="28"/>
          <w:szCs w:val="28"/>
          <w:lang w:val="ro-MD"/>
        </w:rPr>
        <w:t>entităților</w:t>
      </w:r>
      <w:r w:rsidRPr="002751FC">
        <w:rPr>
          <w:rFonts w:asciiTheme="majorHAnsi" w:hAnsiTheme="majorHAnsi" w:cstheme="majorHAnsi"/>
          <w:sz w:val="28"/>
          <w:szCs w:val="28"/>
          <w:lang w:val="ro-MD"/>
        </w:rPr>
        <w:t xml:space="preserve"> din Republica Moldova. Astfel, după </w:t>
      </w:r>
      <w:r w:rsidR="00C90093" w:rsidRPr="002751FC">
        <w:rPr>
          <w:rFonts w:asciiTheme="majorHAnsi" w:hAnsiTheme="majorHAnsi" w:cstheme="majorHAnsi"/>
          <w:sz w:val="28"/>
          <w:szCs w:val="28"/>
          <w:lang w:val="ro-MD"/>
        </w:rPr>
        <w:t>încheierea</w:t>
      </w:r>
      <w:r w:rsidRPr="002751FC">
        <w:rPr>
          <w:rFonts w:asciiTheme="majorHAnsi" w:hAnsiTheme="majorHAnsi" w:cstheme="majorHAnsi"/>
          <w:sz w:val="28"/>
          <w:szCs w:val="28"/>
          <w:lang w:val="ro-MD"/>
        </w:rPr>
        <w:t xml:space="preserve"> </w:t>
      </w:r>
      <w:r w:rsidR="00C90093" w:rsidRPr="002751FC">
        <w:rPr>
          <w:rFonts w:asciiTheme="majorHAnsi" w:hAnsiTheme="majorHAnsi" w:cstheme="majorHAnsi"/>
          <w:sz w:val="28"/>
          <w:szCs w:val="28"/>
          <w:lang w:val="ro-MD"/>
        </w:rPr>
        <w:t xml:space="preserve">deplasărilor peste hotare (86 deplasări), </w:t>
      </w:r>
      <w:r w:rsidRPr="002751FC">
        <w:rPr>
          <w:rFonts w:asciiTheme="majorHAnsi" w:hAnsiTheme="majorHAnsi" w:cstheme="majorHAnsi"/>
          <w:sz w:val="28"/>
          <w:szCs w:val="28"/>
          <w:lang w:val="ro-MD"/>
        </w:rPr>
        <w:t>doar pentru 41 (47,6%) au fost prezentate</w:t>
      </w:r>
      <w:r w:rsidR="00C90093"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 xml:space="preserve">Rapoartele de deplasare, dintre care doar 2 </w:t>
      </w:r>
      <w:r w:rsidR="00C90093" w:rsidRPr="002751FC">
        <w:rPr>
          <w:rFonts w:asciiTheme="majorHAnsi" w:hAnsiTheme="majorHAnsi" w:cstheme="majorHAnsi"/>
          <w:sz w:val="28"/>
          <w:szCs w:val="28"/>
          <w:lang w:val="ro-MD"/>
        </w:rPr>
        <w:t>fiind</w:t>
      </w:r>
      <w:r w:rsidRPr="002751FC">
        <w:rPr>
          <w:rFonts w:asciiTheme="majorHAnsi" w:hAnsiTheme="majorHAnsi" w:cstheme="majorHAnsi"/>
          <w:sz w:val="28"/>
          <w:szCs w:val="28"/>
          <w:lang w:val="ro-MD"/>
        </w:rPr>
        <w:t xml:space="preserve"> prezentate în termen</w:t>
      </w:r>
      <w:r w:rsidRPr="002751FC">
        <w:rPr>
          <w:rStyle w:val="ab"/>
          <w:rFonts w:asciiTheme="majorHAnsi" w:hAnsiTheme="majorHAnsi" w:cstheme="majorHAnsi"/>
          <w:sz w:val="28"/>
          <w:szCs w:val="28"/>
          <w:lang w:val="ro-MD"/>
        </w:rPr>
        <w:footnoteReference w:id="80"/>
      </w:r>
      <w:r w:rsidRPr="002751FC">
        <w:rPr>
          <w:rFonts w:asciiTheme="majorHAnsi" w:hAnsiTheme="majorHAnsi" w:cstheme="majorHAnsi"/>
          <w:sz w:val="28"/>
          <w:szCs w:val="28"/>
          <w:lang w:val="ro-MD"/>
        </w:rPr>
        <w:t>.</w:t>
      </w:r>
    </w:p>
    <w:p w:rsidR="00C90093" w:rsidRPr="002751FC" w:rsidRDefault="00C90093" w:rsidP="00B72C3E">
      <w:pPr>
        <w:spacing w:after="0" w:line="240" w:lineRule="auto"/>
        <w:jc w:val="both"/>
        <w:rPr>
          <w:rFonts w:asciiTheme="majorHAnsi" w:hAnsiTheme="majorHAnsi" w:cstheme="majorHAnsi"/>
          <w:sz w:val="28"/>
          <w:szCs w:val="28"/>
          <w:highlight w:val="cyan"/>
          <w:lang w:val="ro-MD"/>
        </w:rPr>
      </w:pPr>
    </w:p>
    <w:p w:rsidR="002B0C1F" w:rsidRPr="002751FC" w:rsidRDefault="0031118B" w:rsidP="00777921">
      <w:pPr>
        <w:tabs>
          <w:tab w:val="left" w:pos="284"/>
          <w:tab w:val="left" w:pos="567"/>
        </w:tabs>
        <w:spacing w:after="0"/>
        <w:jc w:val="both"/>
        <w:outlineLvl w:val="0"/>
        <w:rPr>
          <w:rFonts w:asciiTheme="majorHAnsi" w:eastAsia="Times New Roman" w:hAnsiTheme="majorHAnsi" w:cstheme="majorHAnsi"/>
          <w:b/>
          <w:sz w:val="28"/>
          <w:szCs w:val="28"/>
          <w:lang w:val="ro-MD" w:eastAsia="ro-RO"/>
        </w:rPr>
      </w:pPr>
      <w:r w:rsidRPr="002751FC">
        <w:rPr>
          <w:rFonts w:asciiTheme="majorHAnsi" w:eastAsia="Times New Roman" w:hAnsiTheme="majorHAnsi" w:cstheme="majorHAnsi"/>
          <w:b/>
          <w:sz w:val="28"/>
          <w:szCs w:val="28"/>
          <w:lang w:val="ro-MD" w:eastAsia="ro-RO"/>
        </w:rPr>
        <w:t>4.3.8</w:t>
      </w:r>
      <w:r w:rsidR="002B0C1F" w:rsidRPr="002751FC">
        <w:rPr>
          <w:rFonts w:asciiTheme="majorHAnsi" w:eastAsia="Times New Roman" w:hAnsiTheme="majorHAnsi" w:cstheme="majorHAnsi"/>
          <w:b/>
          <w:sz w:val="28"/>
          <w:szCs w:val="28"/>
          <w:lang w:val="ro-MD" w:eastAsia="ro-RO"/>
        </w:rPr>
        <w:t>.</w:t>
      </w:r>
      <w:r w:rsidRPr="002751FC">
        <w:rPr>
          <w:rFonts w:asciiTheme="majorHAnsi" w:eastAsia="Times New Roman" w:hAnsiTheme="majorHAnsi" w:cstheme="majorHAnsi"/>
          <w:b/>
          <w:sz w:val="28"/>
          <w:szCs w:val="28"/>
          <w:lang w:val="ro-MD" w:eastAsia="ro-RO"/>
        </w:rPr>
        <w:t xml:space="preserve"> </w:t>
      </w:r>
      <w:bookmarkStart w:id="49" w:name="_Toc23259112"/>
      <w:r w:rsidR="002B0C1F" w:rsidRPr="002751FC">
        <w:rPr>
          <w:rFonts w:asciiTheme="majorHAnsi" w:eastAsia="Times New Roman" w:hAnsiTheme="majorHAnsi" w:cstheme="majorHAnsi"/>
          <w:b/>
          <w:sz w:val="28"/>
          <w:szCs w:val="28"/>
          <w:lang w:val="ro-MD" w:eastAsia="ro-RO"/>
        </w:rPr>
        <w:t xml:space="preserve">ONVV nu a asigurat întocmirea </w:t>
      </w:r>
      <w:r w:rsidR="00F174B4" w:rsidRPr="002751FC">
        <w:rPr>
          <w:rFonts w:asciiTheme="majorHAnsi" w:eastAsia="Times New Roman" w:hAnsiTheme="majorHAnsi" w:cstheme="majorHAnsi"/>
          <w:b/>
          <w:sz w:val="28"/>
          <w:szCs w:val="28"/>
          <w:lang w:val="ro-MD" w:eastAsia="ro-RO"/>
        </w:rPr>
        <w:t>documentației</w:t>
      </w:r>
      <w:r w:rsidR="002B0C1F" w:rsidRPr="002751FC">
        <w:rPr>
          <w:rFonts w:asciiTheme="majorHAnsi" w:eastAsia="Times New Roman" w:hAnsiTheme="majorHAnsi" w:cstheme="majorHAnsi"/>
          <w:b/>
          <w:sz w:val="28"/>
          <w:szCs w:val="28"/>
          <w:lang w:val="ro-MD" w:eastAsia="ro-RO"/>
        </w:rPr>
        <w:t xml:space="preserve"> necesare pentru primirea </w:t>
      </w:r>
      <w:r w:rsidR="00F174B4" w:rsidRPr="002751FC">
        <w:rPr>
          <w:rFonts w:asciiTheme="majorHAnsi" w:eastAsia="Times New Roman" w:hAnsiTheme="majorHAnsi" w:cstheme="majorHAnsi"/>
          <w:b/>
          <w:sz w:val="28"/>
          <w:szCs w:val="28"/>
          <w:lang w:val="ro-MD" w:eastAsia="ro-RO"/>
        </w:rPr>
        <w:t>delegați</w:t>
      </w:r>
      <w:r w:rsidR="0056000A">
        <w:rPr>
          <w:rFonts w:asciiTheme="majorHAnsi" w:eastAsia="Times New Roman" w:hAnsiTheme="majorHAnsi" w:cstheme="majorHAnsi"/>
          <w:b/>
          <w:sz w:val="28"/>
          <w:szCs w:val="28"/>
          <w:lang w:val="ro-MD" w:eastAsia="ro-RO"/>
        </w:rPr>
        <w:t>i</w:t>
      </w:r>
      <w:r w:rsidR="00F174B4" w:rsidRPr="002751FC">
        <w:rPr>
          <w:rFonts w:asciiTheme="majorHAnsi" w:eastAsia="Times New Roman" w:hAnsiTheme="majorHAnsi" w:cstheme="majorHAnsi"/>
          <w:b/>
          <w:sz w:val="28"/>
          <w:szCs w:val="28"/>
          <w:lang w:val="ro-MD" w:eastAsia="ro-RO"/>
        </w:rPr>
        <w:t>lor</w:t>
      </w:r>
      <w:r w:rsidR="002B0C1F" w:rsidRPr="002751FC">
        <w:rPr>
          <w:rFonts w:asciiTheme="majorHAnsi" w:eastAsia="Times New Roman" w:hAnsiTheme="majorHAnsi" w:cstheme="majorHAnsi"/>
          <w:b/>
          <w:sz w:val="28"/>
          <w:szCs w:val="28"/>
          <w:lang w:val="ro-MD" w:eastAsia="ro-RO"/>
        </w:rPr>
        <w:t xml:space="preserve"> străine</w:t>
      </w:r>
      <w:r w:rsidR="00256684" w:rsidRPr="002751FC">
        <w:rPr>
          <w:rFonts w:asciiTheme="majorHAnsi" w:eastAsia="Times New Roman" w:hAnsiTheme="majorHAnsi" w:cstheme="majorHAnsi"/>
          <w:b/>
          <w:sz w:val="28"/>
          <w:szCs w:val="28"/>
          <w:lang w:val="ro-MD" w:eastAsia="ro-RO"/>
        </w:rPr>
        <w:t>,</w:t>
      </w:r>
      <w:r w:rsidR="002B0C1F" w:rsidRPr="002751FC">
        <w:rPr>
          <w:rFonts w:asciiTheme="majorHAnsi" w:eastAsia="Times New Roman" w:hAnsiTheme="majorHAnsi" w:cstheme="majorHAnsi"/>
          <w:b/>
          <w:sz w:val="28"/>
          <w:szCs w:val="28"/>
          <w:lang w:val="ro-MD" w:eastAsia="ro-RO"/>
        </w:rPr>
        <w:t xml:space="preserve"> precum și a suportat nejustificat unele cheltuieli privind primirea şi deservirea delegațiilor şi persoanelor oficiale străine</w:t>
      </w:r>
      <w:bookmarkEnd w:id="49"/>
    </w:p>
    <w:p w:rsidR="00F60D74" w:rsidRPr="002751FC" w:rsidRDefault="00F60D74" w:rsidP="00777921">
      <w:pPr>
        <w:tabs>
          <w:tab w:val="left" w:pos="284"/>
          <w:tab w:val="left" w:pos="567"/>
        </w:tabs>
        <w:spacing w:after="0"/>
        <w:jc w:val="both"/>
        <w:outlineLvl w:val="0"/>
        <w:rPr>
          <w:rFonts w:asciiTheme="majorHAnsi" w:hAnsiTheme="majorHAnsi" w:cstheme="majorHAnsi"/>
          <w:b/>
          <w:szCs w:val="28"/>
          <w:lang w:val="ro-MD"/>
        </w:rPr>
      </w:pPr>
    </w:p>
    <w:p w:rsidR="002B0C1F" w:rsidRPr="002751FC" w:rsidRDefault="002B0C1F" w:rsidP="00BC21A0">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Contrar prevederilor normative</w:t>
      </w:r>
      <w:r w:rsidRPr="002751FC">
        <w:rPr>
          <w:rStyle w:val="ab"/>
          <w:rFonts w:asciiTheme="majorHAnsi" w:hAnsiTheme="majorHAnsi" w:cstheme="majorHAnsi"/>
          <w:sz w:val="28"/>
          <w:szCs w:val="28"/>
          <w:lang w:val="ro-MD"/>
        </w:rPr>
        <w:footnoteReference w:id="81"/>
      </w:r>
      <w:r w:rsidRPr="002751FC">
        <w:rPr>
          <w:rFonts w:asciiTheme="majorHAnsi" w:hAnsiTheme="majorHAnsi" w:cstheme="majorHAnsi"/>
          <w:sz w:val="28"/>
          <w:szCs w:val="28"/>
          <w:lang w:val="ro-MD"/>
        </w:rPr>
        <w:t xml:space="preserve">, ONVV a efectuat cheltuieli pentru deservirea delegațiilor străine în lipsa unui ordin, care urma a fi emis în baza înțelegerii prealabile a părților (programe, acorduri, scrisori etc.), cu indicarea componenței delegației (numele, funcțiile deținute), scopului şi termenului vizitei, devizului de cheltuieli, precum și altor documente justificative. </w:t>
      </w:r>
      <w:r w:rsidR="008C7EC4" w:rsidRPr="002751FC">
        <w:rPr>
          <w:rFonts w:asciiTheme="majorHAnsi" w:hAnsiTheme="majorHAnsi" w:cstheme="majorHAnsi"/>
          <w:sz w:val="28"/>
          <w:szCs w:val="28"/>
          <w:lang w:val="ro-MD"/>
        </w:rPr>
        <w:t>P</w:t>
      </w:r>
      <w:r w:rsidRPr="002751FC">
        <w:rPr>
          <w:rFonts w:asciiTheme="majorHAnsi" w:hAnsiTheme="majorHAnsi" w:cstheme="majorHAnsi"/>
          <w:sz w:val="28"/>
          <w:szCs w:val="28"/>
          <w:lang w:val="ro-MD"/>
        </w:rPr>
        <w:t xml:space="preserve">entru unele delegații oficiale </w:t>
      </w:r>
      <w:r w:rsidR="008C7EC4" w:rsidRPr="002751FC">
        <w:rPr>
          <w:rFonts w:asciiTheme="majorHAnsi" w:hAnsiTheme="majorHAnsi" w:cstheme="majorHAnsi"/>
          <w:sz w:val="28"/>
          <w:szCs w:val="28"/>
          <w:lang w:val="ro-MD"/>
        </w:rPr>
        <w:t xml:space="preserve">sunt elaborate programele de vizită, dar acestea sunt </w:t>
      </w:r>
      <w:r w:rsidRPr="002751FC">
        <w:rPr>
          <w:rFonts w:asciiTheme="majorHAnsi" w:hAnsiTheme="majorHAnsi" w:cstheme="majorHAnsi"/>
          <w:sz w:val="28"/>
          <w:szCs w:val="28"/>
          <w:lang w:val="ro-MD"/>
        </w:rPr>
        <w:t>păstrate doar în format electronic</w:t>
      </w:r>
      <w:r w:rsidR="008C7EC4"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în calculatoarele/laptopurile angajaților ONVV care au fost re</w:t>
      </w:r>
      <w:r w:rsidR="00A34DCC" w:rsidRPr="002751FC">
        <w:rPr>
          <w:rFonts w:asciiTheme="majorHAnsi" w:hAnsiTheme="majorHAnsi" w:cstheme="majorHAnsi"/>
          <w:sz w:val="28"/>
          <w:szCs w:val="28"/>
          <w:lang w:val="ro-MD"/>
        </w:rPr>
        <w:t>sponsabili de vizita respectivă.</w:t>
      </w:r>
      <w:r w:rsidRPr="002751FC">
        <w:rPr>
          <w:rFonts w:asciiTheme="majorHAnsi" w:hAnsiTheme="majorHAnsi" w:cstheme="majorHAnsi"/>
          <w:sz w:val="28"/>
          <w:szCs w:val="28"/>
          <w:lang w:val="ro-MD"/>
        </w:rPr>
        <w:t xml:space="preserve"> </w:t>
      </w:r>
    </w:p>
    <w:p w:rsidR="00A44ED0" w:rsidRPr="002751FC" w:rsidRDefault="00A44ED0" w:rsidP="00777921">
      <w:pPr>
        <w:spacing w:after="0"/>
        <w:jc w:val="both"/>
        <w:rPr>
          <w:rFonts w:asciiTheme="majorHAnsi" w:hAnsiTheme="majorHAnsi" w:cstheme="majorHAnsi"/>
          <w:sz w:val="28"/>
          <w:szCs w:val="28"/>
          <w:lang w:val="ro-MD"/>
        </w:rPr>
      </w:pPr>
    </w:p>
    <w:p w:rsidR="002B0C1F" w:rsidRPr="002751FC" w:rsidRDefault="002B0C1F" w:rsidP="0077792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De asemenea, auditul a fost limitat în evaluarea dacă cheltuielile suportate au fost efectuate în limita plafoanelor de cheltuieli stabilite</w:t>
      </w:r>
      <w:r w:rsidRPr="002751FC">
        <w:rPr>
          <w:rStyle w:val="ab"/>
          <w:rFonts w:asciiTheme="majorHAnsi" w:hAnsiTheme="majorHAnsi" w:cstheme="majorHAnsi"/>
          <w:sz w:val="28"/>
          <w:szCs w:val="28"/>
          <w:lang w:val="ro-MD"/>
        </w:rPr>
        <w:footnoteReference w:id="82"/>
      </w:r>
      <w:r w:rsidRPr="002751FC">
        <w:rPr>
          <w:rFonts w:asciiTheme="majorHAnsi" w:hAnsiTheme="majorHAnsi" w:cstheme="majorHAnsi"/>
          <w:sz w:val="28"/>
          <w:szCs w:val="28"/>
          <w:lang w:val="ro-MD"/>
        </w:rPr>
        <w:t xml:space="preserve"> din cauza că, deși ONVV dispune de documentele justificative (facturi fiscale, ordine de plată), acestea nu sunt însoțite </w:t>
      </w:r>
      <w:r w:rsidRPr="002751FC">
        <w:rPr>
          <w:rFonts w:asciiTheme="majorHAnsi" w:hAnsiTheme="majorHAnsi" w:cstheme="majorHAnsi"/>
          <w:sz w:val="28"/>
          <w:szCs w:val="28"/>
          <w:lang w:val="ro-MD"/>
        </w:rPr>
        <w:lastRenderedPageBreak/>
        <w:t>de actele de primire-predare a serviciilor prestate</w:t>
      </w:r>
      <w:r w:rsidRPr="002751FC">
        <w:rPr>
          <w:rStyle w:val="ab"/>
          <w:rFonts w:asciiTheme="majorHAnsi" w:hAnsiTheme="majorHAnsi" w:cstheme="majorHAnsi"/>
          <w:sz w:val="28"/>
          <w:szCs w:val="28"/>
          <w:lang w:val="ro-MD"/>
        </w:rPr>
        <w:footnoteReference w:id="83"/>
      </w:r>
      <w:r w:rsidRPr="002751FC">
        <w:rPr>
          <w:rFonts w:asciiTheme="majorHAnsi" w:hAnsiTheme="majorHAnsi" w:cstheme="majorHAnsi"/>
          <w:sz w:val="28"/>
          <w:szCs w:val="28"/>
          <w:lang w:val="ro-MD"/>
        </w:rPr>
        <w:t xml:space="preserve">, </w:t>
      </w:r>
      <w:r w:rsidR="008C7EC4" w:rsidRPr="002751FC">
        <w:rPr>
          <w:rFonts w:asciiTheme="majorHAnsi" w:hAnsiTheme="majorHAnsi" w:cstheme="majorHAnsi"/>
          <w:sz w:val="28"/>
          <w:szCs w:val="28"/>
          <w:lang w:val="ro-MD"/>
        </w:rPr>
        <w:t>iar</w:t>
      </w:r>
      <w:r w:rsidRPr="002751FC">
        <w:rPr>
          <w:rFonts w:asciiTheme="majorHAnsi" w:hAnsiTheme="majorHAnsi" w:cstheme="majorHAnsi"/>
          <w:sz w:val="28"/>
          <w:szCs w:val="28"/>
          <w:lang w:val="ro-MD"/>
        </w:rPr>
        <w:t xml:space="preserve"> datele din factur</w:t>
      </w:r>
      <w:r w:rsidR="008C7EC4" w:rsidRPr="002751FC">
        <w:rPr>
          <w:rFonts w:asciiTheme="majorHAnsi" w:hAnsiTheme="majorHAnsi" w:cstheme="majorHAnsi"/>
          <w:sz w:val="28"/>
          <w:szCs w:val="28"/>
          <w:lang w:val="ro-MD"/>
        </w:rPr>
        <w:t>i</w:t>
      </w:r>
      <w:r w:rsidRPr="002751FC">
        <w:rPr>
          <w:rFonts w:asciiTheme="majorHAnsi" w:hAnsiTheme="majorHAnsi" w:cstheme="majorHAnsi"/>
          <w:sz w:val="28"/>
          <w:szCs w:val="28"/>
          <w:lang w:val="ro-MD"/>
        </w:rPr>
        <w:t xml:space="preserve"> nu </w:t>
      </w:r>
      <w:r w:rsidR="009E1545" w:rsidRPr="002751FC">
        <w:rPr>
          <w:rFonts w:asciiTheme="majorHAnsi" w:hAnsiTheme="majorHAnsi" w:cstheme="majorHAnsi"/>
          <w:sz w:val="28"/>
          <w:szCs w:val="28"/>
          <w:lang w:val="ro-MD"/>
        </w:rPr>
        <w:t xml:space="preserve">oferă </w:t>
      </w:r>
      <w:r w:rsidRPr="002751FC">
        <w:rPr>
          <w:rFonts w:asciiTheme="majorHAnsi" w:hAnsiTheme="majorHAnsi" w:cstheme="majorHAnsi"/>
          <w:sz w:val="28"/>
          <w:szCs w:val="28"/>
          <w:lang w:val="ro-MD"/>
        </w:rPr>
        <w:t xml:space="preserve">informații </w:t>
      </w:r>
      <w:r w:rsidR="008C7EC4" w:rsidRPr="002751FC">
        <w:rPr>
          <w:rFonts w:asciiTheme="majorHAnsi" w:hAnsiTheme="majorHAnsi" w:cstheme="majorHAnsi"/>
          <w:sz w:val="28"/>
          <w:szCs w:val="28"/>
          <w:lang w:val="ro-MD"/>
        </w:rPr>
        <w:t xml:space="preserve">despre </w:t>
      </w:r>
      <w:r w:rsidRPr="002751FC">
        <w:rPr>
          <w:rFonts w:asciiTheme="majorHAnsi" w:hAnsiTheme="majorHAnsi" w:cstheme="majorHAnsi"/>
          <w:sz w:val="28"/>
          <w:szCs w:val="28"/>
          <w:lang w:val="ro-MD"/>
        </w:rPr>
        <w:t xml:space="preserve">ce delegații au fost deservite, </w:t>
      </w:r>
      <w:r w:rsidR="00A34DCC" w:rsidRPr="002751FC">
        <w:rPr>
          <w:rFonts w:asciiTheme="majorHAnsi" w:hAnsiTheme="majorHAnsi" w:cstheme="majorHAnsi"/>
          <w:sz w:val="28"/>
          <w:szCs w:val="28"/>
          <w:lang w:val="ro-MD"/>
        </w:rPr>
        <w:t>câte</w:t>
      </w:r>
      <w:r w:rsidRPr="002751FC">
        <w:rPr>
          <w:rFonts w:asciiTheme="majorHAnsi" w:hAnsiTheme="majorHAnsi" w:cstheme="majorHAnsi"/>
          <w:sz w:val="28"/>
          <w:szCs w:val="28"/>
          <w:lang w:val="ro-MD"/>
        </w:rPr>
        <w:t xml:space="preserve"> persoane au fost deservite și în ce perioadă. </w:t>
      </w:r>
    </w:p>
    <w:p w:rsidR="00D35471" w:rsidRPr="002751FC" w:rsidRDefault="00D35471" w:rsidP="00777921">
      <w:pPr>
        <w:spacing w:after="0"/>
        <w:jc w:val="both"/>
        <w:rPr>
          <w:rFonts w:asciiTheme="majorHAnsi" w:hAnsiTheme="majorHAnsi" w:cstheme="majorHAnsi"/>
          <w:sz w:val="28"/>
          <w:szCs w:val="28"/>
          <w:lang w:val="ro-MD"/>
        </w:rPr>
      </w:pPr>
    </w:p>
    <w:p w:rsidR="002B0C1F" w:rsidRPr="002751FC" w:rsidRDefault="00A34DCC" w:rsidP="0077792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Evaluarea conformității </w:t>
      </w:r>
      <w:r w:rsidR="002B0C1F" w:rsidRPr="002751FC">
        <w:rPr>
          <w:rFonts w:asciiTheme="majorHAnsi" w:hAnsiTheme="majorHAnsi" w:cstheme="majorHAnsi"/>
          <w:sz w:val="28"/>
          <w:szCs w:val="28"/>
          <w:lang w:val="ro-MD"/>
        </w:rPr>
        <w:t>casării cadourilor și articolelor de cancelarie destinate deservirii delegațiilor străine a re</w:t>
      </w:r>
      <w:r w:rsidRPr="002751FC">
        <w:rPr>
          <w:rFonts w:asciiTheme="majorHAnsi" w:hAnsiTheme="majorHAnsi" w:cstheme="majorHAnsi"/>
          <w:sz w:val="28"/>
          <w:szCs w:val="28"/>
          <w:lang w:val="ro-MD"/>
        </w:rPr>
        <w:t>l</w:t>
      </w:r>
      <w:r w:rsidR="002B0C1F" w:rsidRPr="002751FC">
        <w:rPr>
          <w:rFonts w:asciiTheme="majorHAnsi" w:hAnsiTheme="majorHAnsi" w:cstheme="majorHAnsi"/>
          <w:sz w:val="28"/>
          <w:szCs w:val="28"/>
          <w:lang w:val="ro-MD"/>
        </w:rPr>
        <w:t xml:space="preserve">evat că </w:t>
      </w:r>
      <w:r w:rsidRPr="002751FC">
        <w:rPr>
          <w:rFonts w:asciiTheme="majorHAnsi" w:hAnsiTheme="majorHAnsi" w:cstheme="majorHAnsi"/>
          <w:sz w:val="28"/>
          <w:szCs w:val="28"/>
          <w:lang w:val="ro-MD"/>
        </w:rPr>
        <w:t>ultimele</w:t>
      </w:r>
      <w:r w:rsidR="002B0C1F" w:rsidRPr="002751FC">
        <w:rPr>
          <w:rFonts w:asciiTheme="majorHAnsi" w:hAnsiTheme="majorHAnsi" w:cstheme="majorHAnsi"/>
          <w:sz w:val="28"/>
          <w:szCs w:val="28"/>
          <w:lang w:val="ro-MD"/>
        </w:rPr>
        <w:t xml:space="preserve"> au fost casate neregulamentar, în </w:t>
      </w:r>
      <w:r w:rsidR="002C744D" w:rsidRPr="002751FC">
        <w:rPr>
          <w:rFonts w:asciiTheme="majorHAnsi" w:hAnsiTheme="majorHAnsi" w:cstheme="majorHAnsi"/>
          <w:sz w:val="28"/>
          <w:szCs w:val="28"/>
          <w:lang w:val="ro-MD"/>
        </w:rPr>
        <w:t xml:space="preserve">funcție </w:t>
      </w:r>
      <w:r w:rsidR="002B0C1F" w:rsidRPr="002751FC">
        <w:rPr>
          <w:rFonts w:asciiTheme="majorHAnsi" w:hAnsiTheme="majorHAnsi" w:cstheme="majorHAnsi"/>
          <w:sz w:val="28"/>
          <w:szCs w:val="28"/>
          <w:lang w:val="ro-MD"/>
        </w:rPr>
        <w:t xml:space="preserve">de activitățile generale desfășurate de ONVV (cheltuieli administrative, cheltuieli privind promovarea exportului de produse vitivinicole, transfer de tehnologii şi know-how, executarea programelor de instruire etc.), în acestea nefiind specificată denumirea delegației străine pentru care </w:t>
      </w:r>
      <w:r w:rsidRPr="002751FC">
        <w:rPr>
          <w:rFonts w:asciiTheme="majorHAnsi" w:hAnsiTheme="majorHAnsi" w:cstheme="majorHAnsi"/>
          <w:sz w:val="28"/>
          <w:szCs w:val="28"/>
          <w:lang w:val="ro-MD"/>
        </w:rPr>
        <w:t>materialele</w:t>
      </w:r>
      <w:r w:rsidR="002B0C1F" w:rsidRPr="002751FC">
        <w:rPr>
          <w:rFonts w:asciiTheme="majorHAnsi" w:hAnsiTheme="majorHAnsi" w:cstheme="majorHAnsi"/>
          <w:sz w:val="28"/>
          <w:szCs w:val="28"/>
          <w:lang w:val="ro-MD"/>
        </w:rPr>
        <w:t xml:space="preserve"> au fost utilizate, precum </w:t>
      </w:r>
      <w:r w:rsidR="002C744D" w:rsidRPr="002751FC">
        <w:rPr>
          <w:rFonts w:asciiTheme="majorHAnsi" w:hAnsiTheme="majorHAnsi" w:cstheme="majorHAnsi"/>
          <w:sz w:val="28"/>
          <w:szCs w:val="28"/>
          <w:lang w:val="ro-MD"/>
        </w:rPr>
        <w:t xml:space="preserve">și </w:t>
      </w:r>
      <w:r w:rsidR="002B0C1F" w:rsidRPr="002751FC">
        <w:rPr>
          <w:rFonts w:asciiTheme="majorHAnsi" w:hAnsiTheme="majorHAnsi" w:cstheme="majorHAnsi"/>
          <w:sz w:val="28"/>
          <w:szCs w:val="28"/>
          <w:lang w:val="ro-MD"/>
        </w:rPr>
        <w:t>grupa la care delegația străină a fost atribuită</w:t>
      </w:r>
      <w:r w:rsidR="002B0C1F" w:rsidRPr="002751FC">
        <w:rPr>
          <w:rStyle w:val="ab"/>
          <w:rFonts w:asciiTheme="majorHAnsi" w:hAnsiTheme="majorHAnsi" w:cstheme="majorHAnsi"/>
          <w:sz w:val="28"/>
          <w:szCs w:val="28"/>
          <w:lang w:val="ro-MD"/>
        </w:rPr>
        <w:footnoteReference w:id="84"/>
      </w:r>
      <w:r w:rsidR="002B0C1F" w:rsidRPr="002751FC">
        <w:rPr>
          <w:rFonts w:asciiTheme="majorHAnsi" w:hAnsiTheme="majorHAnsi" w:cstheme="majorHAnsi"/>
          <w:sz w:val="28"/>
          <w:szCs w:val="28"/>
          <w:lang w:val="ro-MD"/>
        </w:rPr>
        <w:t xml:space="preserve">. Lipsa acestor informații a limitat auditul în obținerea probelor de audit suficiente și adecvate pentru evaluarea conformității efectuării cheltuielilor în valoare de </w:t>
      </w:r>
      <w:r w:rsidR="002B0C1F" w:rsidRPr="002751FC">
        <w:rPr>
          <w:rFonts w:asciiTheme="majorHAnsi" w:hAnsiTheme="majorHAnsi" w:cstheme="majorHAnsi"/>
          <w:b/>
          <w:sz w:val="28"/>
          <w:szCs w:val="28"/>
          <w:lang w:val="ro-MD"/>
        </w:rPr>
        <w:t xml:space="preserve">0,7 </w:t>
      </w:r>
      <w:proofErr w:type="spellStart"/>
      <w:r w:rsidR="002B0C1F" w:rsidRPr="002751FC">
        <w:rPr>
          <w:rFonts w:asciiTheme="majorHAnsi" w:hAnsiTheme="majorHAnsi" w:cstheme="majorHAnsi"/>
          <w:b/>
          <w:sz w:val="28"/>
          <w:szCs w:val="28"/>
          <w:lang w:val="ro-MD"/>
        </w:rPr>
        <w:t>mil.MDL</w:t>
      </w:r>
      <w:proofErr w:type="spellEnd"/>
      <w:r w:rsidRPr="002751FC">
        <w:rPr>
          <w:rFonts w:asciiTheme="majorHAnsi" w:hAnsiTheme="majorHAnsi" w:cstheme="majorHAnsi"/>
          <w:sz w:val="28"/>
          <w:szCs w:val="28"/>
          <w:lang w:val="ro-MD"/>
        </w:rPr>
        <w:t>,</w:t>
      </w:r>
      <w:r w:rsidR="002B0C1F"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atât</w:t>
      </w:r>
      <w:r w:rsidR="002B0C1F" w:rsidRPr="002751FC">
        <w:rPr>
          <w:rFonts w:asciiTheme="majorHAnsi" w:hAnsiTheme="majorHAnsi" w:cstheme="majorHAnsi"/>
          <w:sz w:val="28"/>
          <w:szCs w:val="28"/>
          <w:lang w:val="ro-MD"/>
        </w:rPr>
        <w:t xml:space="preserve"> pe categorii de cheltuieli, </w:t>
      </w:r>
      <w:r w:rsidRPr="002751FC">
        <w:rPr>
          <w:rFonts w:asciiTheme="majorHAnsi" w:hAnsiTheme="majorHAnsi" w:cstheme="majorHAnsi"/>
          <w:sz w:val="28"/>
          <w:szCs w:val="28"/>
          <w:lang w:val="ro-MD"/>
        </w:rPr>
        <w:t>cât</w:t>
      </w:r>
      <w:r w:rsidR="002B0C1F" w:rsidRPr="002751FC">
        <w:rPr>
          <w:rFonts w:asciiTheme="majorHAnsi" w:hAnsiTheme="majorHAnsi" w:cstheme="majorHAnsi"/>
          <w:sz w:val="28"/>
          <w:szCs w:val="28"/>
          <w:lang w:val="ro-MD"/>
        </w:rPr>
        <w:t xml:space="preserve"> și dac</w:t>
      </w:r>
      <w:r w:rsidR="002C744D" w:rsidRPr="002751FC">
        <w:rPr>
          <w:rFonts w:asciiTheme="majorHAnsi" w:hAnsiTheme="majorHAnsi" w:cstheme="majorHAnsi"/>
          <w:sz w:val="28"/>
          <w:szCs w:val="28"/>
          <w:lang w:val="ro-MD"/>
        </w:rPr>
        <w:t>ă</w:t>
      </w:r>
      <w:r w:rsidR="002B0C1F" w:rsidRPr="002751FC">
        <w:rPr>
          <w:rFonts w:asciiTheme="majorHAnsi" w:hAnsiTheme="majorHAnsi" w:cstheme="majorHAnsi"/>
          <w:sz w:val="28"/>
          <w:szCs w:val="28"/>
          <w:lang w:val="ro-MD"/>
        </w:rPr>
        <w:t xml:space="preserve"> au fost respectate volumele maxime de cheltuieli stabilite pentru categoriile (grupele) în </w:t>
      </w:r>
      <w:r w:rsidRPr="002751FC">
        <w:rPr>
          <w:rFonts w:asciiTheme="majorHAnsi" w:hAnsiTheme="majorHAnsi" w:cstheme="majorHAnsi"/>
          <w:sz w:val="28"/>
          <w:szCs w:val="28"/>
          <w:lang w:val="ro-MD"/>
        </w:rPr>
        <w:t>funcție</w:t>
      </w:r>
      <w:r w:rsidR="002B0C1F" w:rsidRPr="002751FC">
        <w:rPr>
          <w:rFonts w:asciiTheme="majorHAnsi" w:hAnsiTheme="majorHAnsi" w:cstheme="majorHAnsi"/>
          <w:sz w:val="28"/>
          <w:szCs w:val="28"/>
          <w:lang w:val="ro-MD"/>
        </w:rPr>
        <w:t xml:space="preserve"> de persoana care conduce </w:t>
      </w:r>
      <w:r w:rsidRPr="002751FC">
        <w:rPr>
          <w:rFonts w:asciiTheme="majorHAnsi" w:hAnsiTheme="majorHAnsi" w:cstheme="majorHAnsi"/>
          <w:sz w:val="28"/>
          <w:szCs w:val="28"/>
          <w:lang w:val="ro-MD"/>
        </w:rPr>
        <w:t>delegația</w:t>
      </w:r>
      <w:r w:rsidR="002B0C1F" w:rsidRPr="002751FC">
        <w:rPr>
          <w:rFonts w:asciiTheme="majorHAnsi" w:hAnsiTheme="majorHAnsi" w:cstheme="majorHAnsi"/>
          <w:sz w:val="28"/>
          <w:szCs w:val="28"/>
          <w:lang w:val="ro-MD"/>
        </w:rPr>
        <w:t xml:space="preserve"> străină</w:t>
      </w:r>
      <w:r w:rsidR="002B0C1F" w:rsidRPr="002751FC">
        <w:rPr>
          <w:rStyle w:val="ab"/>
          <w:rFonts w:asciiTheme="majorHAnsi" w:hAnsiTheme="majorHAnsi" w:cstheme="majorHAnsi"/>
          <w:sz w:val="28"/>
          <w:szCs w:val="28"/>
          <w:lang w:val="ro-MD"/>
        </w:rPr>
        <w:footnoteReference w:id="85"/>
      </w:r>
      <w:r w:rsidR="002B0C1F" w:rsidRPr="002751FC">
        <w:rPr>
          <w:rFonts w:asciiTheme="majorHAnsi" w:hAnsiTheme="majorHAnsi" w:cstheme="majorHAnsi"/>
          <w:sz w:val="28"/>
          <w:szCs w:val="28"/>
          <w:lang w:val="ro-MD"/>
        </w:rPr>
        <w:t>.</w:t>
      </w:r>
    </w:p>
    <w:p w:rsidR="00D35471" w:rsidRPr="002751FC" w:rsidRDefault="00D35471" w:rsidP="00777921">
      <w:pPr>
        <w:spacing w:after="0"/>
        <w:jc w:val="both"/>
        <w:rPr>
          <w:rFonts w:asciiTheme="majorHAnsi" w:hAnsiTheme="majorHAnsi" w:cstheme="majorHAnsi"/>
          <w:sz w:val="28"/>
          <w:szCs w:val="28"/>
          <w:lang w:val="ro-MD"/>
        </w:rPr>
      </w:pPr>
    </w:p>
    <w:p w:rsidR="002B0C1F" w:rsidRPr="002751FC" w:rsidRDefault="002B0C1F" w:rsidP="0077792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ONVV a admis suportarea nejustificată a cheltuielilor privind primirea şi deservirea delegațiilor şi persoanelor oficiale străine. Astfel, ONVV</w:t>
      </w:r>
      <w:r w:rsidR="002C744D"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ignorând prevederile pct.2 din Regulament</w:t>
      </w:r>
      <w:r w:rsidRPr="002751FC">
        <w:rPr>
          <w:rStyle w:val="ab"/>
          <w:rFonts w:asciiTheme="majorHAnsi" w:hAnsiTheme="majorHAnsi" w:cstheme="majorHAnsi"/>
          <w:sz w:val="28"/>
          <w:szCs w:val="28"/>
          <w:lang w:val="ro-MD"/>
        </w:rPr>
        <w:footnoteReference w:id="86"/>
      </w:r>
      <w:r w:rsidR="00FB3209" w:rsidRPr="002751FC">
        <w:rPr>
          <w:rFonts w:asciiTheme="majorHAnsi" w:hAnsiTheme="majorHAnsi" w:cstheme="majorHAnsi"/>
          <w:sz w:val="28"/>
          <w:szCs w:val="28"/>
          <w:lang w:val="ro-MD"/>
        </w:rPr>
        <w:t xml:space="preserve">, la primirea delegației </w:t>
      </w:r>
      <w:r w:rsidRPr="002751FC">
        <w:rPr>
          <w:rFonts w:asciiTheme="majorHAnsi" w:hAnsiTheme="majorHAnsi" w:cstheme="majorHAnsi"/>
          <w:sz w:val="28"/>
          <w:szCs w:val="28"/>
          <w:lang w:val="ro-MD"/>
        </w:rPr>
        <w:t>Italiene</w:t>
      </w:r>
      <w:r w:rsidRPr="002751FC">
        <w:rPr>
          <w:rStyle w:val="ab"/>
          <w:rFonts w:asciiTheme="majorHAnsi" w:hAnsiTheme="majorHAnsi" w:cstheme="majorHAnsi"/>
          <w:sz w:val="28"/>
          <w:szCs w:val="28"/>
          <w:lang w:val="ro-MD"/>
        </w:rPr>
        <w:footnoteReference w:id="87"/>
      </w:r>
      <w:r w:rsidRPr="002751FC">
        <w:rPr>
          <w:rFonts w:asciiTheme="majorHAnsi" w:hAnsiTheme="majorHAnsi" w:cstheme="majorHAnsi"/>
          <w:sz w:val="28"/>
          <w:szCs w:val="28"/>
          <w:lang w:val="ro-MD"/>
        </w:rPr>
        <w:t xml:space="preserve"> din cadrul Inspectoratului central pentru protecția calității și reprimarea fraudelor </w:t>
      </w:r>
      <w:r w:rsidR="002C744D" w:rsidRPr="002751FC">
        <w:rPr>
          <w:rFonts w:asciiTheme="majorHAnsi" w:hAnsiTheme="majorHAnsi" w:cstheme="majorHAnsi"/>
          <w:sz w:val="28"/>
          <w:szCs w:val="28"/>
          <w:lang w:val="ro-MD"/>
        </w:rPr>
        <w:t xml:space="preserve">cu </w:t>
      </w:r>
      <w:r w:rsidRPr="002751FC">
        <w:rPr>
          <w:rFonts w:asciiTheme="majorHAnsi" w:hAnsiTheme="majorHAnsi" w:cstheme="majorHAnsi"/>
          <w:sz w:val="28"/>
          <w:szCs w:val="28"/>
          <w:lang w:val="ro-MD"/>
        </w:rPr>
        <w:t>produse</w:t>
      </w:r>
      <w:r w:rsidR="00A34DCC" w:rsidRPr="002751FC">
        <w:rPr>
          <w:rFonts w:asciiTheme="majorHAnsi" w:hAnsiTheme="majorHAnsi" w:cstheme="majorHAnsi"/>
          <w:sz w:val="28"/>
          <w:szCs w:val="28"/>
          <w:lang w:val="ro-MD"/>
        </w:rPr>
        <w:t xml:space="preserve"> agroalimentare a</w:t>
      </w:r>
      <w:r w:rsidR="002C744D" w:rsidRPr="002751FC">
        <w:rPr>
          <w:rFonts w:asciiTheme="majorHAnsi" w:hAnsiTheme="majorHAnsi" w:cstheme="majorHAnsi"/>
          <w:sz w:val="28"/>
          <w:szCs w:val="28"/>
          <w:lang w:val="ro-MD"/>
        </w:rPr>
        <w:t>l</w:t>
      </w:r>
      <w:r w:rsidR="00A34DCC" w:rsidRPr="002751FC">
        <w:rPr>
          <w:rFonts w:asciiTheme="majorHAnsi" w:hAnsiTheme="majorHAnsi" w:cstheme="majorHAnsi"/>
          <w:sz w:val="28"/>
          <w:szCs w:val="28"/>
          <w:lang w:val="ro-MD"/>
        </w:rPr>
        <w:t xml:space="preserve"> Ministerului </w:t>
      </w:r>
      <w:r w:rsidRPr="002751FC">
        <w:rPr>
          <w:rFonts w:asciiTheme="majorHAnsi" w:hAnsiTheme="majorHAnsi" w:cstheme="majorHAnsi"/>
          <w:sz w:val="28"/>
          <w:szCs w:val="28"/>
          <w:lang w:val="ro-MD"/>
        </w:rPr>
        <w:t>Industriei Alimentare şi Politicilor Forestiere</w:t>
      </w:r>
      <w:r w:rsidRPr="002751FC">
        <w:rPr>
          <w:rStyle w:val="ab"/>
          <w:rFonts w:asciiTheme="majorHAnsi" w:hAnsiTheme="majorHAnsi" w:cstheme="majorHAnsi"/>
          <w:sz w:val="28"/>
          <w:szCs w:val="28"/>
          <w:lang w:val="ro-MD"/>
        </w:rPr>
        <w:footnoteReference w:id="88"/>
      </w:r>
      <w:r w:rsidRPr="002751FC">
        <w:rPr>
          <w:rFonts w:asciiTheme="majorHAnsi" w:hAnsiTheme="majorHAnsi" w:cstheme="majorHAnsi"/>
          <w:sz w:val="28"/>
          <w:szCs w:val="28"/>
          <w:lang w:val="ro-MD"/>
        </w:rPr>
        <w:t xml:space="preserve">, a admis cheltuieli </w:t>
      </w:r>
      <w:r w:rsidR="00A34DCC" w:rsidRPr="002751FC">
        <w:rPr>
          <w:rFonts w:asciiTheme="majorHAnsi" w:hAnsiTheme="majorHAnsi" w:cstheme="majorHAnsi"/>
          <w:sz w:val="28"/>
          <w:szCs w:val="28"/>
          <w:lang w:val="ro-MD"/>
        </w:rPr>
        <w:t>privind</w:t>
      </w:r>
      <w:r w:rsidRPr="002751FC">
        <w:rPr>
          <w:rFonts w:asciiTheme="majorHAnsi" w:hAnsiTheme="majorHAnsi" w:cstheme="majorHAnsi"/>
          <w:sz w:val="28"/>
          <w:szCs w:val="28"/>
          <w:lang w:val="ro-MD"/>
        </w:rPr>
        <w:t xml:space="preserve"> </w:t>
      </w:r>
      <w:r w:rsidR="002C744D" w:rsidRPr="002751FC">
        <w:rPr>
          <w:rFonts w:asciiTheme="majorHAnsi" w:hAnsiTheme="majorHAnsi" w:cstheme="majorHAnsi"/>
          <w:sz w:val="28"/>
          <w:szCs w:val="28"/>
          <w:lang w:val="ro-MD"/>
        </w:rPr>
        <w:t xml:space="preserve">întreprinderea </w:t>
      </w:r>
      <w:r w:rsidRPr="002751FC">
        <w:rPr>
          <w:rFonts w:asciiTheme="majorHAnsi" w:hAnsiTheme="majorHAnsi" w:cstheme="majorHAnsi"/>
          <w:sz w:val="28"/>
          <w:szCs w:val="28"/>
          <w:lang w:val="ro-MD"/>
        </w:rPr>
        <w:t>vizite</w:t>
      </w:r>
      <w:r w:rsidR="002C744D" w:rsidRPr="002751FC">
        <w:rPr>
          <w:rFonts w:asciiTheme="majorHAnsi" w:hAnsiTheme="majorHAnsi" w:cstheme="majorHAnsi"/>
          <w:sz w:val="28"/>
          <w:szCs w:val="28"/>
          <w:lang w:val="ro-MD"/>
        </w:rPr>
        <w:t>lor</w:t>
      </w:r>
      <w:r w:rsidRPr="002751FC">
        <w:rPr>
          <w:rFonts w:asciiTheme="majorHAnsi" w:hAnsiTheme="majorHAnsi" w:cstheme="majorHAnsi"/>
          <w:sz w:val="28"/>
          <w:szCs w:val="28"/>
          <w:lang w:val="ro-MD"/>
        </w:rPr>
        <w:t xml:space="preserve"> la Institutul de Viticultură şi Vinificație „V. E. </w:t>
      </w:r>
      <w:proofErr w:type="spellStart"/>
      <w:r w:rsidRPr="002751FC">
        <w:rPr>
          <w:rFonts w:asciiTheme="majorHAnsi" w:hAnsiTheme="majorHAnsi" w:cstheme="majorHAnsi"/>
          <w:sz w:val="28"/>
          <w:szCs w:val="28"/>
          <w:lang w:val="ro-MD"/>
        </w:rPr>
        <w:t>Tairov</w:t>
      </w:r>
      <w:proofErr w:type="spellEnd"/>
      <w:r w:rsidRPr="002751FC">
        <w:rPr>
          <w:rFonts w:asciiTheme="majorHAnsi" w:hAnsiTheme="majorHAnsi" w:cstheme="majorHAnsi"/>
          <w:sz w:val="28"/>
          <w:szCs w:val="28"/>
          <w:lang w:val="ro-MD"/>
        </w:rPr>
        <w:t xml:space="preserve">” </w:t>
      </w:r>
      <w:proofErr w:type="spellStart"/>
      <w:r w:rsidRPr="002751FC">
        <w:rPr>
          <w:rFonts w:asciiTheme="majorHAnsi" w:hAnsiTheme="majorHAnsi" w:cstheme="majorHAnsi"/>
          <w:sz w:val="28"/>
          <w:szCs w:val="28"/>
          <w:lang w:val="ro-MD"/>
        </w:rPr>
        <w:t>şi</w:t>
      </w:r>
      <w:proofErr w:type="spellEnd"/>
      <w:r w:rsidRPr="002751FC">
        <w:rPr>
          <w:rFonts w:asciiTheme="majorHAnsi" w:hAnsiTheme="majorHAnsi" w:cstheme="majorHAnsi"/>
          <w:sz w:val="28"/>
          <w:szCs w:val="28"/>
          <w:lang w:val="ro-MD"/>
        </w:rPr>
        <w:t xml:space="preserve"> </w:t>
      </w:r>
      <w:r w:rsidR="005E5981" w:rsidRPr="002751FC">
        <w:rPr>
          <w:rFonts w:asciiTheme="majorHAnsi" w:hAnsiTheme="majorHAnsi" w:cstheme="majorHAnsi"/>
          <w:sz w:val="28"/>
          <w:szCs w:val="28"/>
          <w:lang w:val="ro-MD"/>
        </w:rPr>
        <w:t xml:space="preserve">la </w:t>
      </w:r>
      <w:r w:rsidRPr="002751FC">
        <w:rPr>
          <w:rFonts w:asciiTheme="majorHAnsi" w:hAnsiTheme="majorHAnsi" w:cstheme="majorHAnsi"/>
          <w:sz w:val="28"/>
          <w:szCs w:val="28"/>
          <w:lang w:val="ro-MD"/>
        </w:rPr>
        <w:t>Vinăria „</w:t>
      </w:r>
      <w:proofErr w:type="spellStart"/>
      <w:r w:rsidRPr="002751FC">
        <w:rPr>
          <w:rFonts w:asciiTheme="majorHAnsi" w:hAnsiTheme="majorHAnsi" w:cstheme="majorHAnsi"/>
          <w:sz w:val="28"/>
          <w:szCs w:val="28"/>
          <w:lang w:val="ro-MD"/>
        </w:rPr>
        <w:t>Şabo</w:t>
      </w:r>
      <w:proofErr w:type="spellEnd"/>
      <w:r w:rsidRPr="002751FC">
        <w:rPr>
          <w:rFonts w:asciiTheme="majorHAnsi" w:hAnsiTheme="majorHAnsi" w:cstheme="majorHAnsi"/>
          <w:sz w:val="28"/>
          <w:szCs w:val="28"/>
          <w:lang w:val="ro-MD"/>
        </w:rPr>
        <w:t xml:space="preserve">” situate în </w:t>
      </w:r>
      <w:proofErr w:type="spellStart"/>
      <w:r w:rsidRPr="002751FC">
        <w:rPr>
          <w:rFonts w:asciiTheme="majorHAnsi" w:hAnsiTheme="majorHAnsi" w:cstheme="majorHAnsi"/>
          <w:sz w:val="28"/>
          <w:szCs w:val="28"/>
          <w:lang w:val="ro-MD"/>
        </w:rPr>
        <w:t>oraşul</w:t>
      </w:r>
      <w:proofErr w:type="spellEnd"/>
      <w:r w:rsidR="00B0350C" w:rsidRPr="002751FC">
        <w:rPr>
          <w:rFonts w:asciiTheme="majorHAnsi" w:hAnsiTheme="majorHAnsi" w:cstheme="majorHAnsi"/>
          <w:sz w:val="28"/>
          <w:szCs w:val="28"/>
          <w:lang w:val="ro-MD"/>
        </w:rPr>
        <w:t xml:space="preserve"> </w:t>
      </w:r>
      <w:proofErr w:type="spellStart"/>
      <w:r w:rsidRPr="002751FC">
        <w:rPr>
          <w:rFonts w:asciiTheme="majorHAnsi" w:hAnsiTheme="majorHAnsi" w:cstheme="majorHAnsi"/>
          <w:sz w:val="28"/>
          <w:szCs w:val="28"/>
          <w:lang w:val="ro-MD"/>
        </w:rPr>
        <w:t>Odesa</w:t>
      </w:r>
      <w:proofErr w:type="spellEnd"/>
      <w:r w:rsidRPr="002751FC">
        <w:rPr>
          <w:rFonts w:asciiTheme="majorHAnsi" w:hAnsiTheme="majorHAnsi" w:cstheme="majorHAnsi"/>
          <w:sz w:val="28"/>
          <w:szCs w:val="28"/>
          <w:lang w:val="ro-MD"/>
        </w:rPr>
        <w:t>, Ucraina</w:t>
      </w:r>
      <w:r w:rsidR="005E5981" w:rsidRPr="002751FC">
        <w:rPr>
          <w:rFonts w:asciiTheme="majorHAnsi" w:hAnsiTheme="majorHAnsi" w:cstheme="majorHAnsi"/>
          <w:sz w:val="28"/>
          <w:szCs w:val="28"/>
          <w:lang w:val="ro-MD"/>
        </w:rPr>
        <w:t>. Astfel</w:t>
      </w:r>
      <w:r w:rsidRPr="002751FC">
        <w:rPr>
          <w:rFonts w:asciiTheme="majorHAnsi" w:hAnsiTheme="majorHAnsi" w:cstheme="majorHAnsi"/>
          <w:sz w:val="28"/>
          <w:szCs w:val="28"/>
          <w:lang w:val="ro-MD"/>
        </w:rPr>
        <w:t xml:space="preserve">, </w:t>
      </w:r>
      <w:r w:rsidR="005E5981" w:rsidRPr="002751FC">
        <w:rPr>
          <w:rFonts w:asciiTheme="majorHAnsi" w:hAnsiTheme="majorHAnsi" w:cstheme="majorHAnsi"/>
          <w:sz w:val="28"/>
          <w:szCs w:val="28"/>
          <w:lang w:val="ro-MD"/>
        </w:rPr>
        <w:t>au fost</w:t>
      </w:r>
      <w:r w:rsidRPr="002751FC">
        <w:rPr>
          <w:rFonts w:asciiTheme="majorHAnsi" w:hAnsiTheme="majorHAnsi" w:cstheme="majorHAnsi"/>
          <w:sz w:val="28"/>
          <w:szCs w:val="28"/>
          <w:lang w:val="ro-MD"/>
        </w:rPr>
        <w:t xml:space="preserve"> suportate cheltuieli </w:t>
      </w:r>
      <w:r w:rsidR="005E5981" w:rsidRPr="002751FC">
        <w:rPr>
          <w:rFonts w:asciiTheme="majorHAnsi" w:hAnsiTheme="majorHAnsi" w:cstheme="majorHAnsi"/>
          <w:sz w:val="28"/>
          <w:szCs w:val="28"/>
          <w:lang w:val="ro-MD"/>
        </w:rPr>
        <w:t xml:space="preserve">nejustificate </w:t>
      </w:r>
      <w:r w:rsidRPr="002751FC">
        <w:rPr>
          <w:rFonts w:asciiTheme="majorHAnsi" w:hAnsiTheme="majorHAnsi" w:cstheme="majorHAnsi"/>
          <w:sz w:val="28"/>
          <w:szCs w:val="28"/>
          <w:lang w:val="ro-MD"/>
        </w:rPr>
        <w:t xml:space="preserve">de deservire a delegațiilor străine în afara hotarelor RM. </w:t>
      </w:r>
    </w:p>
    <w:p w:rsidR="00D35471" w:rsidRPr="002751FC" w:rsidRDefault="00D35471" w:rsidP="00777921">
      <w:pPr>
        <w:spacing w:after="0"/>
        <w:jc w:val="both"/>
        <w:rPr>
          <w:rFonts w:asciiTheme="majorHAnsi" w:hAnsiTheme="majorHAnsi" w:cstheme="majorHAnsi"/>
          <w:sz w:val="28"/>
          <w:szCs w:val="28"/>
          <w:lang w:val="ro-MD"/>
        </w:rPr>
      </w:pPr>
    </w:p>
    <w:p w:rsidR="002B0C1F" w:rsidRPr="002751FC" w:rsidRDefault="002B0C1F" w:rsidP="00777921">
      <w:pPr>
        <w:tabs>
          <w:tab w:val="left" w:pos="993"/>
        </w:tabs>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Valoarea cheltuielilor nejustificate a fost imposibil de identificat, deoarece atât cheltuielile de transport tur-retur privind deplasarea delegației la </w:t>
      </w:r>
      <w:proofErr w:type="spellStart"/>
      <w:r w:rsidRPr="002751FC">
        <w:rPr>
          <w:rFonts w:asciiTheme="majorHAnsi" w:hAnsiTheme="majorHAnsi" w:cstheme="majorHAnsi"/>
          <w:sz w:val="28"/>
          <w:szCs w:val="28"/>
          <w:lang w:val="ro-MD"/>
        </w:rPr>
        <w:t>Odesa</w:t>
      </w:r>
      <w:proofErr w:type="spellEnd"/>
      <w:r w:rsidRPr="002751FC">
        <w:rPr>
          <w:rFonts w:asciiTheme="majorHAnsi" w:hAnsiTheme="majorHAnsi" w:cstheme="majorHAnsi"/>
          <w:sz w:val="28"/>
          <w:szCs w:val="28"/>
          <w:lang w:val="ro-MD"/>
        </w:rPr>
        <w:t>, Ucraina</w:t>
      </w:r>
      <w:r w:rsidRPr="002751FC">
        <w:rPr>
          <w:rStyle w:val="ab"/>
          <w:rFonts w:asciiTheme="majorHAnsi" w:hAnsiTheme="majorHAnsi" w:cstheme="majorHAnsi"/>
          <w:sz w:val="28"/>
          <w:szCs w:val="28"/>
          <w:lang w:val="ro-MD"/>
        </w:rPr>
        <w:footnoteReference w:id="89"/>
      </w:r>
      <w:r w:rsidRPr="002751FC">
        <w:rPr>
          <w:rFonts w:asciiTheme="majorHAnsi" w:hAnsiTheme="majorHAnsi" w:cstheme="majorHAnsi"/>
          <w:sz w:val="28"/>
          <w:szCs w:val="28"/>
          <w:lang w:val="ro-MD"/>
        </w:rPr>
        <w:t>, c</w:t>
      </w:r>
      <w:r w:rsidR="005E5981" w:rsidRPr="002751FC">
        <w:rPr>
          <w:rFonts w:asciiTheme="majorHAnsi" w:hAnsiTheme="majorHAnsi" w:cstheme="majorHAnsi"/>
          <w:sz w:val="28"/>
          <w:szCs w:val="28"/>
          <w:lang w:val="ro-MD"/>
        </w:rPr>
        <w:t>â</w:t>
      </w:r>
      <w:r w:rsidRPr="002751FC">
        <w:rPr>
          <w:rFonts w:asciiTheme="majorHAnsi" w:hAnsiTheme="majorHAnsi" w:cstheme="majorHAnsi"/>
          <w:sz w:val="28"/>
          <w:szCs w:val="28"/>
          <w:lang w:val="ro-MD"/>
        </w:rPr>
        <w:t xml:space="preserve">t </w:t>
      </w:r>
      <w:r w:rsidRPr="002751FC">
        <w:rPr>
          <w:rFonts w:asciiTheme="majorHAnsi" w:hAnsiTheme="majorHAnsi" w:cstheme="majorHAnsi"/>
          <w:sz w:val="28"/>
          <w:szCs w:val="28"/>
          <w:lang w:val="ro-MD"/>
        </w:rPr>
        <w:lastRenderedPageBreak/>
        <w:t>și cheltuielile de traducere consecutivă română-italiană</w:t>
      </w:r>
      <w:r w:rsidR="005E5981" w:rsidRPr="002751FC">
        <w:rPr>
          <w:rFonts w:asciiTheme="majorHAnsi" w:hAnsiTheme="majorHAnsi" w:cstheme="majorHAnsi"/>
          <w:sz w:val="28"/>
          <w:szCs w:val="28"/>
          <w:lang w:val="ro-MD"/>
        </w:rPr>
        <w:t xml:space="preserve"> și</w:t>
      </w:r>
      <w:r w:rsidRPr="002751FC">
        <w:rPr>
          <w:rFonts w:asciiTheme="majorHAnsi" w:hAnsiTheme="majorHAnsi" w:cstheme="majorHAnsi"/>
          <w:sz w:val="28"/>
          <w:szCs w:val="28"/>
          <w:lang w:val="ro-MD"/>
        </w:rPr>
        <w:t xml:space="preserve"> italiană-română pentru perioada aflării delegației la </w:t>
      </w:r>
      <w:proofErr w:type="spellStart"/>
      <w:r w:rsidRPr="002751FC">
        <w:rPr>
          <w:rFonts w:asciiTheme="majorHAnsi" w:hAnsiTheme="majorHAnsi" w:cstheme="majorHAnsi"/>
          <w:sz w:val="28"/>
          <w:szCs w:val="28"/>
          <w:lang w:val="ro-MD"/>
        </w:rPr>
        <w:t>Odesa</w:t>
      </w:r>
      <w:proofErr w:type="spellEnd"/>
      <w:r w:rsidRPr="002751FC">
        <w:rPr>
          <w:rFonts w:asciiTheme="majorHAnsi" w:hAnsiTheme="majorHAnsi" w:cstheme="majorHAnsi"/>
          <w:sz w:val="28"/>
          <w:szCs w:val="28"/>
          <w:lang w:val="ro-MD"/>
        </w:rPr>
        <w:t>, Ucraina</w:t>
      </w:r>
      <w:r w:rsidRPr="002751FC">
        <w:rPr>
          <w:rStyle w:val="ab"/>
          <w:rFonts w:asciiTheme="majorHAnsi" w:hAnsiTheme="majorHAnsi" w:cstheme="majorHAnsi"/>
          <w:sz w:val="28"/>
          <w:szCs w:val="28"/>
          <w:lang w:val="ro-MD"/>
        </w:rPr>
        <w:footnoteReference w:id="90"/>
      </w:r>
      <w:r w:rsidRPr="002751FC">
        <w:rPr>
          <w:rFonts w:asciiTheme="majorHAnsi" w:hAnsiTheme="majorHAnsi" w:cstheme="majorHAnsi"/>
          <w:sz w:val="28"/>
          <w:szCs w:val="28"/>
          <w:lang w:val="ro-MD"/>
        </w:rPr>
        <w:t xml:space="preserve"> nu sunt separate/divizate în contractele de </w:t>
      </w:r>
      <w:r w:rsidR="005E5981" w:rsidRPr="002751FC">
        <w:rPr>
          <w:rFonts w:asciiTheme="majorHAnsi" w:hAnsiTheme="majorHAnsi" w:cstheme="majorHAnsi"/>
          <w:sz w:val="28"/>
          <w:szCs w:val="28"/>
          <w:lang w:val="ro-MD"/>
        </w:rPr>
        <w:t xml:space="preserve">prestări </w:t>
      </w:r>
      <w:r w:rsidRPr="002751FC">
        <w:rPr>
          <w:rFonts w:asciiTheme="majorHAnsi" w:hAnsiTheme="majorHAnsi" w:cstheme="majorHAnsi"/>
          <w:sz w:val="28"/>
          <w:szCs w:val="28"/>
          <w:lang w:val="ro-MD"/>
        </w:rPr>
        <w:t xml:space="preserve">servicii, vizitarea </w:t>
      </w:r>
      <w:r w:rsidR="005E5981" w:rsidRPr="002751FC">
        <w:rPr>
          <w:rFonts w:asciiTheme="majorHAnsi" w:hAnsiTheme="majorHAnsi" w:cstheme="majorHAnsi"/>
          <w:sz w:val="28"/>
          <w:szCs w:val="28"/>
          <w:lang w:val="ro-MD"/>
        </w:rPr>
        <w:t>V</w:t>
      </w:r>
      <w:r w:rsidRPr="002751FC">
        <w:rPr>
          <w:rFonts w:asciiTheme="majorHAnsi" w:hAnsiTheme="majorHAnsi" w:cstheme="majorHAnsi"/>
          <w:sz w:val="28"/>
          <w:szCs w:val="28"/>
          <w:lang w:val="ro-MD"/>
        </w:rPr>
        <w:t>inăriei „</w:t>
      </w:r>
      <w:proofErr w:type="spellStart"/>
      <w:r w:rsidRPr="002751FC">
        <w:rPr>
          <w:rFonts w:asciiTheme="majorHAnsi" w:hAnsiTheme="majorHAnsi" w:cstheme="majorHAnsi"/>
          <w:sz w:val="28"/>
          <w:szCs w:val="28"/>
          <w:lang w:val="ro-MD"/>
        </w:rPr>
        <w:t>Şabo</w:t>
      </w:r>
      <w:proofErr w:type="spellEnd"/>
      <w:r w:rsidRPr="002751FC">
        <w:rPr>
          <w:rFonts w:asciiTheme="majorHAnsi" w:hAnsiTheme="majorHAnsi" w:cstheme="majorHAnsi"/>
          <w:sz w:val="28"/>
          <w:szCs w:val="28"/>
          <w:lang w:val="ro-MD"/>
        </w:rPr>
        <w:t xml:space="preserve">” </w:t>
      </w:r>
      <w:proofErr w:type="spellStart"/>
      <w:r w:rsidRPr="002751FC">
        <w:rPr>
          <w:rFonts w:asciiTheme="majorHAnsi" w:hAnsiTheme="majorHAnsi" w:cstheme="majorHAnsi"/>
          <w:sz w:val="28"/>
          <w:szCs w:val="28"/>
          <w:lang w:val="ro-MD"/>
        </w:rPr>
        <w:t>şi</w:t>
      </w:r>
      <w:proofErr w:type="spellEnd"/>
      <w:r w:rsidRPr="002751FC">
        <w:rPr>
          <w:rFonts w:asciiTheme="majorHAnsi" w:hAnsiTheme="majorHAnsi" w:cstheme="majorHAnsi"/>
          <w:sz w:val="28"/>
          <w:szCs w:val="28"/>
          <w:lang w:val="ro-MD"/>
        </w:rPr>
        <w:t xml:space="preserve"> cina la restaurantul </w:t>
      </w:r>
      <w:r w:rsidR="005E5981" w:rsidRPr="002751FC">
        <w:rPr>
          <w:rFonts w:asciiTheme="majorHAnsi" w:hAnsiTheme="majorHAnsi" w:cstheme="majorHAnsi"/>
          <w:sz w:val="28"/>
          <w:szCs w:val="28"/>
          <w:lang w:val="ro-MD"/>
        </w:rPr>
        <w:t>V</w:t>
      </w:r>
      <w:r w:rsidRPr="002751FC">
        <w:rPr>
          <w:rFonts w:asciiTheme="majorHAnsi" w:hAnsiTheme="majorHAnsi" w:cstheme="majorHAnsi"/>
          <w:sz w:val="28"/>
          <w:szCs w:val="28"/>
          <w:lang w:val="ro-MD"/>
        </w:rPr>
        <w:t>inăriei constit</w:t>
      </w:r>
      <w:r w:rsidR="00A34DCC" w:rsidRPr="002751FC">
        <w:rPr>
          <w:rFonts w:asciiTheme="majorHAnsi" w:hAnsiTheme="majorHAnsi" w:cstheme="majorHAnsi"/>
          <w:sz w:val="28"/>
          <w:szCs w:val="28"/>
          <w:lang w:val="ro-MD"/>
        </w:rPr>
        <w:t>u</w:t>
      </w:r>
      <w:r w:rsidRPr="002751FC">
        <w:rPr>
          <w:rFonts w:asciiTheme="majorHAnsi" w:hAnsiTheme="majorHAnsi" w:cstheme="majorHAnsi"/>
          <w:sz w:val="28"/>
          <w:szCs w:val="28"/>
          <w:lang w:val="ro-MD"/>
        </w:rPr>
        <w:t>i</w:t>
      </w:r>
      <w:r w:rsidR="00A34DCC" w:rsidRPr="002751FC">
        <w:rPr>
          <w:rFonts w:asciiTheme="majorHAnsi" w:hAnsiTheme="majorHAnsi" w:cstheme="majorHAnsi"/>
          <w:sz w:val="28"/>
          <w:szCs w:val="28"/>
          <w:lang w:val="ro-MD"/>
        </w:rPr>
        <w:t>nd</w:t>
      </w:r>
      <w:r w:rsidRPr="002751FC">
        <w:rPr>
          <w:rFonts w:asciiTheme="majorHAnsi" w:hAnsiTheme="majorHAnsi" w:cstheme="majorHAnsi"/>
          <w:sz w:val="28"/>
          <w:szCs w:val="28"/>
          <w:lang w:val="ro-MD"/>
        </w:rPr>
        <w:t xml:space="preserve"> </w:t>
      </w:r>
      <w:r w:rsidRPr="002751FC">
        <w:rPr>
          <w:rFonts w:asciiTheme="majorHAnsi" w:hAnsiTheme="majorHAnsi" w:cstheme="majorHAnsi"/>
          <w:b/>
          <w:sz w:val="28"/>
          <w:szCs w:val="28"/>
          <w:lang w:val="ro-MD"/>
        </w:rPr>
        <w:t>4,2 mii MDL</w:t>
      </w:r>
      <w:r w:rsidRPr="002751FC">
        <w:rPr>
          <w:rStyle w:val="ab"/>
          <w:rFonts w:asciiTheme="majorHAnsi" w:hAnsiTheme="majorHAnsi" w:cstheme="majorHAnsi"/>
          <w:sz w:val="28"/>
          <w:szCs w:val="28"/>
          <w:lang w:val="ro-MD"/>
        </w:rPr>
        <w:footnoteReference w:id="91"/>
      </w:r>
      <w:r w:rsidRPr="002751FC">
        <w:rPr>
          <w:rFonts w:asciiTheme="majorHAnsi" w:hAnsiTheme="majorHAnsi" w:cstheme="majorHAnsi"/>
          <w:sz w:val="28"/>
          <w:szCs w:val="28"/>
          <w:lang w:val="ro-MD"/>
        </w:rPr>
        <w:t>.</w:t>
      </w:r>
    </w:p>
    <w:p w:rsidR="00A34DCC" w:rsidRPr="002751FC" w:rsidRDefault="00A34DCC" w:rsidP="00B72C3E">
      <w:pPr>
        <w:tabs>
          <w:tab w:val="left" w:pos="993"/>
        </w:tabs>
        <w:spacing w:after="0"/>
        <w:jc w:val="both"/>
        <w:rPr>
          <w:rFonts w:asciiTheme="majorHAnsi" w:hAnsiTheme="majorHAnsi" w:cstheme="majorHAnsi"/>
          <w:sz w:val="28"/>
          <w:szCs w:val="28"/>
          <w:lang w:val="ro-MD"/>
        </w:rPr>
      </w:pPr>
    </w:p>
    <w:p w:rsidR="002B0C1F" w:rsidRPr="002751FC" w:rsidRDefault="002B0C1F" w:rsidP="00B72C3E">
      <w:pPr>
        <w:pStyle w:val="1"/>
        <w:spacing w:before="0"/>
        <w:jc w:val="both"/>
        <w:rPr>
          <w:rFonts w:cstheme="majorHAnsi"/>
          <w:b/>
          <w:color w:val="auto"/>
          <w:sz w:val="28"/>
          <w:szCs w:val="28"/>
          <w:lang w:val="ro-MD"/>
        </w:rPr>
      </w:pPr>
      <w:bookmarkStart w:id="50" w:name="_Toc23259113"/>
      <w:r w:rsidRPr="002751FC">
        <w:rPr>
          <w:rFonts w:cstheme="majorHAnsi"/>
          <w:b/>
          <w:color w:val="auto"/>
          <w:sz w:val="28"/>
          <w:szCs w:val="28"/>
          <w:lang w:val="ro-MD"/>
        </w:rPr>
        <w:t>4.3.</w:t>
      </w:r>
      <w:r w:rsidR="0031118B" w:rsidRPr="002751FC">
        <w:rPr>
          <w:rFonts w:cstheme="majorHAnsi"/>
          <w:b/>
          <w:color w:val="auto"/>
          <w:sz w:val="28"/>
          <w:szCs w:val="28"/>
          <w:lang w:val="ro-MD"/>
        </w:rPr>
        <w:t>9</w:t>
      </w:r>
      <w:r w:rsidRPr="002751FC">
        <w:rPr>
          <w:rFonts w:cstheme="majorHAnsi"/>
          <w:b/>
          <w:color w:val="auto"/>
          <w:sz w:val="28"/>
          <w:szCs w:val="28"/>
          <w:lang w:val="ro-MD"/>
        </w:rPr>
        <w:t xml:space="preserve">. ONVV a </w:t>
      </w:r>
      <w:r w:rsidR="00AF09CA" w:rsidRPr="002751FC">
        <w:rPr>
          <w:rFonts w:cstheme="majorHAnsi"/>
          <w:b/>
          <w:color w:val="auto"/>
          <w:sz w:val="28"/>
          <w:szCs w:val="28"/>
          <w:lang w:val="ro-MD"/>
        </w:rPr>
        <w:t>achiziționat</w:t>
      </w:r>
      <w:r w:rsidRPr="002751FC">
        <w:rPr>
          <w:rFonts w:cstheme="majorHAnsi"/>
          <w:b/>
          <w:color w:val="auto"/>
          <w:sz w:val="28"/>
          <w:szCs w:val="28"/>
          <w:lang w:val="ro-MD"/>
        </w:rPr>
        <w:t xml:space="preserve"> unele bunuri şi servicii cu încălcarea prevederilor cadrului legal</w:t>
      </w:r>
      <w:bookmarkEnd w:id="50"/>
    </w:p>
    <w:p w:rsidR="0027438B" w:rsidRPr="002751FC" w:rsidRDefault="0027438B" w:rsidP="00B72C3E">
      <w:pPr>
        <w:pStyle w:val="ac"/>
        <w:numPr>
          <w:ilvl w:val="0"/>
          <w:numId w:val="42"/>
        </w:numPr>
        <w:ind w:left="0" w:firstLine="567"/>
        <w:rPr>
          <w:rFonts w:asciiTheme="majorHAnsi" w:hAnsiTheme="majorHAnsi" w:cstheme="majorHAnsi"/>
          <w:szCs w:val="28"/>
          <w:lang w:val="ro-MD"/>
        </w:rPr>
      </w:pPr>
      <w:r w:rsidRPr="002751FC">
        <w:rPr>
          <w:rFonts w:asciiTheme="majorHAnsi" w:hAnsiTheme="majorHAnsi" w:cstheme="majorHAnsi"/>
          <w:szCs w:val="28"/>
          <w:lang w:val="ro-MD"/>
        </w:rPr>
        <w:t>Potrivit prevederilor cadrului legal, procedurile de bază de atribuire a contractului de achiziţii publice sunt licitația deschisă şi licitația restrânsă, alte proceduri de achiziţie publică pot fi folosite numai în condițiile expres stabilite</w:t>
      </w:r>
      <w:r w:rsidRPr="002751FC">
        <w:rPr>
          <w:rStyle w:val="ab"/>
          <w:rFonts w:asciiTheme="majorHAnsi" w:eastAsiaTheme="majorEastAsia" w:hAnsiTheme="majorHAnsi" w:cstheme="majorHAnsi"/>
          <w:szCs w:val="28"/>
          <w:lang w:val="ro-MD"/>
        </w:rPr>
        <w:footnoteReference w:id="92"/>
      </w:r>
      <w:r w:rsidRPr="002751FC">
        <w:rPr>
          <w:rFonts w:asciiTheme="majorHAnsi" w:hAnsiTheme="majorHAnsi" w:cstheme="majorHAnsi"/>
          <w:szCs w:val="28"/>
          <w:lang w:val="ro-MD"/>
        </w:rPr>
        <w:t xml:space="preserve">. Contrar </w:t>
      </w:r>
      <w:r w:rsidR="00627173" w:rsidRPr="002751FC">
        <w:rPr>
          <w:rFonts w:asciiTheme="majorHAnsi" w:hAnsiTheme="majorHAnsi" w:cstheme="majorHAnsi"/>
          <w:szCs w:val="28"/>
          <w:lang w:val="ro-MD"/>
        </w:rPr>
        <w:t>L</w:t>
      </w:r>
      <w:r w:rsidRPr="002751FC">
        <w:rPr>
          <w:rFonts w:asciiTheme="majorHAnsi" w:hAnsiTheme="majorHAnsi" w:cstheme="majorHAnsi"/>
          <w:szCs w:val="28"/>
          <w:lang w:val="ro-MD"/>
        </w:rPr>
        <w:t>egii achizițiilor</w:t>
      </w:r>
      <w:r w:rsidR="002601BB" w:rsidRPr="002751FC">
        <w:rPr>
          <w:rStyle w:val="ab"/>
          <w:rFonts w:asciiTheme="majorHAnsi" w:eastAsiaTheme="majorEastAsia" w:hAnsiTheme="majorHAnsi" w:cstheme="majorHAnsi"/>
          <w:szCs w:val="28"/>
          <w:vertAlign w:val="baseline"/>
          <w:lang w:val="ro-MD"/>
        </w:rPr>
        <w:t>,</w:t>
      </w:r>
      <w:r w:rsidRPr="002751FC">
        <w:rPr>
          <w:rFonts w:asciiTheme="majorHAnsi" w:hAnsiTheme="majorHAnsi" w:cstheme="majorHAnsi"/>
          <w:szCs w:val="28"/>
          <w:lang w:val="ro-MD"/>
        </w:rPr>
        <w:t xml:space="preserve"> ONVV a încheiat contract</w:t>
      </w:r>
      <w:r w:rsidR="00D23280" w:rsidRPr="002751FC">
        <w:rPr>
          <w:rFonts w:asciiTheme="majorHAnsi" w:hAnsiTheme="majorHAnsi" w:cstheme="majorHAnsi"/>
          <w:szCs w:val="28"/>
          <w:lang w:val="ro-MD"/>
        </w:rPr>
        <w:t>e</w:t>
      </w:r>
      <w:r w:rsidRPr="002751FC">
        <w:rPr>
          <w:rFonts w:asciiTheme="majorHAnsi" w:hAnsiTheme="majorHAnsi" w:cstheme="majorHAnsi"/>
          <w:szCs w:val="28"/>
          <w:lang w:val="ro-MD"/>
        </w:rPr>
        <w:t xml:space="preserve"> de achiziţie publică de servicii</w:t>
      </w:r>
      <w:r w:rsidR="00D23280" w:rsidRPr="002751FC">
        <w:rPr>
          <w:rFonts w:asciiTheme="majorHAnsi" w:hAnsiTheme="majorHAnsi" w:cstheme="majorHAnsi"/>
          <w:szCs w:val="28"/>
          <w:lang w:val="ro-MD"/>
        </w:rPr>
        <w:t xml:space="preserve"> aferente organizării unor evenimente</w:t>
      </w:r>
      <w:r w:rsidRPr="002751FC">
        <w:rPr>
          <w:rFonts w:asciiTheme="majorHAnsi" w:hAnsiTheme="majorHAnsi" w:cstheme="majorHAnsi"/>
          <w:szCs w:val="28"/>
          <w:lang w:val="ro-MD"/>
        </w:rPr>
        <w:t xml:space="preserve"> prin intermediul procedurii de negociere, fără publicarea prealabilă a unui anunț de participare</w:t>
      </w:r>
      <w:r w:rsidR="009D55E2" w:rsidRPr="002751FC">
        <w:rPr>
          <w:rStyle w:val="ab"/>
          <w:rFonts w:asciiTheme="majorHAnsi" w:hAnsiTheme="majorHAnsi" w:cstheme="majorHAnsi"/>
          <w:szCs w:val="28"/>
          <w:lang w:val="ro-MD"/>
        </w:rPr>
        <w:footnoteReference w:id="93"/>
      </w:r>
      <w:r w:rsidRPr="002751FC">
        <w:rPr>
          <w:rFonts w:asciiTheme="majorHAnsi" w:hAnsiTheme="majorHAnsi" w:cstheme="majorHAnsi"/>
          <w:szCs w:val="28"/>
          <w:lang w:val="ro-MD"/>
        </w:rPr>
        <w:t>. La baza aprobării evenimentelor de către CC au stat scrisorile MADRM</w:t>
      </w:r>
      <w:r w:rsidRPr="002751FC">
        <w:rPr>
          <w:rStyle w:val="ab"/>
          <w:rFonts w:asciiTheme="majorHAnsi" w:eastAsiaTheme="majorEastAsia" w:hAnsiTheme="majorHAnsi" w:cstheme="majorHAnsi"/>
          <w:szCs w:val="28"/>
          <w:lang w:val="ro-MD"/>
        </w:rPr>
        <w:footnoteReference w:id="94"/>
      </w:r>
      <w:r w:rsidRPr="002751FC">
        <w:rPr>
          <w:rFonts w:asciiTheme="majorHAnsi" w:hAnsiTheme="majorHAnsi" w:cstheme="majorHAnsi"/>
          <w:szCs w:val="28"/>
          <w:lang w:val="ro-MD"/>
        </w:rPr>
        <w:t xml:space="preserve">, în care a fost indicat și agentul economic, </w:t>
      </w:r>
      <w:r w:rsidR="00627173" w:rsidRPr="002751FC">
        <w:rPr>
          <w:rFonts w:asciiTheme="majorHAnsi" w:hAnsiTheme="majorHAnsi" w:cstheme="majorHAnsi"/>
          <w:szCs w:val="28"/>
          <w:lang w:val="ro-MD"/>
        </w:rPr>
        <w:t xml:space="preserve">datele </w:t>
      </w:r>
      <w:r w:rsidRPr="002751FC">
        <w:rPr>
          <w:rFonts w:asciiTheme="majorHAnsi" w:hAnsiTheme="majorHAnsi" w:cstheme="majorHAnsi"/>
          <w:szCs w:val="28"/>
          <w:lang w:val="ro-MD"/>
        </w:rPr>
        <w:t xml:space="preserve">bancare și suma care urma a fi contractată. Valoarea contractului a constituit 0,3 </w:t>
      </w:r>
      <w:proofErr w:type="spellStart"/>
      <w:r w:rsidRPr="002751FC">
        <w:rPr>
          <w:rFonts w:asciiTheme="majorHAnsi" w:hAnsiTheme="majorHAnsi" w:cstheme="majorHAnsi"/>
          <w:szCs w:val="28"/>
          <w:lang w:val="ro-MD"/>
        </w:rPr>
        <w:t>mil.MDL</w:t>
      </w:r>
      <w:proofErr w:type="spellEnd"/>
      <w:r w:rsidRPr="002751FC">
        <w:rPr>
          <w:rFonts w:asciiTheme="majorHAnsi" w:hAnsiTheme="majorHAnsi" w:cstheme="majorHAnsi"/>
          <w:szCs w:val="28"/>
          <w:lang w:val="ro-MD"/>
        </w:rPr>
        <w:t>.</w:t>
      </w:r>
    </w:p>
    <w:p w:rsidR="00BC6BE2" w:rsidRPr="002751FC" w:rsidRDefault="00BC6BE2" w:rsidP="00B72C3E">
      <w:pPr>
        <w:pStyle w:val="ac"/>
        <w:ind w:left="567"/>
        <w:rPr>
          <w:rFonts w:asciiTheme="majorHAnsi" w:hAnsiTheme="majorHAnsi" w:cstheme="majorHAnsi"/>
          <w:szCs w:val="28"/>
          <w:lang w:val="ro-MD"/>
        </w:rPr>
      </w:pPr>
    </w:p>
    <w:p w:rsidR="0027438B" w:rsidRPr="002751FC" w:rsidRDefault="0027438B" w:rsidP="00B72C3E">
      <w:pPr>
        <w:spacing w:after="0"/>
        <w:ind w:firstLine="567"/>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De menționat că</w:t>
      </w:r>
      <w:r w:rsidR="00627173"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prin scrisoarea din 25.10.2018</w:t>
      </w:r>
      <w:r w:rsidRPr="002751FC">
        <w:rPr>
          <w:rStyle w:val="ab"/>
          <w:rFonts w:asciiTheme="majorHAnsi" w:eastAsia="Times New Roman" w:hAnsiTheme="majorHAnsi" w:cstheme="majorHAnsi"/>
          <w:sz w:val="28"/>
          <w:szCs w:val="28"/>
          <w:lang w:val="ro-MD"/>
        </w:rPr>
        <w:footnoteReference w:id="95"/>
      </w:r>
      <w:r w:rsidR="00627173"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MADRM a solicitat aprobarea alocării din FVV a suportului financiar în sumă de 0,3 </w:t>
      </w:r>
      <w:proofErr w:type="spellStart"/>
      <w:r w:rsidRPr="002751FC">
        <w:rPr>
          <w:rFonts w:asciiTheme="majorHAnsi" w:eastAsia="Times New Roman" w:hAnsiTheme="majorHAnsi" w:cstheme="majorHAnsi"/>
          <w:sz w:val="28"/>
          <w:szCs w:val="28"/>
          <w:lang w:val="ro-MD"/>
        </w:rPr>
        <w:t>mil.MDL</w:t>
      </w:r>
      <w:proofErr w:type="spellEnd"/>
      <w:r w:rsidRPr="002751FC">
        <w:rPr>
          <w:rFonts w:asciiTheme="majorHAnsi" w:eastAsia="Times New Roman" w:hAnsiTheme="majorHAnsi" w:cstheme="majorHAnsi"/>
          <w:sz w:val="28"/>
          <w:szCs w:val="28"/>
          <w:lang w:val="ro-MD"/>
        </w:rPr>
        <w:t xml:space="preserve">, aprobarea de către CC a alocațiilor fiind efectuată la 25.10.2018. </w:t>
      </w:r>
      <w:r w:rsidRPr="002751FC">
        <w:rPr>
          <w:rFonts w:asciiTheme="majorHAnsi" w:eastAsia="Times New Roman" w:hAnsiTheme="majorHAnsi" w:cstheme="majorHAnsi"/>
          <w:sz w:val="28"/>
          <w:szCs w:val="28"/>
          <w:shd w:val="clear" w:color="auto" w:fill="FFFFFF" w:themeFill="background1"/>
          <w:lang w:val="ro-MD"/>
        </w:rPr>
        <w:t>Conform scrisorii din 20.11.2018</w:t>
      </w:r>
      <w:r w:rsidRPr="002751FC">
        <w:rPr>
          <w:rStyle w:val="ab"/>
          <w:rFonts w:asciiTheme="majorHAnsi" w:eastAsia="Times New Roman" w:hAnsiTheme="majorHAnsi" w:cstheme="majorHAnsi"/>
          <w:sz w:val="28"/>
          <w:szCs w:val="28"/>
          <w:shd w:val="clear" w:color="auto" w:fill="FFFFFF" w:themeFill="background1"/>
          <w:lang w:val="ro-MD"/>
        </w:rPr>
        <w:footnoteReference w:id="96"/>
      </w:r>
      <w:r w:rsidRPr="002751FC">
        <w:rPr>
          <w:rFonts w:asciiTheme="majorHAnsi" w:eastAsia="Times New Roman" w:hAnsiTheme="majorHAnsi" w:cstheme="majorHAnsi"/>
          <w:sz w:val="28"/>
          <w:szCs w:val="28"/>
          <w:shd w:val="clear" w:color="auto" w:fill="FFFFFF" w:themeFill="background1"/>
          <w:lang w:val="ro-MD"/>
        </w:rPr>
        <w:t xml:space="preserve"> (emisă cu 4 zile înainte de desfășurarea evenimentului), MADRM a invitat ONVV în calitate de cofinanțator la organizarea și </w:t>
      </w:r>
      <w:r w:rsidR="00627173" w:rsidRPr="002751FC">
        <w:rPr>
          <w:rFonts w:asciiTheme="majorHAnsi" w:eastAsia="Times New Roman" w:hAnsiTheme="majorHAnsi" w:cstheme="majorHAnsi"/>
          <w:sz w:val="28"/>
          <w:szCs w:val="28"/>
          <w:shd w:val="clear" w:color="auto" w:fill="FFFFFF" w:themeFill="background1"/>
          <w:lang w:val="ro-MD"/>
        </w:rPr>
        <w:t xml:space="preserve">asigurarea </w:t>
      </w:r>
      <w:r w:rsidRPr="002751FC">
        <w:rPr>
          <w:rFonts w:asciiTheme="majorHAnsi" w:eastAsia="Times New Roman" w:hAnsiTheme="majorHAnsi" w:cstheme="majorHAnsi"/>
          <w:sz w:val="28"/>
          <w:szCs w:val="28"/>
          <w:shd w:val="clear" w:color="auto" w:fill="FFFFFF" w:themeFill="background1"/>
          <w:lang w:val="ro-MD"/>
        </w:rPr>
        <w:t>logistic</w:t>
      </w:r>
      <w:r w:rsidR="00627173" w:rsidRPr="002751FC">
        <w:rPr>
          <w:rFonts w:asciiTheme="majorHAnsi" w:eastAsia="Times New Roman" w:hAnsiTheme="majorHAnsi" w:cstheme="majorHAnsi"/>
          <w:sz w:val="28"/>
          <w:szCs w:val="28"/>
          <w:shd w:val="clear" w:color="auto" w:fill="FFFFFF" w:themeFill="background1"/>
          <w:lang w:val="ro-MD"/>
        </w:rPr>
        <w:t xml:space="preserve">ă </w:t>
      </w:r>
      <w:r w:rsidRPr="002751FC">
        <w:rPr>
          <w:rFonts w:asciiTheme="majorHAnsi" w:eastAsia="Times New Roman" w:hAnsiTheme="majorHAnsi" w:cstheme="majorHAnsi"/>
          <w:sz w:val="28"/>
          <w:szCs w:val="28"/>
          <w:shd w:val="clear" w:color="auto" w:fill="FFFFFF" w:themeFill="background1"/>
          <w:lang w:val="ro-MD"/>
        </w:rPr>
        <w:t xml:space="preserve">a evenimentului, în aceeași scrisoare fiind indicate și agentul economic ca operator unic pentru logistică, inclusiv atragerea fondurilor și gestionarea bugetului în scopul organizării evenimentului, precum și </w:t>
      </w:r>
      <w:r w:rsidR="00627173" w:rsidRPr="002751FC">
        <w:rPr>
          <w:rFonts w:asciiTheme="majorHAnsi" w:eastAsia="Times New Roman" w:hAnsiTheme="majorHAnsi" w:cstheme="majorHAnsi"/>
          <w:sz w:val="28"/>
          <w:szCs w:val="28"/>
          <w:shd w:val="clear" w:color="auto" w:fill="FFFFFF" w:themeFill="background1"/>
          <w:lang w:val="ro-MD"/>
        </w:rPr>
        <w:t xml:space="preserve">datele </w:t>
      </w:r>
      <w:r w:rsidRPr="002751FC">
        <w:rPr>
          <w:rFonts w:asciiTheme="majorHAnsi" w:eastAsia="Times New Roman" w:hAnsiTheme="majorHAnsi" w:cstheme="majorHAnsi"/>
          <w:sz w:val="28"/>
          <w:szCs w:val="28"/>
          <w:shd w:val="clear" w:color="auto" w:fill="FFFFFF" w:themeFill="background1"/>
          <w:lang w:val="ro-MD"/>
        </w:rPr>
        <w:t>ba</w:t>
      </w:r>
      <w:r w:rsidRPr="002751FC">
        <w:rPr>
          <w:rFonts w:asciiTheme="majorHAnsi" w:eastAsia="Times New Roman" w:hAnsiTheme="majorHAnsi" w:cstheme="majorHAnsi"/>
          <w:sz w:val="28"/>
          <w:szCs w:val="28"/>
          <w:lang w:val="ro-MD"/>
        </w:rPr>
        <w:t>ncare ale agentului economic respectiv. Tot în aceeași zi</w:t>
      </w:r>
      <w:r w:rsidRPr="002751FC">
        <w:rPr>
          <w:rStyle w:val="ab"/>
          <w:rFonts w:asciiTheme="majorHAnsi" w:eastAsia="Times New Roman" w:hAnsiTheme="majorHAnsi" w:cstheme="majorHAnsi"/>
          <w:sz w:val="28"/>
          <w:szCs w:val="28"/>
          <w:lang w:val="ro-MD"/>
        </w:rPr>
        <w:footnoteReference w:id="97"/>
      </w:r>
      <w:r w:rsidRPr="002751FC">
        <w:rPr>
          <w:rFonts w:asciiTheme="majorHAnsi" w:eastAsia="Times New Roman" w:hAnsiTheme="majorHAnsi" w:cstheme="majorHAnsi"/>
          <w:sz w:val="28"/>
          <w:szCs w:val="28"/>
          <w:lang w:val="ro-MD"/>
        </w:rPr>
        <w:t xml:space="preserve">, ONVV a încheiat contractul de achiziții prin negociere, care include prestarea serviciilor de </w:t>
      </w:r>
      <w:proofErr w:type="spellStart"/>
      <w:r w:rsidRPr="002751FC">
        <w:rPr>
          <w:rFonts w:asciiTheme="majorHAnsi" w:eastAsia="Times New Roman" w:hAnsiTheme="majorHAnsi" w:cstheme="majorHAnsi"/>
          <w:sz w:val="28"/>
          <w:szCs w:val="28"/>
          <w:lang w:val="ro-MD"/>
        </w:rPr>
        <w:t>catering</w:t>
      </w:r>
      <w:proofErr w:type="spellEnd"/>
      <w:r w:rsidRPr="002751FC">
        <w:rPr>
          <w:rFonts w:asciiTheme="majorHAnsi" w:eastAsia="Times New Roman" w:hAnsiTheme="majorHAnsi" w:cstheme="majorHAnsi"/>
          <w:sz w:val="28"/>
          <w:szCs w:val="28"/>
          <w:lang w:val="ro-MD"/>
        </w:rPr>
        <w:t xml:space="preserve">, asigurarea programului artistic, </w:t>
      </w:r>
      <w:r w:rsidR="00753F94" w:rsidRPr="002751FC">
        <w:rPr>
          <w:rFonts w:asciiTheme="majorHAnsi" w:eastAsia="Times New Roman" w:hAnsiTheme="majorHAnsi" w:cstheme="majorHAnsi"/>
          <w:sz w:val="28"/>
          <w:szCs w:val="28"/>
          <w:lang w:val="ro-MD"/>
        </w:rPr>
        <w:t>inclusiv a</w:t>
      </w:r>
      <w:r w:rsidRPr="002751FC">
        <w:rPr>
          <w:rFonts w:asciiTheme="majorHAnsi" w:eastAsia="Times New Roman" w:hAnsiTheme="majorHAnsi" w:cstheme="majorHAnsi"/>
          <w:sz w:val="28"/>
          <w:szCs w:val="28"/>
          <w:lang w:val="ro-MD"/>
        </w:rPr>
        <w:t xml:space="preserve"> scenariului etc., astfel devenind sponsor al evenimentului respectiv, activitate care nu este reglementată de cadrul regulator relevant. Asemenea situații se atestă și în cazul participării la evenimentul organizat de UTA G</w:t>
      </w:r>
      <w:r w:rsidR="00627173" w:rsidRPr="002751FC">
        <w:rPr>
          <w:rFonts w:asciiTheme="majorHAnsi" w:eastAsia="Times New Roman" w:hAnsiTheme="majorHAnsi" w:cstheme="majorHAnsi"/>
          <w:sz w:val="28"/>
          <w:szCs w:val="28"/>
          <w:lang w:val="ro-MD"/>
        </w:rPr>
        <w:t>ă</w:t>
      </w:r>
      <w:r w:rsidRPr="002751FC">
        <w:rPr>
          <w:rFonts w:asciiTheme="majorHAnsi" w:eastAsia="Times New Roman" w:hAnsiTheme="majorHAnsi" w:cstheme="majorHAnsi"/>
          <w:sz w:val="28"/>
          <w:szCs w:val="28"/>
          <w:lang w:val="ro-MD"/>
        </w:rPr>
        <w:t>g</w:t>
      </w:r>
      <w:r w:rsidR="00627173" w:rsidRPr="002751FC">
        <w:rPr>
          <w:rFonts w:asciiTheme="majorHAnsi" w:eastAsia="Times New Roman" w:hAnsiTheme="majorHAnsi" w:cstheme="majorHAnsi"/>
          <w:sz w:val="28"/>
          <w:szCs w:val="28"/>
          <w:lang w:val="ro-MD"/>
        </w:rPr>
        <w:t>ă</w:t>
      </w:r>
      <w:r w:rsidRPr="002751FC">
        <w:rPr>
          <w:rFonts w:asciiTheme="majorHAnsi" w:eastAsia="Times New Roman" w:hAnsiTheme="majorHAnsi" w:cstheme="majorHAnsi"/>
          <w:sz w:val="28"/>
          <w:szCs w:val="28"/>
          <w:lang w:val="ro-MD"/>
        </w:rPr>
        <w:t xml:space="preserve">uzia (0,4 </w:t>
      </w:r>
      <w:proofErr w:type="spellStart"/>
      <w:r w:rsidRPr="002751FC">
        <w:rPr>
          <w:rFonts w:asciiTheme="majorHAnsi" w:eastAsia="Times New Roman" w:hAnsiTheme="majorHAnsi" w:cstheme="majorHAnsi"/>
          <w:sz w:val="28"/>
          <w:szCs w:val="28"/>
          <w:lang w:val="ro-MD"/>
        </w:rPr>
        <w:t>mil.MDL</w:t>
      </w:r>
      <w:proofErr w:type="spellEnd"/>
      <w:r w:rsidRPr="002751FC">
        <w:rPr>
          <w:rFonts w:asciiTheme="majorHAnsi" w:eastAsia="Times New Roman" w:hAnsiTheme="majorHAnsi" w:cstheme="majorHAnsi"/>
          <w:sz w:val="28"/>
          <w:szCs w:val="28"/>
          <w:lang w:val="ro-MD"/>
        </w:rPr>
        <w:t xml:space="preserve">) </w:t>
      </w:r>
      <w:r w:rsidR="009605F7" w:rsidRPr="002751FC">
        <w:rPr>
          <w:rFonts w:asciiTheme="majorHAnsi" w:eastAsia="Times New Roman" w:hAnsiTheme="majorHAnsi" w:cstheme="majorHAnsi"/>
          <w:sz w:val="28"/>
          <w:szCs w:val="28"/>
          <w:lang w:val="ro-MD"/>
        </w:rPr>
        <w:t>la care</w:t>
      </w:r>
      <w:r w:rsidRPr="002751FC">
        <w:rPr>
          <w:rFonts w:asciiTheme="majorHAnsi" w:eastAsia="Times New Roman" w:hAnsiTheme="majorHAnsi" w:cstheme="majorHAnsi"/>
          <w:sz w:val="28"/>
          <w:szCs w:val="28"/>
          <w:lang w:val="ro-MD"/>
        </w:rPr>
        <w:t xml:space="preserve"> ONVV a fost invitat </w:t>
      </w:r>
      <w:r w:rsidR="00753F94" w:rsidRPr="002751FC">
        <w:rPr>
          <w:rFonts w:asciiTheme="majorHAnsi" w:eastAsia="Times New Roman" w:hAnsiTheme="majorHAnsi" w:cstheme="majorHAnsi"/>
          <w:sz w:val="28"/>
          <w:szCs w:val="28"/>
          <w:lang w:val="ro-MD"/>
        </w:rPr>
        <w:t xml:space="preserve">în </w:t>
      </w:r>
      <w:r w:rsidRPr="002751FC">
        <w:rPr>
          <w:rFonts w:asciiTheme="majorHAnsi" w:eastAsia="Times New Roman" w:hAnsiTheme="majorHAnsi" w:cstheme="majorHAnsi"/>
          <w:sz w:val="28"/>
          <w:szCs w:val="28"/>
          <w:lang w:val="ro-MD"/>
        </w:rPr>
        <w:t>ca</w:t>
      </w:r>
      <w:r w:rsidR="00753F94" w:rsidRPr="002751FC">
        <w:rPr>
          <w:rFonts w:asciiTheme="majorHAnsi" w:eastAsia="Times New Roman" w:hAnsiTheme="majorHAnsi" w:cstheme="majorHAnsi"/>
          <w:sz w:val="28"/>
          <w:szCs w:val="28"/>
          <w:lang w:val="ro-MD"/>
        </w:rPr>
        <w:t>litate de</w:t>
      </w:r>
      <w:r w:rsidRPr="002751FC">
        <w:rPr>
          <w:rFonts w:asciiTheme="majorHAnsi" w:eastAsia="Times New Roman" w:hAnsiTheme="majorHAnsi" w:cstheme="majorHAnsi"/>
          <w:sz w:val="28"/>
          <w:szCs w:val="28"/>
          <w:lang w:val="ro-MD"/>
        </w:rPr>
        <w:t xml:space="preserve"> </w:t>
      </w:r>
      <w:proofErr w:type="spellStart"/>
      <w:r w:rsidRPr="002751FC">
        <w:rPr>
          <w:rFonts w:asciiTheme="majorHAnsi" w:eastAsia="Times New Roman" w:hAnsiTheme="majorHAnsi" w:cstheme="majorHAnsi"/>
          <w:sz w:val="28"/>
          <w:szCs w:val="28"/>
          <w:lang w:val="ro-MD"/>
        </w:rPr>
        <w:t>copartener</w:t>
      </w:r>
      <w:proofErr w:type="spellEnd"/>
      <w:r w:rsidRPr="002751FC">
        <w:rPr>
          <w:rFonts w:asciiTheme="majorHAnsi" w:eastAsia="Times New Roman" w:hAnsiTheme="majorHAnsi" w:cstheme="majorHAnsi"/>
          <w:sz w:val="28"/>
          <w:szCs w:val="28"/>
          <w:lang w:val="ro-MD"/>
        </w:rPr>
        <w:t>.</w:t>
      </w:r>
    </w:p>
    <w:p w:rsidR="0027438B" w:rsidRPr="002751FC" w:rsidRDefault="0027438B" w:rsidP="00B72C3E">
      <w:pPr>
        <w:pStyle w:val="ac"/>
        <w:numPr>
          <w:ilvl w:val="0"/>
          <w:numId w:val="22"/>
        </w:numPr>
        <w:ind w:left="0" w:firstLine="567"/>
        <w:rPr>
          <w:rFonts w:asciiTheme="majorHAnsi" w:hAnsiTheme="majorHAnsi" w:cstheme="majorHAnsi"/>
          <w:szCs w:val="28"/>
          <w:lang w:val="ro-MD"/>
        </w:rPr>
      </w:pPr>
      <w:r w:rsidRPr="002751FC">
        <w:rPr>
          <w:rFonts w:asciiTheme="majorHAnsi" w:hAnsiTheme="majorHAnsi" w:cstheme="majorHAnsi"/>
          <w:szCs w:val="28"/>
          <w:lang w:val="ro-MD"/>
        </w:rPr>
        <w:lastRenderedPageBreak/>
        <w:t xml:space="preserve">ONVV a admis divizarea achiziţiilor publice </w:t>
      </w:r>
      <w:r w:rsidR="00753F94" w:rsidRPr="002751FC">
        <w:rPr>
          <w:rFonts w:asciiTheme="majorHAnsi" w:hAnsiTheme="majorHAnsi" w:cstheme="majorHAnsi"/>
          <w:szCs w:val="28"/>
          <w:lang w:val="ro-MD"/>
        </w:rPr>
        <w:t>la</w:t>
      </w:r>
      <w:r w:rsidR="009A50BE" w:rsidRPr="002751FC">
        <w:rPr>
          <w:rFonts w:asciiTheme="majorHAnsi" w:hAnsiTheme="majorHAnsi" w:cstheme="majorHAnsi"/>
          <w:szCs w:val="28"/>
          <w:lang w:val="ro-MD"/>
        </w:rPr>
        <w:t xml:space="preserve"> desfășurarea</w:t>
      </w:r>
      <w:r w:rsidRPr="002751FC">
        <w:rPr>
          <w:rFonts w:asciiTheme="majorHAnsi" w:hAnsiTheme="majorHAnsi" w:cstheme="majorHAnsi"/>
          <w:szCs w:val="28"/>
          <w:lang w:val="ro-MD"/>
        </w:rPr>
        <w:t xml:space="preserve"> Conferinț</w:t>
      </w:r>
      <w:r w:rsidR="00753F94" w:rsidRPr="002751FC">
        <w:rPr>
          <w:rFonts w:asciiTheme="majorHAnsi" w:hAnsiTheme="majorHAnsi" w:cstheme="majorHAnsi"/>
          <w:szCs w:val="28"/>
          <w:lang w:val="ro-MD"/>
        </w:rPr>
        <w:t>ei</w:t>
      </w:r>
      <w:r w:rsidRPr="002751FC">
        <w:rPr>
          <w:rFonts w:asciiTheme="majorHAnsi" w:hAnsiTheme="majorHAnsi" w:cstheme="majorHAnsi"/>
          <w:szCs w:val="28"/>
          <w:lang w:val="ro-MD"/>
        </w:rPr>
        <w:t xml:space="preserve"> Global</w:t>
      </w:r>
      <w:r w:rsidR="00753F94" w:rsidRPr="002751FC">
        <w:rPr>
          <w:rFonts w:asciiTheme="majorHAnsi" w:hAnsiTheme="majorHAnsi" w:cstheme="majorHAnsi"/>
          <w:szCs w:val="28"/>
          <w:lang w:val="ro-MD"/>
        </w:rPr>
        <w:t>e</w:t>
      </w:r>
      <w:r w:rsidRPr="002751FC">
        <w:rPr>
          <w:rFonts w:asciiTheme="majorHAnsi" w:hAnsiTheme="majorHAnsi" w:cstheme="majorHAnsi"/>
          <w:szCs w:val="28"/>
          <w:lang w:val="ro-MD"/>
        </w:rPr>
        <w:t xml:space="preserve"> a Turismului Vinicol</w:t>
      </w:r>
      <w:r w:rsidR="00753F94" w:rsidRPr="002751FC">
        <w:rPr>
          <w:rFonts w:asciiTheme="majorHAnsi" w:hAnsiTheme="majorHAnsi" w:cstheme="majorHAnsi"/>
          <w:szCs w:val="28"/>
          <w:lang w:val="ro-MD"/>
        </w:rPr>
        <w:t>,</w:t>
      </w:r>
      <w:r w:rsidRPr="002751FC">
        <w:rPr>
          <w:rFonts w:asciiTheme="majorHAnsi" w:hAnsiTheme="majorHAnsi" w:cstheme="majorHAnsi"/>
          <w:szCs w:val="28"/>
          <w:lang w:val="ro-MD"/>
        </w:rPr>
        <w:t xml:space="preserve"> fiind încheiate </w:t>
      </w:r>
      <w:r w:rsidR="009A50BE" w:rsidRPr="002751FC">
        <w:rPr>
          <w:rFonts w:asciiTheme="majorHAnsi" w:hAnsiTheme="majorHAnsi" w:cstheme="majorHAnsi"/>
          <w:szCs w:val="28"/>
          <w:lang w:val="ro-MD"/>
        </w:rPr>
        <w:t>7</w:t>
      </w:r>
      <w:r w:rsidRPr="002751FC">
        <w:rPr>
          <w:rFonts w:asciiTheme="majorHAnsi" w:hAnsiTheme="majorHAnsi" w:cstheme="majorHAnsi"/>
          <w:szCs w:val="28"/>
          <w:lang w:val="ro-MD"/>
        </w:rPr>
        <w:t xml:space="preserve"> contracte de achiziţii de valoare mică în </w:t>
      </w:r>
      <w:r w:rsidR="00270704">
        <w:rPr>
          <w:rFonts w:asciiTheme="majorHAnsi" w:hAnsiTheme="majorHAnsi" w:cstheme="majorHAnsi"/>
          <w:szCs w:val="28"/>
          <w:lang w:val="ro-MD"/>
        </w:rPr>
        <w:t>sumă</w:t>
      </w:r>
      <w:r w:rsidRPr="002751FC">
        <w:rPr>
          <w:rFonts w:asciiTheme="majorHAnsi" w:hAnsiTheme="majorHAnsi" w:cstheme="majorHAnsi"/>
          <w:szCs w:val="28"/>
          <w:lang w:val="ro-MD"/>
        </w:rPr>
        <w:t xml:space="preserve"> totală de 0,</w:t>
      </w:r>
      <w:r w:rsidR="009A50BE" w:rsidRPr="002751FC">
        <w:rPr>
          <w:rFonts w:asciiTheme="majorHAnsi" w:hAnsiTheme="majorHAnsi" w:cstheme="majorHAnsi"/>
          <w:szCs w:val="28"/>
          <w:lang w:val="ro-MD"/>
        </w:rPr>
        <w:t>29</w:t>
      </w:r>
      <w:r w:rsidRPr="002751FC">
        <w:rPr>
          <w:rFonts w:asciiTheme="majorHAnsi" w:hAnsiTheme="majorHAnsi" w:cstheme="majorHAnsi"/>
          <w:szCs w:val="28"/>
          <w:lang w:val="ro-MD"/>
        </w:rPr>
        <w:t xml:space="preserve"> </w:t>
      </w:r>
      <w:proofErr w:type="spellStart"/>
      <w:r w:rsidRPr="002751FC">
        <w:rPr>
          <w:rFonts w:asciiTheme="majorHAnsi" w:hAnsiTheme="majorHAnsi" w:cstheme="majorHAnsi"/>
          <w:szCs w:val="28"/>
          <w:lang w:val="ro-MD"/>
        </w:rPr>
        <w:t>mil.MDL</w:t>
      </w:r>
      <w:proofErr w:type="spellEnd"/>
      <w:r w:rsidRPr="002751FC">
        <w:rPr>
          <w:rStyle w:val="ab"/>
          <w:rFonts w:asciiTheme="majorHAnsi" w:eastAsiaTheme="majorEastAsia" w:hAnsiTheme="majorHAnsi" w:cstheme="majorHAnsi"/>
          <w:szCs w:val="28"/>
          <w:lang w:val="ro-MD"/>
        </w:rPr>
        <w:footnoteReference w:id="98"/>
      </w:r>
      <w:r w:rsidR="00D23280" w:rsidRPr="002751FC">
        <w:rPr>
          <w:rFonts w:asciiTheme="majorHAnsi" w:hAnsiTheme="majorHAnsi" w:cstheme="majorHAnsi"/>
          <w:szCs w:val="28"/>
          <w:lang w:val="ro-MD"/>
        </w:rPr>
        <w:t xml:space="preserve">. </w:t>
      </w:r>
      <w:r w:rsidRPr="002751FC">
        <w:rPr>
          <w:rFonts w:asciiTheme="majorHAnsi" w:hAnsiTheme="majorHAnsi" w:cstheme="majorHAnsi"/>
          <w:szCs w:val="28"/>
          <w:lang w:val="ro-MD"/>
        </w:rPr>
        <w:t>Totodată, în cadrul desfășurării evenimentului respectiv au avut loc și procurări fără contracte, doar în baza facturilor, valoarea procurărilor constituind 0,</w:t>
      </w:r>
      <w:r w:rsidR="009A50BE" w:rsidRPr="002751FC">
        <w:rPr>
          <w:rFonts w:asciiTheme="majorHAnsi" w:hAnsiTheme="majorHAnsi" w:cstheme="majorHAnsi"/>
          <w:szCs w:val="28"/>
          <w:lang w:val="ro-MD"/>
        </w:rPr>
        <w:t>03</w:t>
      </w:r>
      <w:r w:rsidRPr="002751FC">
        <w:rPr>
          <w:rFonts w:asciiTheme="majorHAnsi" w:hAnsiTheme="majorHAnsi" w:cstheme="majorHAnsi"/>
          <w:szCs w:val="28"/>
          <w:lang w:val="ro-MD"/>
        </w:rPr>
        <w:t xml:space="preserve"> </w:t>
      </w:r>
      <w:proofErr w:type="spellStart"/>
      <w:r w:rsidRPr="002751FC">
        <w:rPr>
          <w:rFonts w:asciiTheme="majorHAnsi" w:hAnsiTheme="majorHAnsi" w:cstheme="majorHAnsi"/>
          <w:szCs w:val="28"/>
          <w:lang w:val="ro-MD"/>
        </w:rPr>
        <w:t>mil.MDL</w:t>
      </w:r>
      <w:proofErr w:type="spellEnd"/>
      <w:r w:rsidRPr="002751FC">
        <w:rPr>
          <w:rStyle w:val="ab"/>
          <w:rFonts w:asciiTheme="majorHAnsi" w:eastAsiaTheme="majorEastAsia" w:hAnsiTheme="majorHAnsi" w:cstheme="majorHAnsi"/>
          <w:szCs w:val="28"/>
          <w:lang w:val="ro-MD"/>
        </w:rPr>
        <w:footnoteReference w:id="99"/>
      </w:r>
      <w:r w:rsidR="00753F94" w:rsidRPr="002751FC">
        <w:rPr>
          <w:rFonts w:asciiTheme="majorHAnsi" w:hAnsiTheme="majorHAnsi" w:cstheme="majorHAnsi"/>
          <w:szCs w:val="28"/>
          <w:lang w:val="ro-MD"/>
        </w:rPr>
        <w:t>.</w:t>
      </w:r>
    </w:p>
    <w:p w:rsidR="00D23280" w:rsidRPr="002751FC" w:rsidRDefault="00D23280" w:rsidP="00B72C3E">
      <w:pPr>
        <w:spacing w:after="0"/>
        <w:rPr>
          <w:rFonts w:asciiTheme="majorHAnsi" w:hAnsiTheme="majorHAnsi" w:cstheme="majorHAnsi"/>
          <w:sz w:val="28"/>
          <w:szCs w:val="28"/>
          <w:lang w:val="ro-MD"/>
        </w:rPr>
      </w:pPr>
    </w:p>
    <w:p w:rsidR="002B0C1F" w:rsidRPr="002751FC" w:rsidRDefault="002B0C1F" w:rsidP="00243401">
      <w:pPr>
        <w:pStyle w:val="1"/>
        <w:spacing w:before="0"/>
        <w:jc w:val="both"/>
        <w:rPr>
          <w:rFonts w:cstheme="majorHAnsi"/>
          <w:b/>
          <w:color w:val="auto"/>
          <w:sz w:val="28"/>
          <w:szCs w:val="28"/>
          <w:lang w:val="ro-MD"/>
        </w:rPr>
      </w:pPr>
      <w:bookmarkStart w:id="51" w:name="_Toc23259114"/>
      <w:r w:rsidRPr="002751FC">
        <w:rPr>
          <w:rFonts w:cstheme="majorHAnsi"/>
          <w:b/>
          <w:color w:val="auto"/>
          <w:sz w:val="28"/>
          <w:szCs w:val="28"/>
          <w:lang w:val="ro-MD"/>
        </w:rPr>
        <w:t xml:space="preserve">4.4. </w:t>
      </w:r>
      <w:r w:rsidR="00463190" w:rsidRPr="002751FC">
        <w:rPr>
          <w:rFonts w:cstheme="majorHAnsi"/>
          <w:b/>
          <w:color w:val="auto"/>
          <w:sz w:val="28"/>
          <w:szCs w:val="28"/>
          <w:lang w:val="ro-MD"/>
        </w:rPr>
        <w:t xml:space="preserve">Imperfecțiunea mecanismului de gestionare a </w:t>
      </w:r>
      <w:r w:rsidRPr="002751FC">
        <w:rPr>
          <w:rFonts w:cstheme="majorHAnsi"/>
          <w:b/>
          <w:color w:val="auto"/>
          <w:sz w:val="28"/>
          <w:szCs w:val="28"/>
          <w:lang w:val="ro-MD"/>
        </w:rPr>
        <w:t>colectării și evidenț</w:t>
      </w:r>
      <w:r w:rsidR="006A67AD" w:rsidRPr="002751FC">
        <w:rPr>
          <w:rFonts w:cstheme="majorHAnsi"/>
          <w:b/>
          <w:color w:val="auto"/>
          <w:sz w:val="28"/>
          <w:szCs w:val="28"/>
          <w:lang w:val="ro-MD"/>
        </w:rPr>
        <w:t>ei</w:t>
      </w:r>
      <w:r w:rsidRPr="002751FC">
        <w:rPr>
          <w:rFonts w:cstheme="majorHAnsi"/>
          <w:b/>
          <w:color w:val="auto"/>
          <w:sz w:val="28"/>
          <w:szCs w:val="28"/>
          <w:lang w:val="ro-MD"/>
        </w:rPr>
        <w:t xml:space="preserve"> contribuțiilor ș</w:t>
      </w:r>
      <w:r w:rsidR="00463190" w:rsidRPr="002751FC">
        <w:rPr>
          <w:rFonts w:cstheme="majorHAnsi"/>
          <w:b/>
          <w:color w:val="auto"/>
          <w:sz w:val="28"/>
          <w:szCs w:val="28"/>
          <w:lang w:val="ro-MD"/>
        </w:rPr>
        <w:t xml:space="preserve">i penalităților </w:t>
      </w:r>
      <w:r w:rsidRPr="002751FC">
        <w:rPr>
          <w:rFonts w:cstheme="majorHAnsi"/>
          <w:b/>
          <w:color w:val="auto"/>
          <w:sz w:val="28"/>
          <w:szCs w:val="28"/>
          <w:lang w:val="ro-MD"/>
        </w:rPr>
        <w:t>în FVV, precum și urmărir</w:t>
      </w:r>
      <w:r w:rsidR="006A67AD" w:rsidRPr="002751FC">
        <w:rPr>
          <w:rFonts w:cstheme="majorHAnsi"/>
          <w:b/>
          <w:color w:val="auto"/>
          <w:sz w:val="28"/>
          <w:szCs w:val="28"/>
          <w:lang w:val="ro-MD"/>
        </w:rPr>
        <w:t>ii</w:t>
      </w:r>
      <w:r w:rsidRPr="002751FC">
        <w:rPr>
          <w:rFonts w:cstheme="majorHAnsi"/>
          <w:b/>
          <w:color w:val="auto"/>
          <w:sz w:val="28"/>
          <w:szCs w:val="28"/>
          <w:lang w:val="ro-MD"/>
        </w:rPr>
        <w:t xml:space="preserve"> datoriilor către Fond</w:t>
      </w:r>
      <w:r w:rsidR="006A67AD" w:rsidRPr="002751FC">
        <w:rPr>
          <w:rFonts w:cstheme="majorHAnsi"/>
          <w:b/>
          <w:color w:val="auto"/>
          <w:sz w:val="28"/>
          <w:szCs w:val="28"/>
          <w:lang w:val="ro-MD"/>
        </w:rPr>
        <w:t>,</w:t>
      </w:r>
      <w:r w:rsidRPr="002751FC">
        <w:rPr>
          <w:rFonts w:cstheme="majorHAnsi"/>
          <w:b/>
          <w:color w:val="auto"/>
          <w:sz w:val="28"/>
          <w:szCs w:val="28"/>
          <w:lang w:val="ro-MD"/>
        </w:rPr>
        <w:t xml:space="preserve"> stabilite de cadru</w:t>
      </w:r>
      <w:r w:rsidR="004A12B7" w:rsidRPr="002751FC">
        <w:rPr>
          <w:rFonts w:cstheme="majorHAnsi"/>
          <w:b/>
          <w:color w:val="auto"/>
          <w:sz w:val="28"/>
          <w:szCs w:val="28"/>
          <w:lang w:val="ro-MD"/>
        </w:rPr>
        <w:t>l</w:t>
      </w:r>
      <w:r w:rsidRPr="002751FC">
        <w:rPr>
          <w:rFonts w:cstheme="majorHAnsi"/>
          <w:b/>
          <w:color w:val="auto"/>
          <w:sz w:val="28"/>
          <w:szCs w:val="28"/>
          <w:lang w:val="ro-MD"/>
        </w:rPr>
        <w:t xml:space="preserve"> normativ în vigoare, a </w:t>
      </w:r>
      <w:r w:rsidR="00753F94" w:rsidRPr="002751FC">
        <w:rPr>
          <w:rFonts w:cstheme="majorHAnsi"/>
          <w:b/>
          <w:color w:val="auto"/>
          <w:sz w:val="28"/>
          <w:szCs w:val="28"/>
          <w:lang w:val="ro-MD"/>
        </w:rPr>
        <w:t>cauzat</w:t>
      </w:r>
      <w:r w:rsidRPr="002751FC">
        <w:rPr>
          <w:rFonts w:cstheme="majorHAnsi"/>
          <w:b/>
          <w:color w:val="auto"/>
          <w:sz w:val="28"/>
          <w:szCs w:val="28"/>
          <w:lang w:val="ro-MD"/>
        </w:rPr>
        <w:t xml:space="preserve"> faptul că </w:t>
      </w:r>
      <w:r w:rsidR="00753F94" w:rsidRPr="002751FC">
        <w:rPr>
          <w:rFonts w:cstheme="majorHAnsi"/>
          <w:b/>
          <w:color w:val="auto"/>
          <w:sz w:val="28"/>
          <w:szCs w:val="28"/>
          <w:lang w:val="ro-MD"/>
        </w:rPr>
        <w:t>acestea</w:t>
      </w:r>
      <w:r w:rsidR="00074512" w:rsidRPr="002751FC">
        <w:rPr>
          <w:rFonts w:cstheme="majorHAnsi"/>
          <w:b/>
          <w:color w:val="auto"/>
          <w:sz w:val="28"/>
          <w:szCs w:val="28"/>
          <w:lang w:val="ro-MD"/>
        </w:rPr>
        <w:t>,</w:t>
      </w:r>
      <w:r w:rsidRPr="002751FC">
        <w:rPr>
          <w:rFonts w:cstheme="majorHAnsi"/>
          <w:b/>
          <w:color w:val="auto"/>
          <w:sz w:val="28"/>
          <w:szCs w:val="28"/>
          <w:lang w:val="ro-MD"/>
        </w:rPr>
        <w:t xml:space="preserve"> pe parcursul mai multor ani</w:t>
      </w:r>
      <w:r w:rsidR="00074512" w:rsidRPr="002751FC">
        <w:rPr>
          <w:rFonts w:cstheme="majorHAnsi"/>
          <w:b/>
          <w:color w:val="auto"/>
          <w:sz w:val="28"/>
          <w:szCs w:val="28"/>
          <w:lang w:val="ro-MD"/>
        </w:rPr>
        <w:t>,</w:t>
      </w:r>
      <w:r w:rsidRPr="002751FC">
        <w:rPr>
          <w:rFonts w:cstheme="majorHAnsi"/>
          <w:b/>
          <w:color w:val="auto"/>
          <w:sz w:val="28"/>
          <w:szCs w:val="28"/>
          <w:lang w:val="ro-MD"/>
        </w:rPr>
        <w:t xml:space="preserve"> au fost </w:t>
      </w:r>
      <w:r w:rsidR="00074512" w:rsidRPr="002751FC">
        <w:rPr>
          <w:rFonts w:cstheme="majorHAnsi"/>
          <w:b/>
          <w:color w:val="auto"/>
          <w:sz w:val="28"/>
          <w:szCs w:val="28"/>
          <w:lang w:val="ro-MD"/>
        </w:rPr>
        <w:t>gestionate</w:t>
      </w:r>
      <w:r w:rsidRPr="002751FC">
        <w:rPr>
          <w:rFonts w:cstheme="majorHAnsi"/>
          <w:b/>
          <w:color w:val="auto"/>
          <w:sz w:val="28"/>
          <w:szCs w:val="28"/>
          <w:lang w:val="ro-MD"/>
        </w:rPr>
        <w:t xml:space="preserve"> </w:t>
      </w:r>
      <w:r w:rsidR="00074512" w:rsidRPr="002751FC">
        <w:rPr>
          <w:rFonts w:cstheme="majorHAnsi"/>
          <w:b/>
          <w:color w:val="auto"/>
          <w:sz w:val="28"/>
          <w:szCs w:val="28"/>
          <w:lang w:val="ro-MD"/>
        </w:rPr>
        <w:t>segmentat</w:t>
      </w:r>
      <w:r w:rsidRPr="002751FC">
        <w:rPr>
          <w:rFonts w:cstheme="majorHAnsi"/>
          <w:b/>
          <w:color w:val="auto"/>
          <w:sz w:val="28"/>
          <w:szCs w:val="28"/>
          <w:lang w:val="ro-MD"/>
        </w:rPr>
        <w:t xml:space="preserve"> de diferiți actori, nefiind întreprinse măsuri suficiente pentru colectarea restanțelor față de FVV</w:t>
      </w:r>
      <w:bookmarkEnd w:id="51"/>
    </w:p>
    <w:p w:rsidR="002B0C1F" w:rsidRPr="002751FC" w:rsidRDefault="002B0C1F" w:rsidP="00243401">
      <w:pPr>
        <w:spacing w:after="0"/>
        <w:rPr>
          <w:rFonts w:asciiTheme="majorHAnsi" w:hAnsiTheme="majorHAnsi" w:cstheme="majorHAnsi"/>
          <w:sz w:val="28"/>
          <w:szCs w:val="28"/>
          <w:lang w:val="ro-MD"/>
        </w:rPr>
      </w:pPr>
    </w:p>
    <w:p w:rsidR="002B0C1F" w:rsidRPr="002751FC" w:rsidRDefault="002B0C1F" w:rsidP="00243401">
      <w:pPr>
        <w:pStyle w:val="1"/>
        <w:spacing w:before="0"/>
        <w:jc w:val="both"/>
        <w:rPr>
          <w:rFonts w:cstheme="majorHAnsi"/>
          <w:b/>
          <w:bCs/>
          <w:iCs/>
          <w:color w:val="auto"/>
          <w:sz w:val="28"/>
          <w:szCs w:val="28"/>
          <w:lang w:val="ro-MD"/>
        </w:rPr>
      </w:pPr>
      <w:bookmarkStart w:id="52" w:name="_Toc23259115"/>
      <w:r w:rsidRPr="002751FC">
        <w:rPr>
          <w:rFonts w:cstheme="majorHAnsi"/>
          <w:b/>
          <w:bCs/>
          <w:iCs/>
          <w:color w:val="auto"/>
          <w:sz w:val="28"/>
          <w:szCs w:val="28"/>
          <w:lang w:val="ro-MD"/>
        </w:rPr>
        <w:t>4.4.1.</w:t>
      </w:r>
      <w:r w:rsidRPr="002751FC">
        <w:rPr>
          <w:rFonts w:cstheme="majorHAnsi"/>
          <w:bCs/>
          <w:iCs/>
          <w:color w:val="auto"/>
          <w:sz w:val="28"/>
          <w:szCs w:val="28"/>
          <w:lang w:val="ro-MD"/>
        </w:rPr>
        <w:t xml:space="preserve"> </w:t>
      </w:r>
      <w:r w:rsidRPr="002751FC">
        <w:rPr>
          <w:rFonts w:cstheme="majorHAnsi"/>
          <w:b/>
          <w:bCs/>
          <w:iCs/>
          <w:color w:val="auto"/>
          <w:sz w:val="28"/>
          <w:szCs w:val="28"/>
          <w:lang w:val="ro-MD"/>
        </w:rPr>
        <w:t xml:space="preserve">Mecanismul creat pentru calcularea și achitarea </w:t>
      </w:r>
      <w:r w:rsidR="00074512" w:rsidRPr="002751FC">
        <w:rPr>
          <w:rFonts w:cstheme="majorHAnsi"/>
          <w:b/>
          <w:bCs/>
          <w:iCs/>
          <w:color w:val="auto"/>
          <w:sz w:val="28"/>
          <w:szCs w:val="28"/>
          <w:lang w:val="ro-MD"/>
        </w:rPr>
        <w:t>contribuțiilor</w:t>
      </w:r>
      <w:r w:rsidRPr="002751FC">
        <w:rPr>
          <w:rFonts w:cstheme="majorHAnsi"/>
          <w:b/>
          <w:bCs/>
          <w:iCs/>
          <w:color w:val="auto"/>
          <w:sz w:val="28"/>
          <w:szCs w:val="28"/>
          <w:lang w:val="ro-MD"/>
        </w:rPr>
        <w:t xml:space="preserve"> producătorilor sectorului vitivinicol </w:t>
      </w:r>
      <w:r w:rsidR="00074512" w:rsidRPr="002751FC">
        <w:rPr>
          <w:rFonts w:cstheme="majorHAnsi"/>
          <w:b/>
          <w:bCs/>
          <w:iCs/>
          <w:color w:val="auto"/>
          <w:sz w:val="28"/>
          <w:szCs w:val="28"/>
          <w:lang w:val="ro-MD"/>
        </w:rPr>
        <w:t>în</w:t>
      </w:r>
      <w:r w:rsidRPr="002751FC">
        <w:rPr>
          <w:rFonts w:cstheme="majorHAnsi"/>
          <w:b/>
          <w:bCs/>
          <w:iCs/>
          <w:color w:val="auto"/>
          <w:sz w:val="28"/>
          <w:szCs w:val="28"/>
          <w:lang w:val="ro-MD"/>
        </w:rPr>
        <w:t xml:space="preserve"> FVV este unul </w:t>
      </w:r>
      <w:r w:rsidR="00074512" w:rsidRPr="002751FC">
        <w:rPr>
          <w:rFonts w:cstheme="majorHAnsi"/>
          <w:b/>
          <w:bCs/>
          <w:iCs/>
          <w:color w:val="auto"/>
          <w:sz w:val="28"/>
          <w:szCs w:val="28"/>
          <w:lang w:val="ro-MD"/>
        </w:rPr>
        <w:t>dificil</w:t>
      </w:r>
      <w:r w:rsidRPr="002751FC">
        <w:rPr>
          <w:rFonts w:cstheme="majorHAnsi"/>
          <w:b/>
          <w:bCs/>
          <w:iCs/>
          <w:color w:val="auto"/>
          <w:sz w:val="28"/>
          <w:szCs w:val="28"/>
          <w:lang w:val="ro-MD"/>
        </w:rPr>
        <w:t xml:space="preserve"> de realizat </w:t>
      </w:r>
      <w:r w:rsidR="00074512" w:rsidRPr="002751FC">
        <w:rPr>
          <w:rFonts w:cstheme="majorHAnsi"/>
          <w:b/>
          <w:bCs/>
          <w:iCs/>
          <w:color w:val="auto"/>
          <w:sz w:val="28"/>
          <w:szCs w:val="28"/>
          <w:lang w:val="ro-MD"/>
        </w:rPr>
        <w:t>atât</w:t>
      </w:r>
      <w:r w:rsidRPr="002751FC">
        <w:rPr>
          <w:rFonts w:cstheme="majorHAnsi"/>
          <w:b/>
          <w:bCs/>
          <w:iCs/>
          <w:color w:val="auto"/>
          <w:sz w:val="28"/>
          <w:szCs w:val="28"/>
          <w:lang w:val="ro-MD"/>
        </w:rPr>
        <w:t xml:space="preserve"> pentru SFS</w:t>
      </w:r>
      <w:r w:rsidR="006A67AD" w:rsidRPr="002751FC">
        <w:rPr>
          <w:rFonts w:cstheme="majorHAnsi"/>
          <w:b/>
          <w:bCs/>
          <w:iCs/>
          <w:color w:val="auto"/>
          <w:sz w:val="28"/>
          <w:szCs w:val="28"/>
          <w:lang w:val="ro-MD"/>
        </w:rPr>
        <w:t>,</w:t>
      </w:r>
      <w:r w:rsidRPr="002751FC">
        <w:rPr>
          <w:rFonts w:cstheme="majorHAnsi"/>
          <w:b/>
          <w:bCs/>
          <w:iCs/>
          <w:color w:val="auto"/>
          <w:sz w:val="28"/>
          <w:szCs w:val="28"/>
          <w:lang w:val="ro-MD"/>
        </w:rPr>
        <w:t xml:space="preserve"> </w:t>
      </w:r>
      <w:r w:rsidR="00074512" w:rsidRPr="002751FC">
        <w:rPr>
          <w:rFonts w:cstheme="majorHAnsi"/>
          <w:b/>
          <w:bCs/>
          <w:iCs/>
          <w:color w:val="auto"/>
          <w:sz w:val="28"/>
          <w:szCs w:val="28"/>
          <w:lang w:val="ro-MD"/>
        </w:rPr>
        <w:t>cât</w:t>
      </w:r>
      <w:r w:rsidRPr="002751FC">
        <w:rPr>
          <w:rFonts w:cstheme="majorHAnsi"/>
          <w:b/>
          <w:bCs/>
          <w:iCs/>
          <w:color w:val="auto"/>
          <w:sz w:val="28"/>
          <w:szCs w:val="28"/>
          <w:lang w:val="ro-MD"/>
        </w:rPr>
        <w:t xml:space="preserve"> si pentru ONVV, ceea ce nu a permis</w:t>
      </w:r>
      <w:r w:rsidR="00074512" w:rsidRPr="002751FC">
        <w:rPr>
          <w:rFonts w:cstheme="majorHAnsi"/>
          <w:b/>
          <w:bCs/>
          <w:iCs/>
          <w:color w:val="auto"/>
          <w:sz w:val="28"/>
          <w:szCs w:val="28"/>
          <w:lang w:val="ro-MD"/>
        </w:rPr>
        <w:t xml:space="preserve"> administrarea </w:t>
      </w:r>
      <w:r w:rsidR="0012676E" w:rsidRPr="002751FC">
        <w:rPr>
          <w:rFonts w:cstheme="majorHAnsi"/>
          <w:b/>
          <w:bCs/>
          <w:iCs/>
          <w:color w:val="auto"/>
          <w:sz w:val="28"/>
          <w:szCs w:val="28"/>
          <w:lang w:val="ro-MD"/>
        </w:rPr>
        <w:t xml:space="preserve">acestor </w:t>
      </w:r>
      <w:r w:rsidR="006530B9" w:rsidRPr="002751FC">
        <w:rPr>
          <w:rFonts w:cstheme="majorHAnsi"/>
          <w:b/>
          <w:bCs/>
          <w:iCs/>
          <w:color w:val="auto"/>
          <w:sz w:val="28"/>
          <w:szCs w:val="28"/>
          <w:lang w:val="ro-MD"/>
        </w:rPr>
        <w:t>plăți</w:t>
      </w:r>
      <w:r w:rsidRPr="002751FC">
        <w:rPr>
          <w:rFonts w:cstheme="majorHAnsi"/>
          <w:b/>
          <w:bCs/>
          <w:iCs/>
          <w:color w:val="auto"/>
          <w:sz w:val="28"/>
          <w:szCs w:val="28"/>
          <w:lang w:val="ro-MD"/>
        </w:rPr>
        <w:t xml:space="preserve"> conform prevederilor stabilite</w:t>
      </w:r>
      <w:bookmarkEnd w:id="52"/>
      <w:r w:rsidRPr="002751FC">
        <w:rPr>
          <w:rFonts w:cstheme="majorHAnsi"/>
          <w:b/>
          <w:bCs/>
          <w:iCs/>
          <w:color w:val="auto"/>
          <w:sz w:val="28"/>
          <w:szCs w:val="28"/>
          <w:lang w:val="ro-MD"/>
        </w:rPr>
        <w:t xml:space="preserve"> </w:t>
      </w:r>
    </w:p>
    <w:p w:rsidR="002B0C1F" w:rsidRPr="002751FC" w:rsidRDefault="002B0C1F" w:rsidP="00243401">
      <w:pPr>
        <w:spacing w:after="0"/>
        <w:rPr>
          <w:rFonts w:asciiTheme="majorHAnsi" w:hAnsiTheme="majorHAnsi" w:cstheme="majorHAnsi"/>
          <w:lang w:val="ro-MD"/>
        </w:rPr>
      </w:pP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Contribuțiile în FVV includ 4 tipuri de plăți: </w:t>
      </w:r>
      <w:r w:rsidRPr="002751FC">
        <w:rPr>
          <w:rFonts w:asciiTheme="majorHAnsi" w:eastAsia="Times New Roman" w:hAnsiTheme="majorHAnsi" w:cstheme="majorHAnsi"/>
          <w:b/>
          <w:sz w:val="28"/>
          <w:szCs w:val="28"/>
          <w:lang w:val="ro-MD"/>
        </w:rPr>
        <w:t>(i)</w:t>
      </w:r>
      <w:r w:rsidRPr="002751FC">
        <w:rPr>
          <w:rFonts w:asciiTheme="majorHAnsi" w:eastAsia="Times New Roman" w:hAnsiTheme="majorHAnsi" w:cstheme="majorHAnsi"/>
          <w:sz w:val="28"/>
          <w:szCs w:val="28"/>
          <w:lang w:val="ro-MD"/>
        </w:rPr>
        <w:t xml:space="preserve"> 0,12 </w:t>
      </w:r>
      <w:r w:rsidR="006530B9" w:rsidRPr="002751FC">
        <w:rPr>
          <w:rFonts w:asciiTheme="majorHAnsi" w:eastAsia="Times New Roman" w:hAnsiTheme="majorHAnsi" w:cstheme="majorHAnsi"/>
          <w:sz w:val="28"/>
          <w:szCs w:val="28"/>
          <w:lang w:val="ro-MD"/>
        </w:rPr>
        <w:t xml:space="preserve">MDL – </w:t>
      </w:r>
      <w:r w:rsidRPr="002751FC">
        <w:rPr>
          <w:rFonts w:asciiTheme="majorHAnsi" w:eastAsia="Times New Roman" w:hAnsiTheme="majorHAnsi" w:cstheme="majorHAnsi"/>
          <w:sz w:val="28"/>
          <w:szCs w:val="28"/>
          <w:lang w:val="ro-MD"/>
        </w:rPr>
        <w:t xml:space="preserve">pentru o </w:t>
      </w:r>
      <w:r w:rsidR="00074512" w:rsidRPr="002751FC">
        <w:rPr>
          <w:rFonts w:asciiTheme="majorHAnsi" w:eastAsia="Times New Roman" w:hAnsiTheme="majorHAnsi" w:cstheme="majorHAnsi"/>
          <w:sz w:val="28"/>
          <w:szCs w:val="28"/>
          <w:lang w:val="ro-MD"/>
        </w:rPr>
        <w:t>viță</w:t>
      </w:r>
      <w:r w:rsidRPr="002751FC">
        <w:rPr>
          <w:rFonts w:asciiTheme="majorHAnsi" w:eastAsia="Times New Roman" w:hAnsiTheme="majorHAnsi" w:cstheme="majorHAnsi"/>
          <w:sz w:val="28"/>
          <w:szCs w:val="28"/>
          <w:lang w:val="ro-MD"/>
        </w:rPr>
        <w:t xml:space="preserve"> altoită comercializată, destinată fabricării produselor vitivinicole; </w:t>
      </w:r>
      <w:r w:rsidRPr="002751FC">
        <w:rPr>
          <w:rFonts w:asciiTheme="majorHAnsi" w:eastAsia="Times New Roman" w:hAnsiTheme="majorHAnsi" w:cstheme="majorHAnsi"/>
          <w:b/>
          <w:sz w:val="28"/>
          <w:szCs w:val="28"/>
          <w:lang w:val="ro-MD"/>
        </w:rPr>
        <w:t>(ii</w:t>
      </w:r>
      <w:r w:rsidRPr="002751FC">
        <w:rPr>
          <w:rFonts w:asciiTheme="majorHAnsi" w:eastAsia="Times New Roman" w:hAnsiTheme="majorHAnsi" w:cstheme="majorHAnsi"/>
          <w:sz w:val="28"/>
          <w:szCs w:val="28"/>
          <w:lang w:val="ro-MD"/>
        </w:rPr>
        <w:t xml:space="preserve">) 30,0 </w:t>
      </w:r>
      <w:r w:rsidR="006530B9" w:rsidRPr="002751FC">
        <w:rPr>
          <w:rFonts w:asciiTheme="majorHAnsi" w:eastAsia="Times New Roman" w:hAnsiTheme="majorHAnsi" w:cstheme="majorHAnsi"/>
          <w:sz w:val="28"/>
          <w:szCs w:val="28"/>
          <w:lang w:val="ro-MD"/>
        </w:rPr>
        <w:t xml:space="preserve">MDL – </w:t>
      </w:r>
      <w:r w:rsidRPr="002751FC">
        <w:rPr>
          <w:rFonts w:asciiTheme="majorHAnsi" w:eastAsia="Times New Roman" w:hAnsiTheme="majorHAnsi" w:cstheme="majorHAnsi"/>
          <w:sz w:val="28"/>
          <w:szCs w:val="28"/>
          <w:lang w:val="ro-MD"/>
        </w:rPr>
        <w:t xml:space="preserve">pentru o tonă comercializată de struguri </w:t>
      </w:r>
      <w:r w:rsidR="00074512" w:rsidRPr="002751FC">
        <w:rPr>
          <w:rFonts w:asciiTheme="majorHAnsi" w:eastAsia="Times New Roman" w:hAnsiTheme="majorHAnsi" w:cstheme="majorHAnsi"/>
          <w:sz w:val="28"/>
          <w:szCs w:val="28"/>
          <w:lang w:val="ro-MD"/>
        </w:rPr>
        <w:t>destinați</w:t>
      </w:r>
      <w:r w:rsidRPr="002751FC">
        <w:rPr>
          <w:rFonts w:asciiTheme="majorHAnsi" w:eastAsia="Times New Roman" w:hAnsiTheme="majorHAnsi" w:cstheme="majorHAnsi"/>
          <w:sz w:val="28"/>
          <w:szCs w:val="28"/>
          <w:lang w:val="ro-MD"/>
        </w:rPr>
        <w:t xml:space="preserve"> vinificării; </w:t>
      </w:r>
      <w:r w:rsidRPr="002751FC">
        <w:rPr>
          <w:rFonts w:asciiTheme="majorHAnsi" w:eastAsia="Times New Roman" w:hAnsiTheme="majorHAnsi" w:cstheme="majorHAnsi"/>
          <w:b/>
          <w:sz w:val="28"/>
          <w:szCs w:val="28"/>
          <w:lang w:val="ro-MD"/>
        </w:rPr>
        <w:t>(iii)</w:t>
      </w:r>
      <w:r w:rsidR="00074512"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 xml:space="preserve">0,1 </w:t>
      </w:r>
      <w:r w:rsidR="006530B9" w:rsidRPr="002751FC">
        <w:rPr>
          <w:rFonts w:asciiTheme="majorHAnsi" w:eastAsia="Times New Roman" w:hAnsiTheme="majorHAnsi" w:cstheme="majorHAnsi"/>
          <w:sz w:val="28"/>
          <w:szCs w:val="28"/>
          <w:lang w:val="ro-MD"/>
        </w:rPr>
        <w:t xml:space="preserve">MDL – </w:t>
      </w:r>
      <w:r w:rsidRPr="002751FC">
        <w:rPr>
          <w:rFonts w:asciiTheme="majorHAnsi" w:eastAsia="Times New Roman" w:hAnsiTheme="majorHAnsi" w:cstheme="majorHAnsi"/>
          <w:sz w:val="28"/>
          <w:szCs w:val="28"/>
          <w:lang w:val="ro-MD"/>
        </w:rPr>
        <w:t xml:space="preserve">pentru un litru comercializat de vin sau de băutură pe bază de vin; </w:t>
      </w:r>
      <w:r w:rsidRPr="002751FC">
        <w:rPr>
          <w:rFonts w:asciiTheme="majorHAnsi" w:eastAsia="Times New Roman" w:hAnsiTheme="majorHAnsi" w:cstheme="majorHAnsi"/>
          <w:b/>
          <w:sz w:val="28"/>
          <w:szCs w:val="28"/>
          <w:lang w:val="ro-MD"/>
        </w:rPr>
        <w:t>(iv)</w:t>
      </w:r>
      <w:r w:rsidRPr="002751FC">
        <w:rPr>
          <w:rFonts w:asciiTheme="majorHAnsi" w:eastAsia="Times New Roman" w:hAnsiTheme="majorHAnsi" w:cstheme="majorHAnsi"/>
          <w:sz w:val="28"/>
          <w:szCs w:val="28"/>
          <w:lang w:val="ro-MD"/>
        </w:rPr>
        <w:t xml:space="preserve"> 1,6 </w:t>
      </w:r>
      <w:r w:rsidR="006530B9" w:rsidRPr="002751FC">
        <w:rPr>
          <w:rFonts w:asciiTheme="majorHAnsi" w:eastAsia="Times New Roman" w:hAnsiTheme="majorHAnsi" w:cstheme="majorHAnsi"/>
          <w:sz w:val="28"/>
          <w:szCs w:val="28"/>
          <w:lang w:val="ro-MD"/>
        </w:rPr>
        <w:t xml:space="preserve">MDL – </w:t>
      </w:r>
      <w:r w:rsidRPr="002751FC">
        <w:rPr>
          <w:rFonts w:asciiTheme="majorHAnsi" w:eastAsia="Times New Roman" w:hAnsiTheme="majorHAnsi" w:cstheme="majorHAnsi"/>
          <w:sz w:val="28"/>
          <w:szCs w:val="28"/>
          <w:lang w:val="ro-MD"/>
        </w:rPr>
        <w:t xml:space="preserve">pentru un litru de alcool absolut comercializat </w:t>
      </w:r>
      <w:r w:rsidR="005314E1" w:rsidRPr="002751FC">
        <w:rPr>
          <w:rFonts w:asciiTheme="majorHAnsi" w:eastAsia="Times New Roman" w:hAnsiTheme="majorHAnsi" w:cstheme="majorHAnsi"/>
          <w:sz w:val="28"/>
          <w:szCs w:val="28"/>
          <w:lang w:val="ro-MD"/>
        </w:rPr>
        <w:t>obținut</w:t>
      </w:r>
      <w:r w:rsidRPr="002751FC">
        <w:rPr>
          <w:rFonts w:asciiTheme="majorHAnsi" w:eastAsia="Times New Roman" w:hAnsiTheme="majorHAnsi" w:cstheme="majorHAnsi"/>
          <w:sz w:val="28"/>
          <w:szCs w:val="28"/>
          <w:lang w:val="ro-MD"/>
        </w:rPr>
        <w:t xml:space="preserve"> pe bază de vin, cu </w:t>
      </w:r>
      <w:r w:rsidR="005314E1" w:rsidRPr="002751FC">
        <w:rPr>
          <w:rFonts w:asciiTheme="majorHAnsi" w:eastAsia="Times New Roman" w:hAnsiTheme="majorHAnsi" w:cstheme="majorHAnsi"/>
          <w:sz w:val="28"/>
          <w:szCs w:val="28"/>
          <w:lang w:val="ro-MD"/>
        </w:rPr>
        <w:t>concentrația</w:t>
      </w:r>
      <w:r w:rsidRPr="002751FC">
        <w:rPr>
          <w:rFonts w:asciiTheme="majorHAnsi" w:eastAsia="Times New Roman" w:hAnsiTheme="majorHAnsi" w:cstheme="majorHAnsi"/>
          <w:sz w:val="28"/>
          <w:szCs w:val="28"/>
          <w:lang w:val="ro-MD"/>
        </w:rPr>
        <w:t xml:space="preserve"> alcoolică de cel puţin 25% vol.</w:t>
      </w:r>
    </w:p>
    <w:p w:rsidR="002B0C1F" w:rsidRPr="002751FC" w:rsidRDefault="002B0C1F" w:rsidP="00243401">
      <w:pPr>
        <w:spacing w:after="0"/>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Conform prevederilor cadrului regulator</w:t>
      </w:r>
      <w:r w:rsidRPr="002751FC">
        <w:rPr>
          <w:rStyle w:val="ab"/>
          <w:rFonts w:asciiTheme="majorHAnsi" w:hAnsiTheme="majorHAnsi" w:cstheme="majorHAnsi"/>
          <w:sz w:val="28"/>
          <w:szCs w:val="28"/>
          <w:lang w:val="ro-MD"/>
        </w:rPr>
        <w:footnoteReference w:id="100"/>
      </w:r>
      <w:r w:rsidRPr="002751FC">
        <w:rPr>
          <w:rFonts w:asciiTheme="majorHAnsi" w:eastAsia="Times New Roman" w:hAnsiTheme="majorHAnsi" w:cstheme="majorHAnsi"/>
          <w:sz w:val="28"/>
          <w:szCs w:val="28"/>
          <w:lang w:val="ro-MD"/>
        </w:rPr>
        <w:t xml:space="preserve">, obligativitatea plăţii </w:t>
      </w:r>
      <w:r w:rsidR="00E55E87"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intervine din data eliber</w:t>
      </w:r>
      <w:r w:rsidR="006530B9" w:rsidRPr="002751FC">
        <w:rPr>
          <w:rFonts w:asciiTheme="majorHAnsi" w:eastAsia="Times New Roman" w:hAnsiTheme="majorHAnsi" w:cstheme="majorHAnsi"/>
          <w:sz w:val="28"/>
          <w:szCs w:val="28"/>
          <w:lang w:val="ro-MD"/>
        </w:rPr>
        <w:t>ării</w:t>
      </w:r>
      <w:r w:rsidRPr="002751FC">
        <w:rPr>
          <w:rFonts w:asciiTheme="majorHAnsi" w:eastAsia="Times New Roman" w:hAnsiTheme="majorHAnsi" w:cstheme="majorHAnsi"/>
          <w:sz w:val="28"/>
          <w:szCs w:val="28"/>
          <w:lang w:val="ro-MD"/>
        </w:rPr>
        <w:t xml:space="preserve"> facturii fiscale. Plata </w:t>
      </w:r>
      <w:r w:rsidR="00E55E87" w:rsidRPr="002751FC">
        <w:rPr>
          <w:rFonts w:asciiTheme="majorHAnsi" w:eastAsia="Times New Roman" w:hAnsiTheme="majorHAnsi" w:cstheme="majorHAnsi"/>
          <w:sz w:val="28"/>
          <w:szCs w:val="28"/>
          <w:lang w:val="ro-MD"/>
        </w:rPr>
        <w:t>contribuției</w:t>
      </w:r>
      <w:r w:rsidRPr="002751FC">
        <w:rPr>
          <w:rFonts w:asciiTheme="majorHAnsi" w:eastAsia="Times New Roman" w:hAnsiTheme="majorHAnsi" w:cstheme="majorHAnsi"/>
          <w:sz w:val="28"/>
          <w:szCs w:val="28"/>
          <w:lang w:val="ro-MD"/>
        </w:rPr>
        <w:t xml:space="preserve"> pentru o tonă comercializată de struguri </w:t>
      </w:r>
      <w:r w:rsidR="00E55E87" w:rsidRPr="002751FC">
        <w:rPr>
          <w:rFonts w:asciiTheme="majorHAnsi" w:eastAsia="Times New Roman" w:hAnsiTheme="majorHAnsi" w:cstheme="majorHAnsi"/>
          <w:sz w:val="28"/>
          <w:szCs w:val="28"/>
          <w:lang w:val="ro-MD"/>
        </w:rPr>
        <w:t>destinați</w:t>
      </w:r>
      <w:r w:rsidRPr="002751FC">
        <w:rPr>
          <w:rFonts w:asciiTheme="majorHAnsi" w:eastAsia="Times New Roman" w:hAnsiTheme="majorHAnsi" w:cstheme="majorHAnsi"/>
          <w:sz w:val="28"/>
          <w:szCs w:val="28"/>
          <w:lang w:val="ro-MD"/>
        </w:rPr>
        <w:t xml:space="preserve"> vinificări (măsura II) se efectuează de unitatea vinicolă care a </w:t>
      </w:r>
      <w:r w:rsidR="00E55E87" w:rsidRPr="002751FC">
        <w:rPr>
          <w:rFonts w:asciiTheme="majorHAnsi" w:eastAsia="Times New Roman" w:hAnsiTheme="majorHAnsi" w:cstheme="majorHAnsi"/>
          <w:sz w:val="28"/>
          <w:szCs w:val="28"/>
          <w:lang w:val="ro-MD"/>
        </w:rPr>
        <w:t>achiziționat</w:t>
      </w:r>
      <w:r w:rsidRPr="002751FC">
        <w:rPr>
          <w:rFonts w:asciiTheme="majorHAnsi" w:eastAsia="Times New Roman" w:hAnsiTheme="majorHAnsi" w:cstheme="majorHAnsi"/>
          <w:sz w:val="28"/>
          <w:szCs w:val="28"/>
          <w:lang w:val="ro-MD"/>
        </w:rPr>
        <w:t xml:space="preserve"> strugurii </w:t>
      </w:r>
      <w:r w:rsidR="00E55E87" w:rsidRPr="002751FC">
        <w:rPr>
          <w:rFonts w:asciiTheme="majorHAnsi" w:eastAsia="Times New Roman" w:hAnsiTheme="majorHAnsi" w:cstheme="majorHAnsi"/>
          <w:sz w:val="28"/>
          <w:szCs w:val="28"/>
          <w:lang w:val="ro-MD"/>
        </w:rPr>
        <w:t>destinați</w:t>
      </w:r>
      <w:r w:rsidRPr="002751FC">
        <w:rPr>
          <w:rFonts w:asciiTheme="majorHAnsi" w:eastAsia="Times New Roman" w:hAnsiTheme="majorHAnsi" w:cstheme="majorHAnsi"/>
          <w:sz w:val="28"/>
          <w:szCs w:val="28"/>
          <w:lang w:val="ro-MD"/>
        </w:rPr>
        <w:t xml:space="preserve"> vinificării. </w:t>
      </w:r>
    </w:p>
    <w:p w:rsidR="002B0C1F" w:rsidRPr="002751FC" w:rsidRDefault="002B0C1F" w:rsidP="00243401">
      <w:pPr>
        <w:spacing w:after="0" w:line="240" w:lineRule="auto"/>
        <w:ind w:firstLine="567"/>
        <w:jc w:val="both"/>
        <w:rPr>
          <w:rFonts w:asciiTheme="majorHAnsi" w:eastAsia="Times New Roman" w:hAnsiTheme="majorHAnsi" w:cstheme="majorHAnsi"/>
          <w:sz w:val="28"/>
          <w:szCs w:val="28"/>
          <w:lang w:val="ro-MD"/>
        </w:rPr>
      </w:pP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Gestionarea colectării </w:t>
      </w:r>
      <w:r w:rsidR="00831C7F"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de la plătitori, evidenţa </w:t>
      </w:r>
      <w:r w:rsidR="00831C7F"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calculele </w:t>
      </w:r>
      <w:r w:rsidR="00831C7F" w:rsidRPr="002751FC">
        <w:rPr>
          <w:rFonts w:asciiTheme="majorHAnsi" w:eastAsia="Times New Roman" w:hAnsiTheme="majorHAnsi" w:cstheme="majorHAnsi"/>
          <w:sz w:val="28"/>
          <w:szCs w:val="28"/>
          <w:lang w:val="ro-MD"/>
        </w:rPr>
        <w:t>penalităților</w:t>
      </w:r>
      <w:r w:rsidRPr="002751FC">
        <w:rPr>
          <w:rFonts w:asciiTheme="majorHAnsi" w:eastAsia="Times New Roman" w:hAnsiTheme="majorHAnsi" w:cstheme="majorHAnsi"/>
          <w:sz w:val="28"/>
          <w:szCs w:val="28"/>
          <w:lang w:val="ro-MD"/>
        </w:rPr>
        <w:t>, precum şi urmărirea datoriilor către Fond se efectuează de către SFS</w:t>
      </w:r>
      <w:r w:rsidR="006530B9"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similar modului stabilit conform </w:t>
      </w:r>
      <w:r w:rsidR="00831C7F" w:rsidRPr="002751FC">
        <w:rPr>
          <w:rFonts w:asciiTheme="majorHAnsi" w:eastAsia="Times New Roman" w:hAnsiTheme="majorHAnsi" w:cstheme="majorHAnsi"/>
          <w:sz w:val="28"/>
          <w:szCs w:val="28"/>
          <w:lang w:val="ro-MD"/>
        </w:rPr>
        <w:t>legislației</w:t>
      </w:r>
      <w:r w:rsidRPr="002751FC">
        <w:rPr>
          <w:rFonts w:asciiTheme="majorHAnsi" w:eastAsia="Times New Roman" w:hAnsiTheme="majorHAnsi" w:cstheme="majorHAnsi"/>
          <w:sz w:val="28"/>
          <w:szCs w:val="28"/>
          <w:lang w:val="ro-MD"/>
        </w:rPr>
        <w:t xml:space="preserve"> fiscale pentru administrarea impozitelor şi taxelor.</w:t>
      </w:r>
    </w:p>
    <w:p w:rsidR="00D61DBF" w:rsidRPr="002751FC" w:rsidRDefault="00D61DBF" w:rsidP="00243401">
      <w:pPr>
        <w:spacing w:after="0" w:line="240" w:lineRule="auto"/>
        <w:jc w:val="both"/>
        <w:rPr>
          <w:rFonts w:asciiTheme="majorHAnsi" w:eastAsia="Times New Roman" w:hAnsiTheme="majorHAnsi" w:cstheme="majorHAnsi"/>
          <w:sz w:val="28"/>
          <w:szCs w:val="28"/>
          <w:lang w:val="ro-MD"/>
        </w:rPr>
      </w:pP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r w:rsidRPr="0065324C">
        <w:rPr>
          <w:rFonts w:asciiTheme="majorHAnsi" w:eastAsia="Times New Roman" w:hAnsiTheme="majorHAnsi" w:cstheme="majorHAnsi"/>
          <w:sz w:val="28"/>
          <w:szCs w:val="28"/>
          <w:lang w:val="ro-MD"/>
        </w:rPr>
        <w:t xml:space="preserve">Contribuabilii calculează de sine stătător sumele datorate către FVV şi efectuează plata în decurs de cel mult 120 de zile calendaristice de la ziua intervenirii </w:t>
      </w:r>
      <w:r w:rsidR="00831C7F" w:rsidRPr="0065324C">
        <w:rPr>
          <w:rFonts w:asciiTheme="majorHAnsi" w:eastAsia="Times New Roman" w:hAnsiTheme="majorHAnsi" w:cstheme="majorHAnsi"/>
          <w:sz w:val="28"/>
          <w:szCs w:val="28"/>
          <w:lang w:val="ro-MD"/>
        </w:rPr>
        <w:t>obligativității</w:t>
      </w:r>
      <w:r w:rsidRPr="0065324C">
        <w:rPr>
          <w:rFonts w:asciiTheme="majorHAnsi" w:eastAsia="Times New Roman" w:hAnsiTheme="majorHAnsi" w:cstheme="majorHAnsi"/>
          <w:sz w:val="28"/>
          <w:szCs w:val="28"/>
          <w:lang w:val="ro-MD"/>
        </w:rPr>
        <w:t xml:space="preserve"> plăţii </w:t>
      </w:r>
      <w:r w:rsidR="00831C7F" w:rsidRPr="0065324C">
        <w:rPr>
          <w:rFonts w:asciiTheme="majorHAnsi" w:eastAsia="Times New Roman" w:hAnsiTheme="majorHAnsi" w:cstheme="majorHAnsi"/>
          <w:sz w:val="28"/>
          <w:szCs w:val="28"/>
          <w:lang w:val="ro-MD"/>
        </w:rPr>
        <w:t>contribuțiilor</w:t>
      </w:r>
      <w:r w:rsidRPr="0065324C">
        <w:rPr>
          <w:rFonts w:asciiTheme="majorHAnsi" w:eastAsia="Times New Roman" w:hAnsiTheme="majorHAnsi" w:cstheme="majorHAnsi"/>
          <w:sz w:val="28"/>
          <w:szCs w:val="28"/>
          <w:lang w:val="ro-MD"/>
        </w:rPr>
        <w:t xml:space="preserve">. În </w:t>
      </w:r>
      <w:r w:rsidR="00831C7F" w:rsidRPr="0065324C">
        <w:rPr>
          <w:rFonts w:asciiTheme="majorHAnsi" w:eastAsia="Times New Roman" w:hAnsiTheme="majorHAnsi" w:cstheme="majorHAnsi"/>
          <w:sz w:val="28"/>
          <w:szCs w:val="28"/>
          <w:lang w:val="ro-MD"/>
        </w:rPr>
        <w:t>același</w:t>
      </w:r>
      <w:r w:rsidRPr="0065324C">
        <w:rPr>
          <w:rFonts w:asciiTheme="majorHAnsi" w:eastAsia="Times New Roman" w:hAnsiTheme="majorHAnsi" w:cstheme="majorHAnsi"/>
          <w:sz w:val="28"/>
          <w:szCs w:val="28"/>
          <w:lang w:val="ro-MD"/>
        </w:rPr>
        <w:t xml:space="preserve"> termen, contribuabilul prezintă SFS calculul </w:t>
      </w:r>
      <w:r w:rsidR="00831C7F" w:rsidRPr="0065324C">
        <w:rPr>
          <w:rFonts w:asciiTheme="majorHAnsi" w:eastAsia="Times New Roman" w:hAnsiTheme="majorHAnsi" w:cstheme="majorHAnsi"/>
          <w:sz w:val="28"/>
          <w:szCs w:val="28"/>
          <w:lang w:val="ro-MD"/>
        </w:rPr>
        <w:t>contribuției</w:t>
      </w:r>
      <w:r w:rsidRPr="0065324C">
        <w:rPr>
          <w:rFonts w:asciiTheme="majorHAnsi" w:eastAsia="Times New Roman" w:hAnsiTheme="majorHAnsi" w:cstheme="majorHAnsi"/>
          <w:sz w:val="28"/>
          <w:szCs w:val="28"/>
          <w:lang w:val="ro-MD"/>
        </w:rPr>
        <w:t xml:space="preserve"> conform unui formular tipizat</w:t>
      </w:r>
      <w:r w:rsidRPr="0065324C">
        <w:rPr>
          <w:rStyle w:val="ab"/>
          <w:rFonts w:asciiTheme="majorHAnsi" w:hAnsiTheme="majorHAnsi" w:cstheme="majorHAnsi"/>
          <w:sz w:val="28"/>
          <w:szCs w:val="28"/>
          <w:lang w:val="ro-MD"/>
        </w:rPr>
        <w:footnoteReference w:id="101"/>
      </w:r>
      <w:r w:rsidRPr="0065324C">
        <w:rPr>
          <w:rFonts w:asciiTheme="majorHAnsi" w:eastAsia="Times New Roman" w:hAnsiTheme="majorHAnsi" w:cstheme="majorHAnsi"/>
          <w:sz w:val="28"/>
          <w:szCs w:val="28"/>
          <w:lang w:val="ro-MD"/>
        </w:rPr>
        <w:t xml:space="preserve">, aprobat de către SFS, dar nu mai </w:t>
      </w:r>
      <w:r w:rsidR="00831C7F" w:rsidRPr="0065324C">
        <w:rPr>
          <w:rFonts w:asciiTheme="majorHAnsi" w:eastAsia="Times New Roman" w:hAnsiTheme="majorHAnsi" w:cstheme="majorHAnsi"/>
          <w:sz w:val="28"/>
          <w:szCs w:val="28"/>
          <w:lang w:val="ro-MD"/>
        </w:rPr>
        <w:t>târziu</w:t>
      </w:r>
      <w:r w:rsidRPr="0065324C">
        <w:rPr>
          <w:rFonts w:asciiTheme="majorHAnsi" w:eastAsia="Times New Roman" w:hAnsiTheme="majorHAnsi" w:cstheme="majorHAnsi"/>
          <w:sz w:val="28"/>
          <w:szCs w:val="28"/>
          <w:lang w:val="ro-MD"/>
        </w:rPr>
        <w:t xml:space="preserve"> de data de 20 a lunii următoare după încheierea perioadei de raportare de 120 de zile.</w:t>
      </w:r>
    </w:p>
    <w:p w:rsidR="002B0C1F" w:rsidRPr="002751FC" w:rsidRDefault="002B0C1F" w:rsidP="00243401">
      <w:pPr>
        <w:spacing w:after="0" w:line="240" w:lineRule="auto"/>
        <w:ind w:firstLine="567"/>
        <w:jc w:val="both"/>
        <w:rPr>
          <w:rFonts w:asciiTheme="majorHAnsi" w:eastAsia="Times New Roman" w:hAnsiTheme="majorHAnsi" w:cstheme="majorHAnsi"/>
          <w:sz w:val="28"/>
          <w:szCs w:val="28"/>
          <w:lang w:val="ro-MD"/>
        </w:rPr>
      </w:pP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Analiza și probele colectate de audit au relevat că dificultate</w:t>
      </w:r>
      <w:r w:rsidR="00151901" w:rsidRPr="002751FC">
        <w:rPr>
          <w:rFonts w:asciiTheme="majorHAnsi" w:eastAsia="Times New Roman" w:hAnsiTheme="majorHAnsi" w:cstheme="majorHAnsi"/>
          <w:sz w:val="28"/>
          <w:szCs w:val="28"/>
          <w:lang w:val="ro-MD"/>
        </w:rPr>
        <w:t xml:space="preserve">a </w:t>
      </w:r>
      <w:r w:rsidR="006E1051" w:rsidRPr="002751FC">
        <w:rPr>
          <w:rFonts w:asciiTheme="majorHAnsi" w:eastAsia="Times New Roman" w:hAnsiTheme="majorHAnsi" w:cstheme="majorHAnsi"/>
          <w:sz w:val="28"/>
          <w:szCs w:val="28"/>
          <w:lang w:val="ro-MD"/>
        </w:rPr>
        <w:t xml:space="preserve">mecanismului de gestionare a contribuțiilor în FVV </w:t>
      </w:r>
      <w:r w:rsidR="00151901" w:rsidRPr="002751FC">
        <w:rPr>
          <w:rFonts w:asciiTheme="majorHAnsi" w:eastAsia="Times New Roman" w:hAnsiTheme="majorHAnsi" w:cstheme="majorHAnsi"/>
          <w:sz w:val="28"/>
          <w:szCs w:val="28"/>
          <w:lang w:val="ro-MD"/>
        </w:rPr>
        <w:t>const</w:t>
      </w:r>
      <w:r w:rsidR="006E1051" w:rsidRPr="002751FC">
        <w:rPr>
          <w:rFonts w:asciiTheme="majorHAnsi" w:eastAsia="Times New Roman" w:hAnsiTheme="majorHAnsi" w:cstheme="majorHAnsi"/>
          <w:sz w:val="28"/>
          <w:szCs w:val="28"/>
          <w:lang w:val="ro-MD"/>
        </w:rPr>
        <w:t>ă</w:t>
      </w:r>
      <w:r w:rsidR="00151901" w:rsidRPr="002751FC">
        <w:rPr>
          <w:rFonts w:asciiTheme="majorHAnsi" w:eastAsia="Times New Roman" w:hAnsiTheme="majorHAnsi" w:cstheme="majorHAnsi"/>
          <w:sz w:val="28"/>
          <w:szCs w:val="28"/>
          <w:lang w:val="ro-MD"/>
        </w:rPr>
        <w:t xml:space="preserve"> în</w:t>
      </w:r>
      <w:r w:rsidRPr="002751FC">
        <w:rPr>
          <w:rFonts w:asciiTheme="majorHAnsi" w:eastAsia="Times New Roman" w:hAnsiTheme="majorHAnsi" w:cstheme="majorHAnsi"/>
          <w:sz w:val="28"/>
          <w:szCs w:val="28"/>
          <w:lang w:val="ro-MD"/>
        </w:rPr>
        <w:t xml:space="preserve"> monitorizarea termenului de la care apare obligațiunea față de buget</w:t>
      </w:r>
      <w:r w:rsidR="00151901" w:rsidRPr="002751FC">
        <w:rPr>
          <w:rFonts w:asciiTheme="majorHAnsi" w:eastAsia="Times New Roman" w:hAnsiTheme="majorHAnsi" w:cstheme="majorHAnsi"/>
          <w:sz w:val="28"/>
          <w:szCs w:val="28"/>
          <w:lang w:val="ro-MD"/>
        </w:rPr>
        <w:t xml:space="preserve">, și anume </w:t>
      </w:r>
      <w:r w:rsidRPr="002751FC">
        <w:rPr>
          <w:rFonts w:asciiTheme="majorHAnsi" w:eastAsia="Times New Roman" w:hAnsiTheme="majorHAnsi" w:cstheme="majorHAnsi"/>
          <w:sz w:val="28"/>
          <w:szCs w:val="28"/>
          <w:lang w:val="ro-MD"/>
        </w:rPr>
        <w:t>120 de zile calendaristice din ziua eliber</w:t>
      </w:r>
      <w:r w:rsidR="006530B9" w:rsidRPr="002751FC">
        <w:rPr>
          <w:rFonts w:asciiTheme="majorHAnsi" w:eastAsia="Times New Roman" w:hAnsiTheme="majorHAnsi" w:cstheme="majorHAnsi"/>
          <w:sz w:val="28"/>
          <w:szCs w:val="28"/>
          <w:lang w:val="ro-MD"/>
        </w:rPr>
        <w:t>ării</w:t>
      </w:r>
      <w:r w:rsidRPr="002751FC">
        <w:rPr>
          <w:rFonts w:asciiTheme="majorHAnsi" w:eastAsia="Times New Roman" w:hAnsiTheme="majorHAnsi" w:cstheme="majorHAnsi"/>
          <w:sz w:val="28"/>
          <w:szCs w:val="28"/>
          <w:lang w:val="ro-MD"/>
        </w:rPr>
        <w:t xml:space="preserve"> facturii fiscale. </w:t>
      </w: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Deși SFS, în scopul asigurării administrării contribuțiilor în FVV, a specificat în Modul de completare și prezentare a Dării de seamă privind calcularea contribuției obligatorii în FVV că darea de seamă (form</w:t>
      </w:r>
      <w:r w:rsidR="00882182" w:rsidRPr="002751FC">
        <w:rPr>
          <w:rFonts w:asciiTheme="majorHAnsi" w:eastAsia="Times New Roman" w:hAnsiTheme="majorHAnsi" w:cstheme="majorHAnsi"/>
          <w:sz w:val="28"/>
          <w:szCs w:val="28"/>
          <w:lang w:val="ro-MD"/>
        </w:rPr>
        <w:t>ularul</w:t>
      </w:r>
      <w:r w:rsidRPr="002751FC">
        <w:rPr>
          <w:rFonts w:asciiTheme="majorHAnsi" w:eastAsia="Times New Roman" w:hAnsiTheme="majorHAnsi" w:cstheme="majorHAnsi"/>
          <w:sz w:val="28"/>
          <w:szCs w:val="28"/>
          <w:lang w:val="ro-MD"/>
        </w:rPr>
        <w:t xml:space="preserve"> CFV) se prezintă către data de 20 a lunii următoare după închei</w:t>
      </w:r>
      <w:r w:rsidR="00151901" w:rsidRPr="002751FC">
        <w:rPr>
          <w:rFonts w:asciiTheme="majorHAnsi" w:eastAsia="Times New Roman" w:hAnsiTheme="majorHAnsi" w:cstheme="majorHAnsi"/>
          <w:sz w:val="28"/>
          <w:szCs w:val="28"/>
          <w:lang w:val="ro-MD"/>
        </w:rPr>
        <w:t xml:space="preserve">erea perioadei de raportare de </w:t>
      </w:r>
      <w:r w:rsidRPr="002751FC">
        <w:rPr>
          <w:rFonts w:asciiTheme="majorHAnsi" w:eastAsia="Times New Roman" w:hAnsiTheme="majorHAnsi" w:cstheme="majorHAnsi"/>
          <w:sz w:val="28"/>
          <w:szCs w:val="28"/>
          <w:lang w:val="ro-MD"/>
        </w:rPr>
        <w:t xml:space="preserve">120 zile, </w:t>
      </w:r>
      <w:r w:rsidR="00151901" w:rsidRPr="002751FC">
        <w:rPr>
          <w:rFonts w:asciiTheme="majorHAnsi" w:eastAsia="Times New Roman" w:hAnsiTheme="majorHAnsi" w:cstheme="majorHAnsi"/>
          <w:sz w:val="28"/>
          <w:szCs w:val="28"/>
          <w:lang w:val="ro-MD"/>
        </w:rPr>
        <w:t>introducând</w:t>
      </w:r>
      <w:r w:rsidRPr="002751FC">
        <w:rPr>
          <w:rFonts w:asciiTheme="majorHAnsi" w:eastAsia="Times New Roman" w:hAnsiTheme="majorHAnsi" w:cstheme="majorHAnsi"/>
          <w:sz w:val="28"/>
          <w:szCs w:val="28"/>
          <w:lang w:val="ro-MD"/>
        </w:rPr>
        <w:t xml:space="preserve"> 3 perioade de raportare discrete: (</w:t>
      </w:r>
      <w:r w:rsidR="00882182" w:rsidRPr="002751FC">
        <w:rPr>
          <w:rFonts w:asciiTheme="majorHAnsi" w:eastAsia="Times New Roman" w:hAnsiTheme="majorHAnsi" w:cstheme="majorHAnsi"/>
          <w:sz w:val="28"/>
          <w:szCs w:val="28"/>
          <w:lang w:val="ro-MD"/>
        </w:rPr>
        <w:t>i)</w:t>
      </w:r>
      <w:r w:rsidRPr="002751FC">
        <w:rPr>
          <w:rFonts w:asciiTheme="majorHAnsi" w:eastAsia="Times New Roman" w:hAnsiTheme="majorHAnsi" w:cstheme="majorHAnsi"/>
          <w:sz w:val="28"/>
          <w:szCs w:val="28"/>
          <w:lang w:val="ro-MD"/>
        </w:rPr>
        <w:t xml:space="preserve"> 01 ianuarie</w:t>
      </w:r>
      <w:r w:rsidR="00882182"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w:t>
      </w:r>
      <w:r w:rsidR="00882182"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 xml:space="preserve">30 aprilie, </w:t>
      </w:r>
      <w:r w:rsidR="00882182" w:rsidRPr="002751FC">
        <w:rPr>
          <w:rFonts w:asciiTheme="majorHAnsi" w:eastAsia="Times New Roman" w:hAnsiTheme="majorHAnsi" w:cstheme="majorHAnsi"/>
          <w:sz w:val="28"/>
          <w:szCs w:val="28"/>
          <w:lang w:val="ro-MD"/>
        </w:rPr>
        <w:t>ii)</w:t>
      </w:r>
      <w:r w:rsidRPr="002751FC">
        <w:rPr>
          <w:rFonts w:asciiTheme="majorHAnsi" w:eastAsia="Times New Roman" w:hAnsiTheme="majorHAnsi" w:cstheme="majorHAnsi"/>
          <w:sz w:val="28"/>
          <w:szCs w:val="28"/>
          <w:lang w:val="ro-MD"/>
        </w:rPr>
        <w:t xml:space="preserve"> 01 mai</w:t>
      </w:r>
      <w:r w:rsidR="00882182"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w:t>
      </w:r>
      <w:r w:rsidR="00882182"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 xml:space="preserve">31 august, </w:t>
      </w:r>
      <w:r w:rsidR="00882182" w:rsidRPr="002751FC">
        <w:rPr>
          <w:rFonts w:asciiTheme="majorHAnsi" w:eastAsia="Times New Roman" w:hAnsiTheme="majorHAnsi" w:cstheme="majorHAnsi"/>
          <w:sz w:val="28"/>
          <w:szCs w:val="28"/>
          <w:lang w:val="ro-MD"/>
        </w:rPr>
        <w:t>iii)</w:t>
      </w:r>
      <w:r w:rsidRPr="002751FC">
        <w:rPr>
          <w:rFonts w:asciiTheme="majorHAnsi" w:eastAsia="Times New Roman" w:hAnsiTheme="majorHAnsi" w:cstheme="majorHAnsi"/>
          <w:sz w:val="28"/>
          <w:szCs w:val="28"/>
          <w:lang w:val="ro-MD"/>
        </w:rPr>
        <w:t xml:space="preserve"> 01 septembrie</w:t>
      </w:r>
      <w:r w:rsidR="00882182"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w:t>
      </w:r>
      <w:r w:rsidR="00882182"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 xml:space="preserve">31 decembrie), mecanismul propus de cadrul regulator, și anume </w:t>
      </w:r>
      <w:r w:rsidR="00882182" w:rsidRPr="002751FC">
        <w:rPr>
          <w:rFonts w:asciiTheme="majorHAnsi" w:eastAsia="Times New Roman" w:hAnsiTheme="majorHAnsi" w:cstheme="majorHAnsi"/>
          <w:sz w:val="28"/>
          <w:szCs w:val="28"/>
          <w:lang w:val="ro-MD"/>
        </w:rPr>
        <w:t xml:space="preserve">de </w:t>
      </w:r>
      <w:r w:rsidRPr="002751FC">
        <w:rPr>
          <w:rFonts w:asciiTheme="majorHAnsi" w:eastAsia="Times New Roman" w:hAnsiTheme="majorHAnsi" w:cstheme="majorHAnsi"/>
          <w:sz w:val="28"/>
          <w:szCs w:val="28"/>
          <w:lang w:val="ro-MD"/>
        </w:rPr>
        <w:t>120 de zile calendaristice din ziua eliber</w:t>
      </w:r>
      <w:r w:rsidR="00882182" w:rsidRPr="002751FC">
        <w:rPr>
          <w:rFonts w:asciiTheme="majorHAnsi" w:eastAsia="Times New Roman" w:hAnsiTheme="majorHAnsi" w:cstheme="majorHAnsi"/>
          <w:sz w:val="28"/>
          <w:szCs w:val="28"/>
          <w:lang w:val="ro-MD"/>
        </w:rPr>
        <w:t>ării</w:t>
      </w:r>
      <w:r w:rsidRPr="002751FC">
        <w:rPr>
          <w:rFonts w:asciiTheme="majorHAnsi" w:eastAsia="Times New Roman" w:hAnsiTheme="majorHAnsi" w:cstheme="majorHAnsi"/>
          <w:sz w:val="28"/>
          <w:szCs w:val="28"/>
          <w:lang w:val="ro-MD"/>
        </w:rPr>
        <w:t xml:space="preserve"> facturii fiscale, este un termen dificil de administrat și urmări</w:t>
      </w:r>
      <w:r w:rsidR="00151901" w:rsidRPr="002751FC">
        <w:rPr>
          <w:rFonts w:asciiTheme="majorHAnsi" w:eastAsia="Times New Roman" w:hAnsiTheme="majorHAnsi" w:cstheme="majorHAnsi"/>
          <w:sz w:val="28"/>
          <w:szCs w:val="28"/>
          <w:lang w:val="ro-MD"/>
        </w:rPr>
        <w:t>t</w:t>
      </w:r>
      <w:r w:rsidR="00882182" w:rsidRPr="002751FC">
        <w:rPr>
          <w:rFonts w:asciiTheme="majorHAnsi" w:eastAsia="Times New Roman" w:hAnsiTheme="majorHAnsi" w:cstheme="majorHAnsi"/>
          <w:sz w:val="28"/>
          <w:szCs w:val="28"/>
          <w:lang w:val="ro-MD"/>
        </w:rPr>
        <w:t>. Termenul respectiv</w:t>
      </w:r>
      <w:r w:rsidRPr="002751FC">
        <w:rPr>
          <w:rFonts w:asciiTheme="majorHAnsi" w:eastAsia="Times New Roman" w:hAnsiTheme="majorHAnsi" w:cstheme="majorHAnsi"/>
          <w:sz w:val="28"/>
          <w:szCs w:val="28"/>
          <w:lang w:val="ro-MD"/>
        </w:rPr>
        <w:t xml:space="preserve"> nu se încadrează în algoritm</w:t>
      </w:r>
      <w:r w:rsidR="00882182" w:rsidRPr="002751FC">
        <w:rPr>
          <w:rFonts w:asciiTheme="majorHAnsi" w:eastAsia="Times New Roman" w:hAnsiTheme="majorHAnsi" w:cstheme="majorHAnsi"/>
          <w:sz w:val="28"/>
          <w:szCs w:val="28"/>
          <w:lang w:val="ro-MD"/>
        </w:rPr>
        <w:t>ul</w:t>
      </w:r>
      <w:r w:rsidRPr="002751FC">
        <w:rPr>
          <w:rFonts w:asciiTheme="majorHAnsi" w:eastAsia="Times New Roman" w:hAnsiTheme="majorHAnsi" w:cstheme="majorHAnsi"/>
          <w:sz w:val="28"/>
          <w:szCs w:val="28"/>
          <w:lang w:val="ro-MD"/>
        </w:rPr>
        <w:t xml:space="preserve"> metodelor automatizate de raportare electronic</w:t>
      </w:r>
      <w:r w:rsidR="00151901" w:rsidRPr="002751FC">
        <w:rPr>
          <w:rFonts w:asciiTheme="majorHAnsi" w:eastAsia="Times New Roman" w:hAnsiTheme="majorHAnsi" w:cstheme="majorHAnsi"/>
          <w:sz w:val="28"/>
          <w:szCs w:val="28"/>
          <w:lang w:val="ro-MD"/>
        </w:rPr>
        <w:t>ă</w:t>
      </w:r>
      <w:r w:rsidRPr="002751FC">
        <w:rPr>
          <w:rFonts w:asciiTheme="majorHAnsi" w:eastAsia="Times New Roman" w:hAnsiTheme="majorHAnsi" w:cstheme="majorHAnsi"/>
          <w:sz w:val="28"/>
          <w:szCs w:val="28"/>
          <w:lang w:val="ro-MD"/>
        </w:rPr>
        <w:t xml:space="preserve">, </w:t>
      </w:r>
      <w:r w:rsidR="00882182" w:rsidRPr="002751FC">
        <w:rPr>
          <w:rFonts w:asciiTheme="majorHAnsi" w:eastAsia="Times New Roman" w:hAnsiTheme="majorHAnsi" w:cstheme="majorHAnsi"/>
          <w:sz w:val="28"/>
          <w:szCs w:val="28"/>
          <w:lang w:val="ro-MD"/>
        </w:rPr>
        <w:t>așa cum este</w:t>
      </w:r>
      <w:r w:rsidRPr="002751FC">
        <w:rPr>
          <w:rFonts w:asciiTheme="majorHAnsi" w:eastAsia="Times New Roman" w:hAnsiTheme="majorHAnsi" w:cstheme="majorHAnsi"/>
          <w:sz w:val="28"/>
          <w:szCs w:val="28"/>
          <w:lang w:val="ro-MD"/>
        </w:rPr>
        <w:t xml:space="preserve"> stabilit în art.187 alin.(2</w:t>
      </w:r>
      <w:r w:rsidRPr="002751FC">
        <w:rPr>
          <w:rFonts w:asciiTheme="majorHAnsi" w:eastAsia="Times New Roman" w:hAnsiTheme="majorHAnsi" w:cstheme="majorHAnsi"/>
          <w:sz w:val="28"/>
          <w:szCs w:val="28"/>
          <w:vertAlign w:val="superscript"/>
          <w:lang w:val="ro-MD"/>
        </w:rPr>
        <w:t>1</w:t>
      </w:r>
      <w:r w:rsidR="00151901"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din Codu</w:t>
      </w:r>
      <w:r w:rsidR="00151901" w:rsidRPr="002751FC">
        <w:rPr>
          <w:rFonts w:asciiTheme="majorHAnsi" w:eastAsia="Times New Roman" w:hAnsiTheme="majorHAnsi" w:cstheme="majorHAnsi"/>
          <w:sz w:val="28"/>
          <w:szCs w:val="28"/>
          <w:lang w:val="ro-MD"/>
        </w:rPr>
        <w:t>l fiscal</w:t>
      </w:r>
      <w:r w:rsidR="00882182" w:rsidRPr="002751FC">
        <w:rPr>
          <w:rFonts w:asciiTheme="majorHAnsi" w:eastAsia="Times New Roman" w:hAnsiTheme="majorHAnsi" w:cstheme="majorHAnsi"/>
          <w:sz w:val="28"/>
          <w:szCs w:val="28"/>
          <w:lang w:val="ro-MD"/>
        </w:rPr>
        <w:t>,</w:t>
      </w:r>
      <w:r w:rsidR="00151901" w:rsidRPr="002751FC">
        <w:rPr>
          <w:rFonts w:asciiTheme="majorHAnsi" w:eastAsia="Times New Roman" w:hAnsiTheme="majorHAnsi" w:cstheme="majorHAnsi"/>
          <w:sz w:val="28"/>
          <w:szCs w:val="28"/>
          <w:lang w:val="ro-MD"/>
        </w:rPr>
        <w:t xml:space="preserve"> sau pe sup</w:t>
      </w:r>
      <w:r w:rsidRPr="002751FC">
        <w:rPr>
          <w:rFonts w:asciiTheme="majorHAnsi" w:eastAsia="Times New Roman" w:hAnsiTheme="majorHAnsi" w:cstheme="majorHAnsi"/>
          <w:sz w:val="28"/>
          <w:szCs w:val="28"/>
          <w:lang w:val="ro-MD"/>
        </w:rPr>
        <w:t xml:space="preserve">ort de </w:t>
      </w:r>
      <w:r w:rsidR="00151901" w:rsidRPr="002751FC">
        <w:rPr>
          <w:rFonts w:asciiTheme="majorHAnsi" w:eastAsia="Times New Roman" w:hAnsiTheme="majorHAnsi" w:cstheme="majorHAnsi"/>
          <w:sz w:val="28"/>
          <w:szCs w:val="28"/>
          <w:lang w:val="ro-MD"/>
        </w:rPr>
        <w:t>hârtie</w:t>
      </w:r>
      <w:r w:rsidRPr="002751FC">
        <w:rPr>
          <w:rStyle w:val="ab"/>
          <w:rFonts w:asciiTheme="majorHAnsi" w:hAnsiTheme="majorHAnsi" w:cstheme="majorHAnsi"/>
          <w:sz w:val="28"/>
          <w:szCs w:val="28"/>
          <w:lang w:val="ro-MD"/>
        </w:rPr>
        <w:footnoteReference w:id="102"/>
      </w:r>
      <w:r w:rsidR="00882182"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stabilit de SFS pentru administrarea impozitelor și taxelor.</w:t>
      </w: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p>
    <w:p w:rsidR="002B0C1F" w:rsidRPr="002751FC" w:rsidRDefault="002B0C1F" w:rsidP="00243401">
      <w:pPr>
        <w:shd w:val="clear" w:color="auto" w:fill="FFFFFF" w:themeFill="background1"/>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Astfel, pentru a realiza mecanismul propus și pentru a verifica </w:t>
      </w:r>
      <w:r w:rsidR="00B13BCD" w:rsidRPr="002751FC">
        <w:rPr>
          <w:rFonts w:asciiTheme="majorHAnsi" w:eastAsia="Times New Roman" w:hAnsiTheme="majorHAnsi" w:cstheme="majorHAnsi"/>
          <w:sz w:val="28"/>
          <w:szCs w:val="28"/>
          <w:lang w:val="ro-MD"/>
        </w:rPr>
        <w:t>veridicitatea</w:t>
      </w:r>
      <w:r w:rsidRPr="002751FC">
        <w:rPr>
          <w:rFonts w:asciiTheme="majorHAnsi" w:eastAsia="Times New Roman" w:hAnsiTheme="majorHAnsi" w:cstheme="majorHAnsi"/>
          <w:sz w:val="28"/>
          <w:szCs w:val="28"/>
          <w:lang w:val="ro-MD"/>
        </w:rPr>
        <w:t xml:space="preserve"> datelor declarate de contribuabili, este necesar ca angajații SFS să se deplaseze la fața locului ca să verifice fizic data livrării/comercializării mă</w:t>
      </w:r>
      <w:r w:rsidR="00B13BCD" w:rsidRPr="002751FC">
        <w:rPr>
          <w:rFonts w:asciiTheme="majorHAnsi" w:eastAsia="Times New Roman" w:hAnsiTheme="majorHAnsi" w:cstheme="majorHAnsi"/>
          <w:sz w:val="28"/>
          <w:szCs w:val="28"/>
          <w:lang w:val="ro-MD"/>
        </w:rPr>
        <w:t>r</w:t>
      </w:r>
      <w:r w:rsidRPr="002751FC">
        <w:rPr>
          <w:rFonts w:asciiTheme="majorHAnsi" w:eastAsia="Times New Roman" w:hAnsiTheme="majorHAnsi" w:cstheme="majorHAnsi"/>
          <w:sz w:val="28"/>
          <w:szCs w:val="28"/>
          <w:lang w:val="ro-MD"/>
        </w:rPr>
        <w:t>furilor în baza documentelor primare, deoarece, în condiții</w:t>
      </w:r>
      <w:r w:rsidR="00882182" w:rsidRPr="002751FC">
        <w:rPr>
          <w:rFonts w:asciiTheme="majorHAnsi" w:eastAsia="Times New Roman" w:hAnsiTheme="majorHAnsi" w:cstheme="majorHAnsi"/>
          <w:sz w:val="28"/>
          <w:szCs w:val="28"/>
          <w:lang w:val="ro-MD"/>
        </w:rPr>
        <w:t>le</w:t>
      </w:r>
      <w:r w:rsidRPr="002751FC">
        <w:rPr>
          <w:rFonts w:asciiTheme="majorHAnsi" w:eastAsia="Times New Roman" w:hAnsiTheme="majorHAnsi" w:cstheme="majorHAnsi"/>
          <w:sz w:val="28"/>
          <w:szCs w:val="28"/>
          <w:lang w:val="ro-MD"/>
        </w:rPr>
        <w:t xml:space="preserve"> propuse (120 zile)</w:t>
      </w:r>
      <w:r w:rsidR="00B13BCD" w:rsidRPr="002751FC">
        <w:rPr>
          <w:rFonts w:asciiTheme="majorHAnsi" w:eastAsia="Times New Roman" w:hAnsiTheme="majorHAnsi" w:cstheme="majorHAnsi"/>
          <w:sz w:val="28"/>
          <w:szCs w:val="28"/>
          <w:lang w:val="ro-MD"/>
        </w:rPr>
        <w:t xml:space="preserve">, SI </w:t>
      </w:r>
      <w:r w:rsidRPr="002751FC">
        <w:rPr>
          <w:rFonts w:asciiTheme="majorHAnsi" w:eastAsia="Times New Roman" w:hAnsiTheme="majorHAnsi" w:cstheme="majorHAnsi"/>
          <w:sz w:val="28"/>
          <w:szCs w:val="28"/>
          <w:lang w:val="ro-MD"/>
        </w:rPr>
        <w:t>al SFS nu poate calcul</w:t>
      </w:r>
      <w:r w:rsidR="00882182" w:rsidRPr="002751FC">
        <w:rPr>
          <w:rFonts w:asciiTheme="majorHAnsi" w:eastAsia="Times New Roman" w:hAnsiTheme="majorHAnsi" w:cstheme="majorHAnsi"/>
          <w:sz w:val="28"/>
          <w:szCs w:val="28"/>
          <w:lang w:val="ro-MD"/>
        </w:rPr>
        <w:t>a</w:t>
      </w:r>
      <w:r w:rsidRPr="002751FC">
        <w:rPr>
          <w:rFonts w:asciiTheme="majorHAnsi" w:eastAsia="Times New Roman" w:hAnsiTheme="majorHAnsi" w:cstheme="majorHAnsi"/>
          <w:sz w:val="28"/>
          <w:szCs w:val="28"/>
          <w:lang w:val="ro-MD"/>
        </w:rPr>
        <w:t xml:space="preserve"> nici data începerii curgerii obligațiunii de bază, nici penalități</w:t>
      </w:r>
      <w:r w:rsidR="00D16AAF" w:rsidRPr="002751FC">
        <w:rPr>
          <w:rFonts w:asciiTheme="majorHAnsi" w:eastAsia="Times New Roman" w:hAnsiTheme="majorHAnsi" w:cstheme="majorHAnsi"/>
          <w:sz w:val="28"/>
          <w:szCs w:val="28"/>
          <w:lang w:val="ro-MD"/>
        </w:rPr>
        <w:t>le</w:t>
      </w:r>
      <w:r w:rsidRPr="002751FC">
        <w:rPr>
          <w:rFonts w:asciiTheme="majorHAnsi" w:eastAsia="Times New Roman" w:hAnsiTheme="majorHAnsi" w:cstheme="majorHAnsi"/>
          <w:sz w:val="28"/>
          <w:szCs w:val="28"/>
          <w:lang w:val="ro-MD"/>
        </w:rPr>
        <w:t xml:space="preserve"> pentru </w:t>
      </w:r>
      <w:r w:rsidR="00D16AAF" w:rsidRPr="002751FC">
        <w:rPr>
          <w:rFonts w:asciiTheme="majorHAnsi" w:eastAsia="Times New Roman" w:hAnsiTheme="majorHAnsi" w:cstheme="majorHAnsi"/>
          <w:sz w:val="28"/>
          <w:szCs w:val="28"/>
          <w:lang w:val="ro-MD"/>
        </w:rPr>
        <w:t>întârziere</w:t>
      </w:r>
      <w:r w:rsidRPr="002751FC">
        <w:rPr>
          <w:rFonts w:asciiTheme="majorHAnsi" w:eastAsia="Times New Roman" w:hAnsiTheme="majorHAnsi" w:cstheme="majorHAnsi"/>
          <w:sz w:val="28"/>
          <w:szCs w:val="28"/>
          <w:lang w:val="ro-MD"/>
        </w:rPr>
        <w:t xml:space="preserve">. De astfel de mecanisme nu dispune nici ONVV (gestionar al </w:t>
      </w:r>
      <w:r w:rsidR="00D16AAF" w:rsidRPr="002751FC">
        <w:rPr>
          <w:rFonts w:asciiTheme="majorHAnsi" w:eastAsia="Times New Roman" w:hAnsiTheme="majorHAnsi" w:cstheme="majorHAnsi"/>
          <w:sz w:val="28"/>
          <w:szCs w:val="28"/>
          <w:lang w:val="ro-MD"/>
        </w:rPr>
        <w:t>veniturilor</w:t>
      </w:r>
      <w:r w:rsidRPr="002751FC">
        <w:rPr>
          <w:rFonts w:asciiTheme="majorHAnsi" w:eastAsia="Times New Roman" w:hAnsiTheme="majorHAnsi" w:cstheme="majorHAnsi"/>
          <w:sz w:val="28"/>
          <w:szCs w:val="28"/>
          <w:lang w:val="ro-MD"/>
        </w:rPr>
        <w:t xml:space="preserve"> proprii), </w:t>
      </w:r>
      <w:r w:rsidR="00D16AAF" w:rsidRPr="002751FC">
        <w:rPr>
          <w:rFonts w:asciiTheme="majorHAnsi" w:eastAsia="Times New Roman" w:hAnsiTheme="majorHAnsi" w:cstheme="majorHAnsi"/>
          <w:sz w:val="28"/>
          <w:szCs w:val="28"/>
          <w:lang w:val="ro-MD"/>
        </w:rPr>
        <w:t>căruia</w:t>
      </w:r>
      <w:r w:rsidRPr="002751FC">
        <w:rPr>
          <w:rFonts w:asciiTheme="majorHAnsi" w:eastAsia="Times New Roman" w:hAnsiTheme="majorHAnsi" w:cstheme="majorHAnsi"/>
          <w:sz w:val="28"/>
          <w:szCs w:val="28"/>
          <w:lang w:val="ro-MD"/>
        </w:rPr>
        <w:t xml:space="preserve"> i</w:t>
      </w:r>
      <w:r w:rsidR="00882182"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a fost delegată sarcina de ținere a evidenţei contribuabililor și </w:t>
      </w:r>
      <w:r w:rsidR="00882182" w:rsidRPr="002751FC">
        <w:rPr>
          <w:rFonts w:asciiTheme="majorHAnsi" w:eastAsia="Times New Roman" w:hAnsiTheme="majorHAnsi" w:cstheme="majorHAnsi"/>
          <w:sz w:val="28"/>
          <w:szCs w:val="28"/>
          <w:lang w:val="ro-MD"/>
        </w:rPr>
        <w:t xml:space="preserve">a </w:t>
      </w:r>
      <w:r w:rsidR="00D16AAF"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obligatorii în Fondul Viei şi Vinului</w:t>
      </w:r>
      <w:r w:rsidRPr="002751FC">
        <w:rPr>
          <w:rFonts w:asciiTheme="majorHAnsi" w:hAnsiTheme="majorHAnsi" w:cstheme="majorHAnsi"/>
          <w:sz w:val="28"/>
          <w:szCs w:val="28"/>
          <w:vertAlign w:val="superscript"/>
          <w:lang w:val="ro-MD"/>
        </w:rPr>
        <w:footnoteReference w:id="103"/>
      </w:r>
      <w:r w:rsidRPr="002751FC">
        <w:rPr>
          <w:rFonts w:asciiTheme="majorHAnsi" w:eastAsia="Times New Roman" w:hAnsiTheme="majorHAnsi" w:cstheme="majorHAnsi"/>
          <w:sz w:val="28"/>
          <w:szCs w:val="28"/>
          <w:lang w:val="ro-MD"/>
        </w:rPr>
        <w:t>.</w:t>
      </w:r>
    </w:p>
    <w:p w:rsidR="002B0C1F" w:rsidRPr="002751FC" w:rsidRDefault="002B0C1F" w:rsidP="00243401">
      <w:pPr>
        <w:shd w:val="clear" w:color="auto" w:fill="FFFFFF" w:themeFill="background1"/>
        <w:spacing w:after="0" w:line="240" w:lineRule="auto"/>
        <w:ind w:firstLine="567"/>
        <w:jc w:val="both"/>
        <w:rPr>
          <w:rFonts w:asciiTheme="majorHAnsi" w:eastAsia="Times New Roman" w:hAnsiTheme="majorHAnsi" w:cstheme="majorHAnsi"/>
          <w:sz w:val="28"/>
          <w:szCs w:val="28"/>
          <w:lang w:val="ro-MD"/>
        </w:rPr>
      </w:pPr>
    </w:p>
    <w:p w:rsidR="002B0C1F" w:rsidRPr="002751FC" w:rsidRDefault="002B0C1F" w:rsidP="00243401">
      <w:pPr>
        <w:shd w:val="clear" w:color="auto" w:fill="FFFFFF" w:themeFill="background1"/>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lastRenderedPageBreak/>
        <w:t xml:space="preserve">Un alt </w:t>
      </w:r>
      <w:r w:rsidR="00855499" w:rsidRPr="002751FC">
        <w:rPr>
          <w:rFonts w:asciiTheme="majorHAnsi" w:eastAsia="Times New Roman" w:hAnsiTheme="majorHAnsi" w:cstheme="majorHAnsi"/>
          <w:sz w:val="28"/>
          <w:szCs w:val="28"/>
          <w:lang w:val="ro-MD"/>
        </w:rPr>
        <w:t>impediment</w:t>
      </w:r>
      <w:r w:rsidRPr="002751FC">
        <w:rPr>
          <w:rFonts w:asciiTheme="majorHAnsi" w:eastAsia="Times New Roman" w:hAnsiTheme="majorHAnsi" w:cstheme="majorHAnsi"/>
          <w:sz w:val="28"/>
          <w:szCs w:val="28"/>
          <w:lang w:val="ro-MD"/>
        </w:rPr>
        <w:t xml:space="preserve"> </w:t>
      </w:r>
      <w:r w:rsidR="00697012" w:rsidRPr="002751FC">
        <w:rPr>
          <w:rFonts w:asciiTheme="majorHAnsi" w:eastAsia="Times New Roman" w:hAnsiTheme="majorHAnsi" w:cstheme="majorHAnsi"/>
          <w:sz w:val="28"/>
          <w:szCs w:val="28"/>
          <w:lang w:val="ro-MD"/>
        </w:rPr>
        <w:t>în</w:t>
      </w:r>
      <w:r w:rsidRPr="002751FC">
        <w:rPr>
          <w:rFonts w:asciiTheme="majorHAnsi" w:eastAsia="Times New Roman" w:hAnsiTheme="majorHAnsi" w:cstheme="majorHAnsi"/>
          <w:sz w:val="28"/>
          <w:szCs w:val="28"/>
          <w:lang w:val="ro-MD"/>
        </w:rPr>
        <w:t xml:space="preserve"> gestionarea conformă a contribuțiilor în FVV este faptul că </w:t>
      </w:r>
      <w:r w:rsidR="00697012" w:rsidRPr="002751FC">
        <w:rPr>
          <w:rFonts w:asciiTheme="majorHAnsi" w:eastAsia="Times New Roman" w:hAnsiTheme="majorHAnsi" w:cstheme="majorHAnsi"/>
          <w:sz w:val="28"/>
          <w:szCs w:val="28"/>
          <w:lang w:val="ro-MD"/>
        </w:rPr>
        <w:t>aceste plăți</w:t>
      </w:r>
      <w:r w:rsidRPr="002751FC">
        <w:rPr>
          <w:rFonts w:asciiTheme="majorHAnsi" w:eastAsia="Times New Roman" w:hAnsiTheme="majorHAnsi" w:cstheme="majorHAnsi"/>
          <w:sz w:val="28"/>
          <w:szCs w:val="28"/>
          <w:lang w:val="ro-MD"/>
        </w:rPr>
        <w:t xml:space="preserve"> fac parte venituri</w:t>
      </w:r>
      <w:r w:rsidR="00697012" w:rsidRPr="002751FC">
        <w:rPr>
          <w:rFonts w:asciiTheme="majorHAnsi" w:eastAsia="Times New Roman" w:hAnsiTheme="majorHAnsi" w:cstheme="majorHAnsi"/>
          <w:sz w:val="28"/>
          <w:szCs w:val="28"/>
          <w:lang w:val="ro-MD"/>
        </w:rPr>
        <w:t>le</w:t>
      </w:r>
      <w:r w:rsidRPr="002751FC">
        <w:rPr>
          <w:rFonts w:asciiTheme="majorHAnsi" w:eastAsia="Times New Roman" w:hAnsiTheme="majorHAnsi" w:cstheme="majorHAnsi"/>
          <w:sz w:val="28"/>
          <w:szCs w:val="28"/>
          <w:lang w:val="ro-MD"/>
        </w:rPr>
        <w:t xml:space="preserve"> colectate (proprii)</w:t>
      </w:r>
      <w:r w:rsidRPr="002751FC">
        <w:rPr>
          <w:rStyle w:val="ab"/>
          <w:rFonts w:asciiTheme="majorHAnsi" w:hAnsiTheme="majorHAnsi" w:cstheme="majorHAnsi"/>
          <w:sz w:val="28"/>
          <w:szCs w:val="28"/>
          <w:lang w:val="ro-MD"/>
        </w:rPr>
        <w:footnoteReference w:id="104"/>
      </w:r>
      <w:r w:rsidRPr="002751FC">
        <w:rPr>
          <w:rFonts w:asciiTheme="majorHAnsi" w:eastAsia="Times New Roman" w:hAnsiTheme="majorHAnsi" w:cstheme="majorHAnsi"/>
          <w:sz w:val="28"/>
          <w:szCs w:val="28"/>
          <w:lang w:val="ro-MD"/>
        </w:rPr>
        <w:t>, care sunt gestionate de către entități de</w:t>
      </w:r>
      <w:r w:rsidR="00697012"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sine</w:t>
      </w:r>
      <w:r w:rsidR="00697012"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stătător. Astfel, din anul 201</w:t>
      </w:r>
      <w:r w:rsidR="00F90A17" w:rsidRPr="002751FC">
        <w:rPr>
          <w:rFonts w:asciiTheme="majorHAnsi" w:eastAsia="Times New Roman" w:hAnsiTheme="majorHAnsi" w:cstheme="majorHAnsi"/>
          <w:sz w:val="28"/>
          <w:szCs w:val="28"/>
          <w:lang w:val="ro-MD"/>
        </w:rPr>
        <w:t>2</w:t>
      </w:r>
      <w:r w:rsidRPr="002751FC">
        <w:rPr>
          <w:rStyle w:val="ab"/>
          <w:rFonts w:asciiTheme="majorHAnsi" w:hAnsiTheme="majorHAnsi" w:cstheme="majorHAnsi"/>
          <w:sz w:val="28"/>
          <w:szCs w:val="28"/>
          <w:lang w:val="ro-MD"/>
        </w:rPr>
        <w:footnoteReference w:id="105"/>
      </w:r>
      <w:r w:rsidRPr="002751FC">
        <w:rPr>
          <w:rFonts w:asciiTheme="majorHAnsi" w:eastAsia="Times New Roman" w:hAnsiTheme="majorHAnsi" w:cstheme="majorHAnsi"/>
          <w:sz w:val="28"/>
          <w:szCs w:val="28"/>
          <w:lang w:val="ro-MD"/>
        </w:rPr>
        <w:t>, de către Trezoreria de Stat a fost sistată prezentarea informațiilor privind sumele încasate de la contribuabili. În aceste condiții, SFS, pentru perioada 2016-2018, dispune doar de informați</w:t>
      </w:r>
      <w:r w:rsidR="00697012" w:rsidRPr="002751FC">
        <w:rPr>
          <w:rFonts w:asciiTheme="majorHAnsi" w:eastAsia="Times New Roman" w:hAnsiTheme="majorHAnsi" w:cstheme="majorHAnsi"/>
          <w:sz w:val="28"/>
          <w:szCs w:val="28"/>
          <w:lang w:val="ro-MD"/>
        </w:rPr>
        <w:t>i</w:t>
      </w:r>
      <w:r w:rsidRPr="002751FC">
        <w:rPr>
          <w:rFonts w:asciiTheme="majorHAnsi" w:eastAsia="Times New Roman" w:hAnsiTheme="majorHAnsi" w:cstheme="majorHAnsi"/>
          <w:sz w:val="28"/>
          <w:szCs w:val="28"/>
          <w:lang w:val="ro-MD"/>
        </w:rPr>
        <w:t xml:space="preserve"> privind contribuțiile calculate/declarate spre calcul de către contribuabili. De </w:t>
      </w:r>
      <w:r w:rsidR="00610972" w:rsidRPr="002751FC">
        <w:rPr>
          <w:rFonts w:asciiTheme="majorHAnsi" w:eastAsia="Times New Roman" w:hAnsiTheme="majorHAnsi" w:cstheme="majorHAnsi"/>
          <w:sz w:val="28"/>
          <w:szCs w:val="28"/>
          <w:lang w:val="ro-MD"/>
        </w:rPr>
        <w:t>menționat</w:t>
      </w:r>
      <w:r w:rsidRPr="002751FC">
        <w:rPr>
          <w:rFonts w:asciiTheme="majorHAnsi" w:eastAsia="Times New Roman" w:hAnsiTheme="majorHAnsi" w:cstheme="majorHAnsi"/>
          <w:sz w:val="28"/>
          <w:szCs w:val="28"/>
          <w:lang w:val="ro-MD"/>
        </w:rPr>
        <w:t xml:space="preserve"> că, </w:t>
      </w:r>
      <w:r w:rsidR="00610972" w:rsidRPr="002751FC">
        <w:rPr>
          <w:rFonts w:asciiTheme="majorHAnsi" w:eastAsia="Times New Roman" w:hAnsiTheme="majorHAnsi" w:cstheme="majorHAnsi"/>
          <w:sz w:val="28"/>
          <w:szCs w:val="28"/>
          <w:lang w:val="ro-MD"/>
        </w:rPr>
        <w:t>deşi</w:t>
      </w:r>
      <w:r w:rsidRPr="002751FC">
        <w:rPr>
          <w:rFonts w:asciiTheme="majorHAnsi" w:eastAsia="Times New Roman" w:hAnsiTheme="majorHAnsi" w:cstheme="majorHAnsi"/>
          <w:sz w:val="28"/>
          <w:szCs w:val="28"/>
          <w:lang w:val="ro-MD"/>
        </w:rPr>
        <w:t xml:space="preserve"> contribuțiile în FVV fac parte din venituri colectate/proprii, </w:t>
      </w:r>
      <w:r w:rsidR="00697012" w:rsidRPr="002751FC">
        <w:rPr>
          <w:rFonts w:asciiTheme="majorHAnsi" w:eastAsia="Times New Roman" w:hAnsiTheme="majorHAnsi" w:cstheme="majorHAnsi"/>
          <w:sz w:val="28"/>
          <w:szCs w:val="28"/>
          <w:lang w:val="ro-MD"/>
        </w:rPr>
        <w:t xml:space="preserve">începând cu anul 2019 </w:t>
      </w:r>
      <w:r w:rsidRPr="002751FC">
        <w:rPr>
          <w:rFonts w:asciiTheme="majorHAnsi" w:eastAsia="Times New Roman" w:hAnsiTheme="majorHAnsi" w:cstheme="majorHAnsi"/>
          <w:sz w:val="28"/>
          <w:szCs w:val="28"/>
          <w:lang w:val="ro-MD"/>
        </w:rPr>
        <w:t>Trezoreria de Stat, prin derogare de la reguli</w:t>
      </w:r>
      <w:r w:rsidR="00610972" w:rsidRPr="002751FC">
        <w:rPr>
          <w:rFonts w:asciiTheme="majorHAnsi" w:eastAsia="Times New Roman" w:hAnsiTheme="majorHAnsi" w:cstheme="majorHAnsi"/>
          <w:sz w:val="28"/>
          <w:szCs w:val="28"/>
          <w:lang w:val="ro-MD"/>
        </w:rPr>
        <w:t>le</w:t>
      </w:r>
      <w:r w:rsidRPr="002751FC">
        <w:rPr>
          <w:rFonts w:asciiTheme="majorHAnsi" w:eastAsia="Times New Roman" w:hAnsiTheme="majorHAnsi" w:cstheme="majorHAnsi"/>
          <w:sz w:val="28"/>
          <w:szCs w:val="28"/>
          <w:lang w:val="ro-MD"/>
        </w:rPr>
        <w:t xml:space="preserve"> genera</w:t>
      </w:r>
      <w:r w:rsidR="00697012" w:rsidRPr="002751FC">
        <w:rPr>
          <w:rFonts w:asciiTheme="majorHAnsi" w:eastAsia="Times New Roman" w:hAnsiTheme="majorHAnsi" w:cstheme="majorHAnsi"/>
          <w:sz w:val="28"/>
          <w:szCs w:val="28"/>
          <w:lang w:val="ro-MD"/>
        </w:rPr>
        <w:t>l</w:t>
      </w:r>
      <w:r w:rsidR="006E6972" w:rsidRPr="002751FC">
        <w:rPr>
          <w:rFonts w:asciiTheme="majorHAnsi" w:eastAsia="Times New Roman" w:hAnsiTheme="majorHAnsi" w:cstheme="majorHAnsi"/>
          <w:sz w:val="28"/>
          <w:szCs w:val="28"/>
          <w:lang w:val="ro-MD"/>
        </w:rPr>
        <w:t xml:space="preserve">e, </w:t>
      </w:r>
      <w:r w:rsidRPr="002751FC">
        <w:rPr>
          <w:rFonts w:asciiTheme="majorHAnsi" w:eastAsia="Times New Roman" w:hAnsiTheme="majorHAnsi" w:cstheme="majorHAnsi"/>
          <w:sz w:val="28"/>
          <w:szCs w:val="28"/>
          <w:lang w:val="ro-MD"/>
        </w:rPr>
        <w:t>prezintă SFS</w:t>
      </w:r>
      <w:r w:rsidR="00697012" w:rsidRPr="002751FC">
        <w:rPr>
          <w:rFonts w:asciiTheme="majorHAnsi" w:eastAsia="Times New Roman" w:hAnsiTheme="majorHAnsi" w:cstheme="majorHAnsi"/>
          <w:sz w:val="28"/>
          <w:szCs w:val="28"/>
          <w:lang w:val="ro-MD"/>
        </w:rPr>
        <w:t>, în temeiul Legii viei şi vinului,</w:t>
      </w:r>
      <w:r w:rsidRPr="002751FC">
        <w:rPr>
          <w:rFonts w:asciiTheme="majorHAnsi" w:eastAsia="Times New Roman" w:hAnsiTheme="majorHAnsi" w:cstheme="majorHAnsi"/>
          <w:sz w:val="28"/>
          <w:szCs w:val="28"/>
          <w:lang w:val="ro-MD"/>
        </w:rPr>
        <w:t xml:space="preserve"> </w:t>
      </w:r>
      <w:r w:rsidR="00610972" w:rsidRPr="002751FC">
        <w:rPr>
          <w:rFonts w:asciiTheme="majorHAnsi" w:eastAsia="Times New Roman" w:hAnsiTheme="majorHAnsi" w:cstheme="majorHAnsi"/>
          <w:sz w:val="28"/>
          <w:szCs w:val="28"/>
          <w:lang w:val="ro-MD"/>
        </w:rPr>
        <w:t>informația</w:t>
      </w:r>
      <w:r w:rsidRPr="002751FC">
        <w:rPr>
          <w:rFonts w:asciiTheme="majorHAnsi" w:eastAsia="Times New Roman" w:hAnsiTheme="majorHAnsi" w:cstheme="majorHAnsi"/>
          <w:sz w:val="28"/>
          <w:szCs w:val="28"/>
          <w:lang w:val="ro-MD"/>
        </w:rPr>
        <w:t xml:space="preserve"> privind sumele încasate de la contribuabili.</w:t>
      </w:r>
    </w:p>
    <w:p w:rsidR="002B0C1F" w:rsidRPr="002751FC" w:rsidRDefault="002B0C1F" w:rsidP="00243401">
      <w:pPr>
        <w:shd w:val="clear" w:color="auto" w:fill="FFFFFF" w:themeFill="background1"/>
        <w:spacing w:after="0" w:line="240" w:lineRule="auto"/>
        <w:ind w:firstLine="567"/>
        <w:jc w:val="both"/>
        <w:rPr>
          <w:rFonts w:asciiTheme="majorHAnsi" w:eastAsia="Times New Roman" w:hAnsiTheme="majorHAnsi" w:cstheme="majorHAnsi"/>
          <w:sz w:val="28"/>
          <w:szCs w:val="28"/>
          <w:lang w:val="ro-MD"/>
        </w:rPr>
      </w:pPr>
    </w:p>
    <w:p w:rsidR="002B0C1F" w:rsidRPr="002751FC" w:rsidRDefault="00697012" w:rsidP="00243401">
      <w:pPr>
        <w:shd w:val="clear" w:color="auto" w:fill="FFFFFF" w:themeFill="background1"/>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Totodată, auditul relevă</w:t>
      </w:r>
      <w:r w:rsidR="002B0C1F" w:rsidRPr="002751FC">
        <w:rPr>
          <w:rFonts w:asciiTheme="majorHAnsi" w:eastAsia="Times New Roman" w:hAnsiTheme="majorHAnsi" w:cstheme="majorHAnsi"/>
          <w:sz w:val="28"/>
          <w:szCs w:val="28"/>
          <w:lang w:val="ro-MD"/>
        </w:rPr>
        <w:t xml:space="preserve"> că prevederile mecanismului actual prezintă</w:t>
      </w:r>
      <w:r w:rsidRPr="002751FC">
        <w:rPr>
          <w:rFonts w:asciiTheme="majorHAnsi" w:eastAsia="Times New Roman" w:hAnsiTheme="majorHAnsi" w:cstheme="majorHAnsi"/>
          <w:sz w:val="28"/>
          <w:szCs w:val="28"/>
          <w:lang w:val="ro-MD"/>
        </w:rPr>
        <w:t xml:space="preserve"> o</w:t>
      </w:r>
      <w:r w:rsidR="002B0C1F" w:rsidRPr="002751FC">
        <w:rPr>
          <w:rFonts w:asciiTheme="majorHAnsi" w:eastAsia="Times New Roman" w:hAnsiTheme="majorHAnsi" w:cstheme="majorHAnsi"/>
          <w:sz w:val="28"/>
          <w:szCs w:val="28"/>
          <w:lang w:val="ro-MD"/>
        </w:rPr>
        <w:t xml:space="preserve"> derogare </w:t>
      </w:r>
      <w:r w:rsidRPr="002751FC">
        <w:rPr>
          <w:rFonts w:asciiTheme="majorHAnsi" w:eastAsia="Times New Roman" w:hAnsiTheme="majorHAnsi" w:cstheme="majorHAnsi"/>
          <w:sz w:val="28"/>
          <w:szCs w:val="28"/>
          <w:lang w:val="ro-MD"/>
        </w:rPr>
        <w:t xml:space="preserve">și </w:t>
      </w:r>
      <w:r w:rsidR="002B0C1F" w:rsidRPr="002751FC">
        <w:rPr>
          <w:rFonts w:asciiTheme="majorHAnsi" w:eastAsia="Times New Roman" w:hAnsiTheme="majorHAnsi" w:cstheme="majorHAnsi"/>
          <w:sz w:val="28"/>
          <w:szCs w:val="28"/>
          <w:lang w:val="ro-MD"/>
        </w:rPr>
        <w:t>de la reguli</w:t>
      </w:r>
      <w:r w:rsidR="00610972" w:rsidRPr="002751FC">
        <w:rPr>
          <w:rFonts w:asciiTheme="majorHAnsi" w:eastAsia="Times New Roman" w:hAnsiTheme="majorHAnsi" w:cstheme="majorHAnsi"/>
          <w:sz w:val="28"/>
          <w:szCs w:val="28"/>
          <w:lang w:val="ro-MD"/>
        </w:rPr>
        <w:t>le</w:t>
      </w:r>
      <w:r w:rsidR="002B0C1F" w:rsidRPr="002751FC">
        <w:rPr>
          <w:rFonts w:asciiTheme="majorHAnsi" w:eastAsia="Times New Roman" w:hAnsiTheme="majorHAnsi" w:cstheme="majorHAnsi"/>
          <w:sz w:val="28"/>
          <w:szCs w:val="28"/>
          <w:lang w:val="ro-MD"/>
        </w:rPr>
        <w:t xml:space="preserve"> generale de gestionare a veniturilor proprii, SFS </w:t>
      </w:r>
      <w:r w:rsidR="00610972" w:rsidRPr="002751FC">
        <w:rPr>
          <w:rFonts w:asciiTheme="majorHAnsi" w:eastAsia="Times New Roman" w:hAnsiTheme="majorHAnsi" w:cstheme="majorHAnsi"/>
          <w:sz w:val="28"/>
          <w:szCs w:val="28"/>
          <w:lang w:val="ro-MD"/>
        </w:rPr>
        <w:t>revenind</w:t>
      </w:r>
      <w:r w:rsidRPr="002751FC">
        <w:rPr>
          <w:rFonts w:asciiTheme="majorHAnsi" w:eastAsia="Times New Roman" w:hAnsiTheme="majorHAnsi" w:cstheme="majorHAnsi"/>
          <w:sz w:val="28"/>
          <w:szCs w:val="28"/>
          <w:lang w:val="ro-MD"/>
        </w:rPr>
        <w:t>u-i</w:t>
      </w:r>
      <w:r w:rsidR="002B0C1F" w:rsidRPr="002751FC">
        <w:rPr>
          <w:rFonts w:asciiTheme="majorHAnsi" w:eastAsia="Times New Roman" w:hAnsiTheme="majorHAnsi" w:cstheme="majorHAnsi"/>
          <w:sz w:val="28"/>
          <w:szCs w:val="28"/>
          <w:lang w:val="ro-MD"/>
        </w:rPr>
        <w:t xml:space="preserve"> sarcina de administrare a veniturilor fiscale, nu și </w:t>
      </w:r>
      <w:r w:rsidR="00610972" w:rsidRPr="002751FC">
        <w:rPr>
          <w:rFonts w:asciiTheme="majorHAnsi" w:eastAsia="Times New Roman" w:hAnsiTheme="majorHAnsi" w:cstheme="majorHAnsi"/>
          <w:sz w:val="28"/>
          <w:szCs w:val="28"/>
          <w:lang w:val="ro-MD"/>
        </w:rPr>
        <w:t xml:space="preserve">a </w:t>
      </w:r>
      <w:r w:rsidR="002B0C1F" w:rsidRPr="002751FC">
        <w:rPr>
          <w:rFonts w:asciiTheme="majorHAnsi" w:eastAsia="Times New Roman" w:hAnsiTheme="majorHAnsi" w:cstheme="majorHAnsi"/>
          <w:sz w:val="28"/>
          <w:szCs w:val="28"/>
          <w:lang w:val="ro-MD"/>
        </w:rPr>
        <w:t>celor proprii. În acest sens</w:t>
      </w:r>
      <w:r w:rsidR="00610972" w:rsidRPr="002751FC">
        <w:rPr>
          <w:rFonts w:asciiTheme="majorHAnsi" w:eastAsia="Times New Roman" w:hAnsiTheme="majorHAnsi" w:cstheme="majorHAnsi"/>
          <w:sz w:val="28"/>
          <w:szCs w:val="28"/>
          <w:lang w:val="ro-MD"/>
        </w:rPr>
        <w:t>,</w:t>
      </w:r>
      <w:r w:rsidR="002B0C1F" w:rsidRPr="002751FC">
        <w:rPr>
          <w:rFonts w:asciiTheme="majorHAnsi" w:eastAsia="Times New Roman" w:hAnsiTheme="majorHAnsi" w:cstheme="majorHAnsi"/>
          <w:sz w:val="28"/>
          <w:szCs w:val="28"/>
          <w:lang w:val="ro-MD"/>
        </w:rPr>
        <w:t xml:space="preserve"> este </w:t>
      </w:r>
      <w:r w:rsidR="00610972" w:rsidRPr="002751FC">
        <w:rPr>
          <w:rFonts w:asciiTheme="majorHAnsi" w:eastAsia="Times New Roman" w:hAnsiTheme="majorHAnsi" w:cstheme="majorHAnsi"/>
          <w:sz w:val="28"/>
          <w:szCs w:val="28"/>
          <w:lang w:val="ro-MD"/>
        </w:rPr>
        <w:t>evidentă</w:t>
      </w:r>
      <w:r w:rsidR="002B0C1F" w:rsidRPr="002751FC">
        <w:rPr>
          <w:rFonts w:asciiTheme="majorHAnsi" w:eastAsia="Times New Roman" w:hAnsiTheme="majorHAnsi" w:cstheme="majorHAnsi"/>
          <w:sz w:val="28"/>
          <w:szCs w:val="28"/>
          <w:lang w:val="ro-MD"/>
        </w:rPr>
        <w:t xml:space="preserve"> necesitatea de revizuire urgentă a statutului dublu a</w:t>
      </w:r>
      <w:r w:rsidRPr="002751FC">
        <w:rPr>
          <w:rFonts w:asciiTheme="majorHAnsi" w:eastAsia="Times New Roman" w:hAnsiTheme="majorHAnsi" w:cstheme="majorHAnsi"/>
          <w:sz w:val="28"/>
          <w:szCs w:val="28"/>
          <w:lang w:val="ro-MD"/>
        </w:rPr>
        <w:t>l</w:t>
      </w:r>
      <w:r w:rsidR="002B0C1F" w:rsidRPr="002751FC">
        <w:rPr>
          <w:rFonts w:asciiTheme="majorHAnsi" w:eastAsia="Times New Roman" w:hAnsiTheme="majorHAnsi" w:cstheme="majorHAnsi"/>
          <w:sz w:val="28"/>
          <w:szCs w:val="28"/>
          <w:lang w:val="ro-MD"/>
        </w:rPr>
        <w:t xml:space="preserve"> ONVV</w:t>
      </w:r>
      <w:r w:rsidRPr="002751FC">
        <w:rPr>
          <w:rFonts w:asciiTheme="majorHAnsi" w:eastAsia="Times New Roman" w:hAnsiTheme="majorHAnsi" w:cstheme="majorHAnsi"/>
          <w:sz w:val="28"/>
          <w:szCs w:val="28"/>
          <w:lang w:val="ro-MD"/>
        </w:rPr>
        <w:t>,</w:t>
      </w:r>
      <w:r w:rsidR="002B0C1F" w:rsidRPr="002751FC">
        <w:rPr>
          <w:rFonts w:asciiTheme="majorHAnsi" w:eastAsia="Times New Roman" w:hAnsiTheme="majorHAnsi" w:cstheme="majorHAnsi"/>
          <w:sz w:val="28"/>
          <w:szCs w:val="28"/>
          <w:lang w:val="ro-MD"/>
        </w:rPr>
        <w:t xml:space="preserve"> precum și a mecanismului actual de gestionare a contribuțiilor în FVV</w:t>
      </w:r>
      <w:r w:rsidR="00DA4345" w:rsidRPr="002751FC">
        <w:rPr>
          <w:rFonts w:asciiTheme="majorHAnsi" w:eastAsia="Times New Roman" w:hAnsiTheme="majorHAnsi" w:cstheme="majorHAnsi"/>
          <w:sz w:val="28"/>
          <w:szCs w:val="28"/>
          <w:lang w:val="ro-MD"/>
        </w:rPr>
        <w:t xml:space="preserve">, </w:t>
      </w:r>
      <w:r w:rsidR="00663FB2" w:rsidRPr="002751FC">
        <w:rPr>
          <w:rFonts w:asciiTheme="majorHAnsi" w:eastAsia="Times New Roman" w:hAnsiTheme="majorHAnsi" w:cstheme="majorHAnsi"/>
          <w:sz w:val="28"/>
          <w:szCs w:val="28"/>
          <w:lang w:val="ro-MD"/>
        </w:rPr>
        <w:t xml:space="preserve">fiind </w:t>
      </w:r>
      <w:r w:rsidR="002B0C1F" w:rsidRPr="002751FC">
        <w:rPr>
          <w:rFonts w:asciiTheme="majorHAnsi" w:eastAsia="Times New Roman" w:hAnsiTheme="majorHAnsi" w:cstheme="majorHAnsi"/>
          <w:sz w:val="28"/>
          <w:szCs w:val="28"/>
          <w:lang w:val="ro-MD"/>
        </w:rPr>
        <w:t xml:space="preserve">posibil </w:t>
      </w:r>
      <w:r w:rsidR="007B72C6" w:rsidRPr="002751FC">
        <w:rPr>
          <w:rFonts w:asciiTheme="majorHAnsi" w:eastAsia="Times New Roman" w:hAnsiTheme="majorHAnsi" w:cstheme="majorHAnsi"/>
          <w:sz w:val="28"/>
          <w:szCs w:val="28"/>
          <w:lang w:val="ro-MD"/>
        </w:rPr>
        <w:t>de</w:t>
      </w:r>
      <w:r w:rsidR="002B0C1F" w:rsidRPr="002751FC">
        <w:rPr>
          <w:rFonts w:asciiTheme="majorHAnsi" w:eastAsia="Times New Roman" w:hAnsiTheme="majorHAnsi" w:cstheme="majorHAnsi"/>
          <w:sz w:val="28"/>
          <w:szCs w:val="28"/>
          <w:lang w:val="ro-MD"/>
        </w:rPr>
        <w:t xml:space="preserve"> aplicat regula bugetară general</w:t>
      </w:r>
      <w:r w:rsidR="007B72C6" w:rsidRPr="002751FC">
        <w:rPr>
          <w:rFonts w:asciiTheme="majorHAnsi" w:eastAsia="Times New Roman" w:hAnsiTheme="majorHAnsi" w:cstheme="majorHAnsi"/>
          <w:sz w:val="28"/>
          <w:szCs w:val="28"/>
          <w:lang w:val="ro-MD"/>
        </w:rPr>
        <w:t>ă</w:t>
      </w:r>
      <w:r w:rsidR="002B0C1F" w:rsidRPr="002751FC">
        <w:rPr>
          <w:rFonts w:asciiTheme="majorHAnsi" w:eastAsia="Times New Roman" w:hAnsiTheme="majorHAnsi" w:cstheme="majorHAnsi"/>
          <w:sz w:val="28"/>
          <w:szCs w:val="28"/>
          <w:lang w:val="ro-MD"/>
        </w:rPr>
        <w:t>, similar Fondul</w:t>
      </w:r>
      <w:r w:rsidR="007B72C6" w:rsidRPr="002751FC">
        <w:rPr>
          <w:rFonts w:asciiTheme="majorHAnsi" w:eastAsia="Times New Roman" w:hAnsiTheme="majorHAnsi" w:cstheme="majorHAnsi"/>
          <w:sz w:val="28"/>
          <w:szCs w:val="28"/>
          <w:lang w:val="ro-MD"/>
        </w:rPr>
        <w:t>ui</w:t>
      </w:r>
      <w:r w:rsidR="002B0C1F" w:rsidRPr="002751FC">
        <w:rPr>
          <w:rFonts w:asciiTheme="majorHAnsi" w:eastAsia="Times New Roman" w:hAnsiTheme="majorHAnsi" w:cstheme="majorHAnsi"/>
          <w:sz w:val="28"/>
          <w:szCs w:val="28"/>
          <w:lang w:val="ro-MD"/>
        </w:rPr>
        <w:t xml:space="preserve"> </w:t>
      </w:r>
      <w:r w:rsidR="00610972" w:rsidRPr="002751FC">
        <w:rPr>
          <w:rFonts w:asciiTheme="majorHAnsi" w:eastAsia="Times New Roman" w:hAnsiTheme="majorHAnsi" w:cstheme="majorHAnsi"/>
          <w:sz w:val="28"/>
          <w:szCs w:val="28"/>
          <w:lang w:val="ro-MD"/>
        </w:rPr>
        <w:t>rutier</w:t>
      </w:r>
      <w:r w:rsidR="002B0C1F" w:rsidRPr="002751FC">
        <w:rPr>
          <w:rFonts w:asciiTheme="majorHAnsi" w:eastAsia="Times New Roman" w:hAnsiTheme="majorHAnsi" w:cstheme="majorHAnsi"/>
          <w:sz w:val="28"/>
          <w:szCs w:val="28"/>
          <w:lang w:val="ro-MD"/>
        </w:rPr>
        <w:t xml:space="preserve"> și </w:t>
      </w:r>
      <w:r w:rsidR="00610972" w:rsidRPr="002751FC">
        <w:rPr>
          <w:rFonts w:asciiTheme="majorHAnsi" w:eastAsia="Times New Roman" w:hAnsiTheme="majorHAnsi" w:cstheme="majorHAnsi"/>
          <w:sz w:val="28"/>
          <w:szCs w:val="28"/>
          <w:lang w:val="ro-MD"/>
        </w:rPr>
        <w:t>F</w:t>
      </w:r>
      <w:r w:rsidR="002B0C1F" w:rsidRPr="002751FC">
        <w:rPr>
          <w:rFonts w:asciiTheme="majorHAnsi" w:eastAsia="Times New Roman" w:hAnsiTheme="majorHAnsi" w:cstheme="majorHAnsi"/>
          <w:sz w:val="28"/>
          <w:szCs w:val="28"/>
          <w:lang w:val="ro-MD"/>
        </w:rPr>
        <w:t>ondul</w:t>
      </w:r>
      <w:r w:rsidR="007B72C6" w:rsidRPr="002751FC">
        <w:rPr>
          <w:rFonts w:asciiTheme="majorHAnsi" w:eastAsia="Times New Roman" w:hAnsiTheme="majorHAnsi" w:cstheme="majorHAnsi"/>
          <w:sz w:val="28"/>
          <w:szCs w:val="28"/>
          <w:lang w:val="ro-MD"/>
        </w:rPr>
        <w:t>ui</w:t>
      </w:r>
      <w:r w:rsidR="002B0C1F" w:rsidRPr="002751FC">
        <w:rPr>
          <w:rFonts w:asciiTheme="majorHAnsi" w:eastAsia="Times New Roman" w:hAnsiTheme="majorHAnsi" w:cstheme="majorHAnsi"/>
          <w:sz w:val="28"/>
          <w:szCs w:val="28"/>
          <w:lang w:val="ro-MD"/>
        </w:rPr>
        <w:t xml:space="preserve"> ecologic </w:t>
      </w:r>
      <w:r w:rsidR="00610972" w:rsidRPr="002751FC">
        <w:rPr>
          <w:rFonts w:asciiTheme="majorHAnsi" w:eastAsia="Times New Roman" w:hAnsiTheme="majorHAnsi" w:cstheme="majorHAnsi"/>
          <w:sz w:val="28"/>
          <w:szCs w:val="28"/>
          <w:lang w:val="ro-MD"/>
        </w:rPr>
        <w:t>național</w:t>
      </w:r>
      <w:r w:rsidR="002B0C1F" w:rsidRPr="002751FC">
        <w:rPr>
          <w:rFonts w:asciiTheme="majorHAnsi" w:eastAsia="Times New Roman" w:hAnsiTheme="majorHAnsi" w:cstheme="majorHAnsi"/>
          <w:sz w:val="28"/>
          <w:szCs w:val="28"/>
          <w:lang w:val="ro-MD"/>
        </w:rPr>
        <w:t xml:space="preserve">, </w:t>
      </w:r>
      <w:r w:rsidR="007B72C6" w:rsidRPr="002751FC">
        <w:rPr>
          <w:rFonts w:asciiTheme="majorHAnsi" w:eastAsia="Times New Roman" w:hAnsiTheme="majorHAnsi" w:cstheme="majorHAnsi"/>
          <w:sz w:val="28"/>
          <w:szCs w:val="28"/>
          <w:lang w:val="ro-MD"/>
        </w:rPr>
        <w:t>în care</w:t>
      </w:r>
      <w:r w:rsidR="002B0C1F" w:rsidRPr="002751FC">
        <w:rPr>
          <w:rFonts w:asciiTheme="majorHAnsi" w:eastAsia="Times New Roman" w:hAnsiTheme="majorHAnsi" w:cstheme="majorHAnsi"/>
          <w:sz w:val="28"/>
          <w:szCs w:val="28"/>
          <w:lang w:val="ro-MD"/>
        </w:rPr>
        <w:t xml:space="preserve"> alocarea mijloacelor de la bugetul de stat se efectuează conform regulilor generale, sub formă de finanțare în limita alocațiilor bugetare, fără identificarea resurselor bugetare, fiind aprobat doar </w:t>
      </w:r>
      <w:r w:rsidR="00610972" w:rsidRPr="002751FC">
        <w:rPr>
          <w:rFonts w:asciiTheme="majorHAnsi" w:eastAsia="Times New Roman" w:hAnsiTheme="majorHAnsi" w:cstheme="majorHAnsi"/>
          <w:sz w:val="28"/>
          <w:szCs w:val="28"/>
          <w:lang w:val="ro-MD"/>
        </w:rPr>
        <w:t>volumul</w:t>
      </w:r>
      <w:r w:rsidR="002B0C1F" w:rsidRPr="002751FC">
        <w:rPr>
          <w:rFonts w:asciiTheme="majorHAnsi" w:eastAsia="Times New Roman" w:hAnsiTheme="majorHAnsi" w:cstheme="majorHAnsi"/>
          <w:sz w:val="28"/>
          <w:szCs w:val="28"/>
          <w:lang w:val="ro-MD"/>
        </w:rPr>
        <w:t xml:space="preserve"> Fondului.</w:t>
      </w:r>
    </w:p>
    <w:p w:rsidR="002B0C1F" w:rsidRPr="002751FC" w:rsidRDefault="002B0C1F" w:rsidP="00243401">
      <w:pPr>
        <w:shd w:val="clear" w:color="auto" w:fill="FFFFFF" w:themeFill="background1"/>
        <w:spacing w:after="0" w:line="240" w:lineRule="auto"/>
        <w:ind w:firstLine="567"/>
        <w:jc w:val="both"/>
        <w:rPr>
          <w:rFonts w:asciiTheme="majorHAnsi" w:eastAsia="Times New Roman" w:hAnsiTheme="majorHAnsi" w:cstheme="majorHAnsi"/>
          <w:sz w:val="28"/>
          <w:szCs w:val="28"/>
          <w:lang w:val="ro-MD"/>
        </w:rPr>
      </w:pPr>
    </w:p>
    <w:p w:rsidR="002B0C1F" w:rsidRPr="002751FC" w:rsidRDefault="002B0C1F" w:rsidP="00243401">
      <w:pPr>
        <w:pStyle w:val="1"/>
        <w:spacing w:before="0"/>
        <w:jc w:val="both"/>
        <w:rPr>
          <w:rFonts w:eastAsia="Times New Roman" w:cstheme="majorHAnsi"/>
          <w:b/>
          <w:color w:val="auto"/>
          <w:sz w:val="28"/>
          <w:szCs w:val="28"/>
          <w:lang w:val="ro-MD"/>
        </w:rPr>
      </w:pPr>
      <w:bookmarkStart w:id="53" w:name="_Toc23259116"/>
      <w:r w:rsidRPr="002751FC">
        <w:rPr>
          <w:rFonts w:eastAsia="Times New Roman" w:cstheme="majorHAnsi"/>
          <w:b/>
          <w:color w:val="auto"/>
          <w:sz w:val="28"/>
          <w:szCs w:val="28"/>
          <w:lang w:val="ro-MD"/>
        </w:rPr>
        <w:t>4.4.2.</w:t>
      </w:r>
      <w:r w:rsidRPr="002751FC">
        <w:rPr>
          <w:rFonts w:eastAsia="Times New Roman" w:cstheme="majorHAnsi"/>
          <w:color w:val="auto"/>
          <w:sz w:val="28"/>
          <w:szCs w:val="28"/>
          <w:lang w:val="ro-MD"/>
        </w:rPr>
        <w:t xml:space="preserve"> </w:t>
      </w:r>
      <w:r w:rsidR="00332AF4" w:rsidRPr="002751FC">
        <w:rPr>
          <w:rFonts w:eastAsia="Times New Roman" w:cstheme="majorHAnsi"/>
          <w:b/>
          <w:color w:val="auto"/>
          <w:sz w:val="28"/>
          <w:szCs w:val="28"/>
          <w:lang w:val="ro-MD"/>
        </w:rPr>
        <w:t>Ț</w:t>
      </w:r>
      <w:r w:rsidRPr="002751FC">
        <w:rPr>
          <w:rFonts w:eastAsia="Times New Roman" w:cstheme="majorHAnsi"/>
          <w:b/>
          <w:color w:val="auto"/>
          <w:sz w:val="28"/>
          <w:szCs w:val="28"/>
          <w:lang w:val="ro-MD"/>
        </w:rPr>
        <w:t xml:space="preserve">inerea evidenţei contribuabililor și </w:t>
      </w:r>
      <w:r w:rsidR="00A53AF7" w:rsidRPr="002751FC">
        <w:rPr>
          <w:rFonts w:eastAsia="Times New Roman" w:cstheme="majorHAnsi"/>
          <w:b/>
          <w:color w:val="auto"/>
          <w:sz w:val="28"/>
          <w:szCs w:val="28"/>
          <w:lang w:val="ro-MD"/>
        </w:rPr>
        <w:t>contribuțiilor</w:t>
      </w:r>
      <w:r w:rsidRPr="002751FC">
        <w:rPr>
          <w:rFonts w:eastAsia="Times New Roman" w:cstheme="majorHAnsi"/>
          <w:b/>
          <w:color w:val="auto"/>
          <w:sz w:val="28"/>
          <w:szCs w:val="28"/>
          <w:lang w:val="ro-MD"/>
        </w:rPr>
        <w:t xml:space="preserve"> obligatorii în FVV este efectuată cu nerespectarea cadrului regulator</w:t>
      </w:r>
      <w:bookmarkEnd w:id="53"/>
    </w:p>
    <w:p w:rsidR="002B0C1F" w:rsidRPr="002751FC" w:rsidRDefault="002B0C1F" w:rsidP="00243401">
      <w:pPr>
        <w:shd w:val="clear" w:color="auto" w:fill="FFFFFF" w:themeFill="background1"/>
        <w:spacing w:after="0" w:line="240" w:lineRule="auto"/>
        <w:ind w:firstLine="567"/>
        <w:jc w:val="both"/>
        <w:rPr>
          <w:rFonts w:asciiTheme="majorHAnsi" w:eastAsia="Times New Roman" w:hAnsiTheme="majorHAnsi" w:cstheme="majorHAnsi"/>
          <w:sz w:val="28"/>
          <w:szCs w:val="28"/>
          <w:lang w:val="ro-MD"/>
        </w:rPr>
      </w:pPr>
    </w:p>
    <w:p w:rsidR="002B0C1F" w:rsidRPr="002751FC" w:rsidRDefault="002B0C1F" w:rsidP="00243401">
      <w:pPr>
        <w:pStyle w:val="a3"/>
        <w:ind w:firstLine="0"/>
        <w:rPr>
          <w:rFonts w:asciiTheme="majorHAnsi" w:eastAsia="Times New Roman" w:hAnsiTheme="majorHAnsi" w:cstheme="majorHAnsi"/>
          <w:lang w:val="ro-MD"/>
        </w:rPr>
      </w:pPr>
      <w:r w:rsidRPr="002751FC">
        <w:rPr>
          <w:rFonts w:asciiTheme="majorHAnsi" w:eastAsia="Times New Roman" w:hAnsiTheme="majorHAnsi" w:cstheme="majorHAnsi"/>
          <w:sz w:val="28"/>
          <w:szCs w:val="28"/>
          <w:lang w:val="ro-MD"/>
        </w:rPr>
        <w:t xml:space="preserve">Responsabilitatea privind ținerea evidenţei contribuabililor, </w:t>
      </w:r>
      <w:r w:rsidR="00A53AF7"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obligatorii în FVV conform cadrului regulator este delegată ONVV. Probele de audit denotă că ultimul a organizat evidența contribuțiilor utilizând un tabel în format Excel, ca sursă a datelor privind contribuțiile calculate servind informațiile prezentate de SFS, iar ca date privind sumele încasate </w:t>
      </w:r>
      <w:r w:rsidR="006B3F55"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datele Trezoreriei de Stat privind încasarea contribuției în contul trezorerial</w:t>
      </w:r>
      <w:r w:rsidR="00373158" w:rsidRPr="002751FC">
        <w:rPr>
          <w:rFonts w:asciiTheme="majorHAnsi" w:eastAsia="Times New Roman" w:hAnsiTheme="majorHAnsi" w:cstheme="majorHAnsi"/>
          <w:lang w:val="ro-MD"/>
        </w:rPr>
        <w:t>.</w:t>
      </w:r>
    </w:p>
    <w:p w:rsidR="00373158" w:rsidRPr="002751FC" w:rsidRDefault="00373158" w:rsidP="00243401">
      <w:pPr>
        <w:pStyle w:val="a3"/>
        <w:ind w:firstLine="0"/>
        <w:rPr>
          <w:rFonts w:asciiTheme="majorHAnsi" w:eastAsia="Times New Roman" w:hAnsiTheme="majorHAnsi" w:cstheme="majorHAnsi"/>
          <w:lang w:val="ro-MD"/>
        </w:rPr>
      </w:pPr>
    </w:p>
    <w:p w:rsidR="002B0C1F" w:rsidRPr="002751FC" w:rsidRDefault="002B0C1F" w:rsidP="00243401">
      <w:pPr>
        <w:pStyle w:val="a3"/>
        <w:ind w:firstLine="0"/>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La calcularea creanțelor față de FVV nu s-a ținut cont de regulile stabilite de cadrul regulator (120 zile de la </w:t>
      </w:r>
      <w:r w:rsidR="00A53AF7" w:rsidRPr="002751FC">
        <w:rPr>
          <w:rFonts w:asciiTheme="majorHAnsi" w:eastAsia="Times New Roman" w:hAnsiTheme="majorHAnsi" w:cstheme="majorHAnsi"/>
          <w:sz w:val="28"/>
          <w:szCs w:val="28"/>
          <w:lang w:val="ro-MD"/>
        </w:rPr>
        <w:t>d</w:t>
      </w:r>
      <w:r w:rsidRPr="002751FC">
        <w:rPr>
          <w:rFonts w:asciiTheme="majorHAnsi" w:eastAsia="Times New Roman" w:hAnsiTheme="majorHAnsi" w:cstheme="majorHAnsi"/>
          <w:sz w:val="28"/>
          <w:szCs w:val="28"/>
          <w:lang w:val="ro-MD"/>
        </w:rPr>
        <w:t xml:space="preserve">ata emiterii facturii), acestea fiind calculate după regula general acceptată </w:t>
      </w:r>
      <w:r w:rsidR="00A53AF7" w:rsidRPr="002751FC">
        <w:rPr>
          <w:rFonts w:asciiTheme="majorHAnsi" w:eastAsia="Times New Roman" w:hAnsiTheme="majorHAnsi" w:cstheme="majorHAnsi"/>
          <w:sz w:val="28"/>
          <w:szCs w:val="28"/>
          <w:lang w:val="ro-MD"/>
        </w:rPr>
        <w:t>prevăzută</w:t>
      </w:r>
      <w:r w:rsidRPr="002751FC">
        <w:rPr>
          <w:rFonts w:asciiTheme="majorHAnsi" w:eastAsia="Times New Roman" w:hAnsiTheme="majorHAnsi" w:cstheme="majorHAnsi"/>
          <w:sz w:val="28"/>
          <w:szCs w:val="28"/>
          <w:lang w:val="ro-MD"/>
        </w:rPr>
        <w:t xml:space="preserve"> de Codul fiscal </w:t>
      </w:r>
      <w:r w:rsidR="00A53AF7" w:rsidRPr="002751FC">
        <w:rPr>
          <w:rFonts w:asciiTheme="majorHAnsi" w:eastAsia="Times New Roman" w:hAnsiTheme="majorHAnsi" w:cstheme="majorHAnsi"/>
          <w:sz w:val="28"/>
          <w:szCs w:val="28"/>
          <w:lang w:val="ro-MD"/>
        </w:rPr>
        <w:t xml:space="preserve">(sold </w:t>
      </w:r>
      <w:proofErr w:type="spellStart"/>
      <w:r w:rsidR="00A53AF7" w:rsidRPr="002751FC">
        <w:rPr>
          <w:rFonts w:asciiTheme="majorHAnsi" w:eastAsia="Times New Roman" w:hAnsiTheme="majorHAnsi" w:cstheme="majorHAnsi"/>
          <w:sz w:val="28"/>
          <w:szCs w:val="28"/>
          <w:lang w:val="ro-MD"/>
        </w:rPr>
        <w:t>ini</w:t>
      </w:r>
      <w:r w:rsidR="006B3F55" w:rsidRPr="002751FC">
        <w:rPr>
          <w:rFonts w:asciiTheme="majorHAnsi" w:eastAsia="Times New Roman" w:hAnsiTheme="majorHAnsi" w:cstheme="majorHAnsi"/>
          <w:sz w:val="28"/>
          <w:szCs w:val="28"/>
          <w:lang w:val="ro-MD"/>
        </w:rPr>
        <w:t>ț</w:t>
      </w:r>
      <w:r w:rsidR="00A53AF7" w:rsidRPr="002751FC">
        <w:rPr>
          <w:rFonts w:asciiTheme="majorHAnsi" w:eastAsia="Times New Roman" w:hAnsiTheme="majorHAnsi" w:cstheme="majorHAnsi"/>
          <w:sz w:val="28"/>
          <w:szCs w:val="28"/>
          <w:lang w:val="ro-MD"/>
        </w:rPr>
        <w:t>ial+calculat-</w:t>
      </w:r>
      <w:r w:rsidRPr="002751FC">
        <w:rPr>
          <w:rFonts w:asciiTheme="majorHAnsi" w:eastAsia="Times New Roman" w:hAnsiTheme="majorHAnsi" w:cstheme="majorHAnsi"/>
          <w:sz w:val="28"/>
          <w:szCs w:val="28"/>
          <w:lang w:val="ro-MD"/>
        </w:rPr>
        <w:t>achitat</w:t>
      </w:r>
      <w:proofErr w:type="spellEnd"/>
      <w:r w:rsidRPr="002751FC">
        <w:rPr>
          <w:rFonts w:asciiTheme="majorHAnsi" w:eastAsia="Times New Roman" w:hAnsiTheme="majorHAnsi" w:cstheme="majorHAnsi"/>
          <w:sz w:val="28"/>
          <w:szCs w:val="28"/>
          <w:lang w:val="ro-MD"/>
        </w:rPr>
        <w:t>=sold final). În aceste condiții, reieșind din mecanismul propus de cadrul regulator, obligațiunile față de FVV nu reflectă situația reală.</w:t>
      </w:r>
    </w:p>
    <w:p w:rsidR="002B0C1F" w:rsidRPr="002751FC" w:rsidRDefault="002B0C1F" w:rsidP="00243401">
      <w:pPr>
        <w:pStyle w:val="a3"/>
        <w:rPr>
          <w:rFonts w:asciiTheme="majorHAnsi" w:eastAsia="Times New Roman" w:hAnsiTheme="majorHAnsi" w:cstheme="majorHAnsi"/>
          <w:sz w:val="20"/>
          <w:szCs w:val="20"/>
          <w:lang w:val="ro-MD"/>
        </w:rPr>
      </w:pPr>
    </w:p>
    <w:p w:rsidR="005951C8" w:rsidRPr="002751FC" w:rsidRDefault="002B0C1F" w:rsidP="00974758">
      <w:pPr>
        <w:pStyle w:val="a3"/>
        <w:spacing w:line="259" w:lineRule="auto"/>
        <w:ind w:firstLine="0"/>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Privitor la plata de către </w:t>
      </w:r>
      <w:r w:rsidR="00A53AF7" w:rsidRPr="002751FC">
        <w:rPr>
          <w:rFonts w:asciiTheme="majorHAnsi" w:eastAsia="Times New Roman" w:hAnsiTheme="majorHAnsi" w:cstheme="majorHAnsi"/>
          <w:sz w:val="28"/>
          <w:szCs w:val="28"/>
          <w:lang w:val="ro-MD"/>
        </w:rPr>
        <w:t>producătorii</w:t>
      </w:r>
      <w:r w:rsidRPr="002751FC">
        <w:rPr>
          <w:rFonts w:asciiTheme="majorHAnsi" w:eastAsia="Times New Roman" w:hAnsiTheme="majorHAnsi" w:cstheme="majorHAnsi"/>
          <w:sz w:val="28"/>
          <w:szCs w:val="28"/>
          <w:lang w:val="ro-MD"/>
        </w:rPr>
        <w:t xml:space="preserve"> de produse </w:t>
      </w:r>
      <w:r w:rsidR="00A53AF7" w:rsidRPr="002751FC">
        <w:rPr>
          <w:rFonts w:asciiTheme="majorHAnsi" w:eastAsia="Times New Roman" w:hAnsiTheme="majorHAnsi" w:cstheme="majorHAnsi"/>
          <w:sz w:val="28"/>
          <w:szCs w:val="28"/>
          <w:lang w:val="ro-MD"/>
        </w:rPr>
        <w:t>vitivinicole</w:t>
      </w:r>
      <w:r w:rsidRPr="002751FC">
        <w:rPr>
          <w:rFonts w:asciiTheme="majorHAnsi" w:eastAsia="Times New Roman" w:hAnsiTheme="majorHAnsi" w:cstheme="majorHAnsi"/>
          <w:sz w:val="28"/>
          <w:szCs w:val="28"/>
          <w:lang w:val="ro-MD"/>
        </w:rPr>
        <w:t xml:space="preserve"> a contribuțiilor în FVV, </w:t>
      </w:r>
      <w:r w:rsidR="00A53AF7" w:rsidRPr="002751FC">
        <w:rPr>
          <w:rFonts w:asciiTheme="majorHAnsi" w:eastAsia="Times New Roman" w:hAnsiTheme="majorHAnsi" w:cstheme="majorHAnsi"/>
          <w:sz w:val="28"/>
          <w:szCs w:val="28"/>
          <w:lang w:val="ro-MD"/>
        </w:rPr>
        <w:t>menționăm</w:t>
      </w:r>
      <w:r w:rsidRPr="002751FC">
        <w:rPr>
          <w:rFonts w:asciiTheme="majorHAnsi" w:eastAsia="Times New Roman" w:hAnsiTheme="majorHAnsi" w:cstheme="majorHAnsi"/>
          <w:sz w:val="28"/>
          <w:szCs w:val="28"/>
          <w:lang w:val="ro-MD"/>
        </w:rPr>
        <w:t xml:space="preserve"> că, în anul 2015, prin Legea nr.227 din 10.12.2015</w:t>
      </w:r>
      <w:r w:rsidRPr="002751FC">
        <w:rPr>
          <w:rStyle w:val="ab"/>
          <w:rFonts w:asciiTheme="majorHAnsi" w:hAnsiTheme="majorHAnsi" w:cstheme="majorHAnsi"/>
          <w:sz w:val="28"/>
          <w:szCs w:val="28"/>
          <w:lang w:val="ro-MD"/>
        </w:rPr>
        <w:footnoteReference w:id="106"/>
      </w:r>
      <w:r w:rsidRPr="002751FC">
        <w:rPr>
          <w:rFonts w:asciiTheme="majorHAnsi" w:eastAsia="Times New Roman" w:hAnsiTheme="majorHAnsi" w:cstheme="majorHAnsi"/>
          <w:sz w:val="28"/>
          <w:szCs w:val="28"/>
          <w:lang w:val="ro-MD"/>
        </w:rPr>
        <w:t xml:space="preserve"> au fost </w:t>
      </w:r>
      <w:r w:rsidR="00A53AF7" w:rsidRPr="002751FC">
        <w:rPr>
          <w:rFonts w:asciiTheme="majorHAnsi" w:eastAsia="Times New Roman" w:hAnsiTheme="majorHAnsi" w:cstheme="majorHAnsi"/>
          <w:sz w:val="28"/>
          <w:szCs w:val="28"/>
          <w:lang w:val="ro-MD"/>
        </w:rPr>
        <w:t>introduse</w:t>
      </w:r>
      <w:r w:rsidRPr="002751FC">
        <w:rPr>
          <w:rFonts w:asciiTheme="majorHAnsi" w:eastAsia="Times New Roman" w:hAnsiTheme="majorHAnsi" w:cstheme="majorHAnsi"/>
          <w:sz w:val="28"/>
          <w:szCs w:val="28"/>
          <w:lang w:val="ro-MD"/>
        </w:rPr>
        <w:t xml:space="preserve"> reguli noi, prin deroga</w:t>
      </w:r>
      <w:r w:rsidR="004E4A5F">
        <w:rPr>
          <w:rFonts w:asciiTheme="majorHAnsi" w:eastAsia="Times New Roman" w:hAnsiTheme="majorHAnsi" w:cstheme="majorHAnsi"/>
          <w:sz w:val="28"/>
          <w:szCs w:val="28"/>
          <w:lang w:val="ro-MD"/>
        </w:rPr>
        <w:t>r</w:t>
      </w:r>
      <w:r w:rsidRPr="002751FC">
        <w:rPr>
          <w:rFonts w:asciiTheme="majorHAnsi" w:eastAsia="Times New Roman" w:hAnsiTheme="majorHAnsi" w:cstheme="majorHAnsi"/>
          <w:sz w:val="28"/>
          <w:szCs w:val="28"/>
          <w:lang w:val="ro-MD"/>
        </w:rPr>
        <w:t>e de la art.32</w:t>
      </w:r>
      <w:r w:rsidRPr="002751FC">
        <w:rPr>
          <w:rFonts w:asciiTheme="majorHAnsi" w:eastAsia="Times New Roman" w:hAnsiTheme="majorHAnsi" w:cstheme="majorHAnsi"/>
          <w:sz w:val="28"/>
          <w:szCs w:val="28"/>
          <w:vertAlign w:val="superscript"/>
          <w:lang w:val="ro-MD"/>
        </w:rPr>
        <w:t>3</w:t>
      </w:r>
      <w:r w:rsidR="00A53AF7"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alin.(7) din L</w:t>
      </w:r>
      <w:r w:rsidR="00A53AF7" w:rsidRPr="002751FC">
        <w:rPr>
          <w:rFonts w:asciiTheme="majorHAnsi" w:eastAsia="Times New Roman" w:hAnsiTheme="majorHAnsi" w:cstheme="majorHAnsi"/>
          <w:sz w:val="28"/>
          <w:szCs w:val="28"/>
          <w:lang w:val="ro-MD"/>
        </w:rPr>
        <w:t>egea vie</w:t>
      </w:r>
      <w:r w:rsidR="004E4A5F">
        <w:rPr>
          <w:rFonts w:asciiTheme="majorHAnsi" w:eastAsia="Times New Roman" w:hAnsiTheme="majorHAnsi" w:cstheme="majorHAnsi"/>
          <w:sz w:val="28"/>
          <w:szCs w:val="28"/>
          <w:lang w:val="ro-MD"/>
        </w:rPr>
        <w:t>i</w:t>
      </w:r>
      <w:r w:rsidR="00A53AF7" w:rsidRPr="002751FC">
        <w:rPr>
          <w:rFonts w:asciiTheme="majorHAnsi" w:eastAsia="Times New Roman" w:hAnsiTheme="majorHAnsi" w:cstheme="majorHAnsi"/>
          <w:sz w:val="28"/>
          <w:szCs w:val="28"/>
          <w:lang w:val="ro-MD"/>
        </w:rPr>
        <w:t xml:space="preserve"> şi vinului </w:t>
      </w:r>
      <w:r w:rsidRPr="002751FC">
        <w:rPr>
          <w:rFonts w:asciiTheme="majorHAnsi" w:eastAsia="Times New Roman" w:hAnsiTheme="majorHAnsi" w:cstheme="majorHAnsi"/>
          <w:sz w:val="28"/>
          <w:szCs w:val="28"/>
          <w:lang w:val="ro-MD"/>
        </w:rPr>
        <w:t>(</w:t>
      </w:r>
      <w:r w:rsidR="00A53AF7" w:rsidRPr="002751FC">
        <w:rPr>
          <w:rFonts w:asciiTheme="majorHAnsi" w:eastAsia="Times New Roman" w:hAnsiTheme="majorHAnsi" w:cstheme="majorHAnsi"/>
          <w:sz w:val="28"/>
          <w:szCs w:val="28"/>
          <w:lang w:val="ro-MD"/>
        </w:rPr>
        <w:t>v</w:t>
      </w:r>
      <w:r w:rsidRPr="002751FC">
        <w:rPr>
          <w:rFonts w:asciiTheme="majorHAnsi" w:eastAsia="Times New Roman" w:hAnsiTheme="majorHAnsi" w:cstheme="majorHAnsi"/>
          <w:sz w:val="28"/>
          <w:szCs w:val="28"/>
          <w:lang w:val="ro-MD"/>
        </w:rPr>
        <w:t>ezi Anexa nr.8 la prezentul Raport de audit), conform cărora</w:t>
      </w:r>
      <w:r w:rsidR="00617BE3" w:rsidRPr="002751FC">
        <w:rPr>
          <w:rFonts w:asciiTheme="majorHAnsi" w:hAnsiTheme="majorHAnsi" w:cstheme="majorHAnsi"/>
          <w:sz w:val="28"/>
          <w:szCs w:val="28"/>
          <w:lang w:val="ro-MD"/>
        </w:rPr>
        <w:t xml:space="preserve">, în cazurile în care obligațiile de plată a contribuțiilor obligatorii în FVV </w:t>
      </w:r>
      <w:r w:rsidR="00574EA4" w:rsidRPr="002751FC">
        <w:rPr>
          <w:rFonts w:asciiTheme="majorHAnsi" w:hAnsiTheme="majorHAnsi" w:cstheme="majorHAnsi"/>
          <w:sz w:val="28"/>
          <w:szCs w:val="28"/>
          <w:lang w:val="ro-MD"/>
        </w:rPr>
        <w:t xml:space="preserve">pentru anul 2013 </w:t>
      </w:r>
      <w:r w:rsidR="00617BE3" w:rsidRPr="002751FC">
        <w:rPr>
          <w:rFonts w:asciiTheme="majorHAnsi" w:hAnsiTheme="majorHAnsi" w:cstheme="majorHAnsi"/>
          <w:sz w:val="28"/>
          <w:szCs w:val="28"/>
          <w:lang w:val="ro-MD"/>
        </w:rPr>
        <w:t>sunt mai mari decât cele calculate pentru anul 2015, diferența se trece în contul obligațiilor de plată pentru anii următori</w:t>
      </w:r>
      <w:r w:rsidR="00F670E4" w:rsidRPr="002751FC">
        <w:rPr>
          <w:rFonts w:asciiTheme="majorHAnsi" w:hAnsiTheme="majorHAnsi" w:cstheme="majorHAnsi"/>
          <w:sz w:val="28"/>
          <w:szCs w:val="28"/>
          <w:lang w:val="ro-MD"/>
        </w:rPr>
        <w:t>.</w:t>
      </w:r>
    </w:p>
    <w:p w:rsidR="005951C8" w:rsidRPr="002751FC" w:rsidRDefault="005951C8" w:rsidP="00243401">
      <w:pPr>
        <w:pStyle w:val="a3"/>
        <w:ind w:firstLine="0"/>
        <w:rPr>
          <w:rFonts w:asciiTheme="majorHAnsi" w:eastAsia="Times New Roman" w:hAnsiTheme="majorHAnsi" w:cstheme="majorHAnsi"/>
          <w:sz w:val="20"/>
          <w:szCs w:val="20"/>
          <w:lang w:val="ro-MD"/>
        </w:rPr>
      </w:pPr>
    </w:p>
    <w:p w:rsidR="003A63F2" w:rsidRPr="002751FC" w:rsidRDefault="00574EA4" w:rsidP="00974758">
      <w:pPr>
        <w:spacing w:after="0"/>
        <w:jc w:val="both"/>
        <w:rPr>
          <w:rFonts w:asciiTheme="majorHAnsi" w:eastAsia="Times New Roman" w:hAnsiTheme="majorHAnsi" w:cstheme="majorHAnsi"/>
          <w:i/>
          <w:sz w:val="28"/>
          <w:szCs w:val="28"/>
          <w:lang w:val="ro-MD"/>
        </w:rPr>
      </w:pPr>
      <w:r w:rsidRPr="002751FC">
        <w:rPr>
          <w:rFonts w:asciiTheme="majorHAnsi" w:hAnsiTheme="majorHAnsi" w:cstheme="majorHAnsi"/>
          <w:sz w:val="28"/>
          <w:szCs w:val="28"/>
          <w:lang w:val="ro-MD"/>
        </w:rPr>
        <w:t xml:space="preserve">De menționat că </w:t>
      </w:r>
      <w:r w:rsidR="003A63F2" w:rsidRPr="002751FC">
        <w:rPr>
          <w:rFonts w:asciiTheme="majorHAnsi" w:hAnsiTheme="majorHAnsi" w:cstheme="majorHAnsi"/>
          <w:sz w:val="28"/>
          <w:szCs w:val="28"/>
          <w:lang w:val="ro-MD"/>
        </w:rPr>
        <w:t xml:space="preserve">ONVV nu a ținut cont </w:t>
      </w:r>
      <w:r w:rsidRPr="002751FC">
        <w:rPr>
          <w:rFonts w:asciiTheme="majorHAnsi" w:hAnsiTheme="majorHAnsi" w:cstheme="majorHAnsi"/>
          <w:sz w:val="28"/>
          <w:szCs w:val="28"/>
          <w:lang w:val="ro-MD"/>
        </w:rPr>
        <w:t>de aceste prevederi</w:t>
      </w:r>
      <w:r w:rsidR="003A63F2" w:rsidRPr="002751FC">
        <w:rPr>
          <w:rFonts w:asciiTheme="majorHAnsi" w:hAnsiTheme="majorHAnsi" w:cstheme="majorHAnsi"/>
          <w:sz w:val="28"/>
          <w:szCs w:val="28"/>
          <w:lang w:val="ro-MD"/>
        </w:rPr>
        <w:t xml:space="preserve">, contribuțiile în FVV calculate pentru anul 2013 fiind anulate integral. Astfel, restanțele la plata contribuțiilor față de FVV au fost diminuate per total cu 23,4 </w:t>
      </w:r>
      <w:proofErr w:type="spellStart"/>
      <w:r w:rsidR="003A63F2" w:rsidRPr="002751FC">
        <w:rPr>
          <w:rFonts w:asciiTheme="majorHAnsi" w:hAnsiTheme="majorHAnsi" w:cstheme="majorHAnsi"/>
          <w:sz w:val="28"/>
          <w:szCs w:val="28"/>
          <w:lang w:val="ro-MD"/>
        </w:rPr>
        <w:t>mil.MDL</w:t>
      </w:r>
      <w:proofErr w:type="spellEnd"/>
      <w:r w:rsidR="003A63F2" w:rsidRPr="002751FC">
        <w:rPr>
          <w:rFonts w:asciiTheme="majorHAnsi" w:hAnsiTheme="majorHAnsi" w:cstheme="majorHAnsi"/>
          <w:sz w:val="28"/>
          <w:szCs w:val="28"/>
          <w:lang w:val="ro-MD"/>
        </w:rPr>
        <w:t xml:space="preserve">. </w:t>
      </w:r>
      <w:r w:rsidR="003A63F2" w:rsidRPr="002751FC">
        <w:rPr>
          <w:rFonts w:asciiTheme="majorHAnsi" w:eastAsia="Times New Roman" w:hAnsiTheme="majorHAnsi" w:cstheme="majorHAnsi"/>
          <w:i/>
          <w:sz w:val="28"/>
          <w:szCs w:val="28"/>
          <w:lang w:val="ro-MD"/>
        </w:rPr>
        <w:t>Situația este prezentată în Tabelul nr.11.</w:t>
      </w:r>
    </w:p>
    <w:p w:rsidR="00574EA4" w:rsidRPr="002751FC" w:rsidRDefault="00623BC8" w:rsidP="00574EA4">
      <w:pPr>
        <w:pStyle w:val="a3"/>
        <w:ind w:firstLine="0"/>
        <w:jc w:val="right"/>
        <w:rPr>
          <w:rFonts w:asciiTheme="majorHAnsi" w:eastAsia="Times New Roman" w:hAnsiTheme="majorHAnsi" w:cstheme="majorHAnsi"/>
          <w:b/>
          <w:sz w:val="20"/>
          <w:szCs w:val="20"/>
          <w:lang w:val="ro-MD"/>
        </w:rPr>
      </w:pPr>
      <w:r>
        <w:rPr>
          <w:rFonts w:asciiTheme="majorHAnsi" w:eastAsia="Times New Roman" w:hAnsiTheme="majorHAnsi" w:cstheme="majorHAnsi"/>
          <w:b/>
          <w:sz w:val="20"/>
          <w:szCs w:val="20"/>
          <w:lang w:val="ro-MD"/>
        </w:rPr>
        <w:t>Tabelul nr.11</w:t>
      </w:r>
    </w:p>
    <w:p w:rsidR="002B0C1F" w:rsidRPr="002751FC" w:rsidRDefault="002B0C1F" w:rsidP="009F06EB">
      <w:pPr>
        <w:pStyle w:val="a3"/>
        <w:ind w:firstLine="0"/>
        <w:jc w:val="center"/>
        <w:rPr>
          <w:rFonts w:asciiTheme="majorHAnsi" w:eastAsia="Times New Roman" w:hAnsiTheme="majorHAnsi" w:cstheme="majorHAnsi"/>
          <w:sz w:val="28"/>
          <w:szCs w:val="28"/>
          <w:lang w:val="ro-MD"/>
        </w:rPr>
      </w:pPr>
      <w:r w:rsidRPr="002751FC">
        <w:rPr>
          <w:rFonts w:asciiTheme="majorHAnsi" w:eastAsia="Times New Roman" w:hAnsiTheme="majorHAnsi" w:cstheme="majorHAnsi"/>
          <w:b/>
          <w:sz w:val="20"/>
          <w:szCs w:val="20"/>
          <w:lang w:val="ro-MD"/>
        </w:rPr>
        <w:t>Divergențe</w:t>
      </w:r>
      <w:r w:rsidR="003C7840" w:rsidRPr="002751FC">
        <w:rPr>
          <w:rFonts w:asciiTheme="majorHAnsi" w:eastAsia="Times New Roman" w:hAnsiTheme="majorHAnsi" w:cstheme="majorHAnsi"/>
          <w:b/>
          <w:sz w:val="20"/>
          <w:szCs w:val="20"/>
          <w:lang w:val="ro-MD"/>
        </w:rPr>
        <w:t>le</w:t>
      </w:r>
      <w:r w:rsidRPr="002751FC">
        <w:rPr>
          <w:rFonts w:asciiTheme="majorHAnsi" w:eastAsia="Times New Roman" w:hAnsiTheme="majorHAnsi" w:cstheme="majorHAnsi"/>
          <w:b/>
          <w:sz w:val="20"/>
          <w:szCs w:val="20"/>
          <w:lang w:val="ro-MD"/>
        </w:rPr>
        <w:t xml:space="preserve"> în calcularea contribuțiilor în FVV de către ONVV și SFS pentru anii 2014-2018</w:t>
      </w:r>
    </w:p>
    <w:tbl>
      <w:tblPr>
        <w:tblStyle w:val="ae"/>
        <w:tblW w:w="9823" w:type="dxa"/>
        <w:tblLook w:val="04A0" w:firstRow="1" w:lastRow="0" w:firstColumn="1" w:lastColumn="0" w:noHBand="0" w:noVBand="1"/>
      </w:tblPr>
      <w:tblGrid>
        <w:gridCol w:w="4803"/>
        <w:gridCol w:w="697"/>
        <w:gridCol w:w="641"/>
        <w:gridCol w:w="692"/>
        <w:gridCol w:w="641"/>
        <w:gridCol w:w="725"/>
        <w:gridCol w:w="726"/>
        <w:gridCol w:w="898"/>
      </w:tblGrid>
      <w:tr w:rsidR="002B0C1F" w:rsidRPr="002751FC" w:rsidTr="00021441">
        <w:trPr>
          <w:trHeight w:val="241"/>
        </w:trPr>
        <w:tc>
          <w:tcPr>
            <w:tcW w:w="4803" w:type="dxa"/>
            <w:shd w:val="clear" w:color="auto" w:fill="DEEAF6" w:themeFill="accent1" w:themeFillTint="33"/>
          </w:tcPr>
          <w:p w:rsidR="002B0C1F" w:rsidRPr="002751FC" w:rsidRDefault="002B0C1F" w:rsidP="00243401">
            <w:pPr>
              <w:pStyle w:val="a3"/>
              <w:ind w:firstLine="0"/>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Indicatorii</w:t>
            </w:r>
          </w:p>
        </w:tc>
        <w:tc>
          <w:tcPr>
            <w:tcW w:w="697" w:type="dxa"/>
            <w:shd w:val="clear" w:color="auto" w:fill="DEEAF6" w:themeFill="accent1" w:themeFillTint="33"/>
          </w:tcPr>
          <w:p w:rsidR="002B0C1F" w:rsidRPr="002751FC" w:rsidRDefault="002B0C1F" w:rsidP="000C4A1B">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2013</w:t>
            </w:r>
          </w:p>
        </w:tc>
        <w:tc>
          <w:tcPr>
            <w:tcW w:w="641" w:type="dxa"/>
            <w:shd w:val="clear" w:color="auto" w:fill="DEEAF6" w:themeFill="accent1" w:themeFillTint="33"/>
          </w:tcPr>
          <w:p w:rsidR="002B0C1F" w:rsidRPr="002751FC" w:rsidRDefault="002B0C1F" w:rsidP="000C4A1B">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2014</w:t>
            </w:r>
          </w:p>
        </w:tc>
        <w:tc>
          <w:tcPr>
            <w:tcW w:w="692" w:type="dxa"/>
            <w:shd w:val="clear" w:color="auto" w:fill="DEEAF6" w:themeFill="accent1" w:themeFillTint="33"/>
          </w:tcPr>
          <w:p w:rsidR="002B0C1F" w:rsidRPr="002751FC" w:rsidRDefault="002B0C1F" w:rsidP="000C4A1B">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2015</w:t>
            </w:r>
          </w:p>
        </w:tc>
        <w:tc>
          <w:tcPr>
            <w:tcW w:w="641" w:type="dxa"/>
            <w:shd w:val="clear" w:color="auto" w:fill="DEEAF6" w:themeFill="accent1" w:themeFillTint="33"/>
          </w:tcPr>
          <w:p w:rsidR="002B0C1F" w:rsidRPr="002751FC" w:rsidRDefault="002B0C1F" w:rsidP="000C4A1B">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2016</w:t>
            </w:r>
          </w:p>
        </w:tc>
        <w:tc>
          <w:tcPr>
            <w:tcW w:w="725" w:type="dxa"/>
            <w:shd w:val="clear" w:color="auto" w:fill="DEEAF6" w:themeFill="accent1" w:themeFillTint="33"/>
          </w:tcPr>
          <w:p w:rsidR="002B0C1F" w:rsidRPr="002751FC" w:rsidRDefault="002B0C1F" w:rsidP="000C4A1B">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2017</w:t>
            </w:r>
          </w:p>
        </w:tc>
        <w:tc>
          <w:tcPr>
            <w:tcW w:w="726" w:type="dxa"/>
            <w:shd w:val="clear" w:color="auto" w:fill="DEEAF6" w:themeFill="accent1" w:themeFillTint="33"/>
          </w:tcPr>
          <w:p w:rsidR="002B0C1F" w:rsidRPr="002751FC" w:rsidRDefault="002B0C1F" w:rsidP="000C4A1B">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2018</w:t>
            </w:r>
          </w:p>
        </w:tc>
        <w:tc>
          <w:tcPr>
            <w:tcW w:w="898" w:type="dxa"/>
            <w:shd w:val="clear" w:color="auto" w:fill="DEEAF6" w:themeFill="accent1" w:themeFillTint="33"/>
          </w:tcPr>
          <w:p w:rsidR="002B0C1F" w:rsidRPr="002751FC" w:rsidRDefault="003C7840" w:rsidP="000C4A1B">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T</w:t>
            </w:r>
            <w:r w:rsidR="002B0C1F" w:rsidRPr="002751FC">
              <w:rPr>
                <w:rFonts w:asciiTheme="majorHAnsi" w:eastAsia="Times New Roman" w:hAnsiTheme="majorHAnsi" w:cstheme="majorHAnsi"/>
                <w:b/>
                <w:sz w:val="20"/>
                <w:szCs w:val="20"/>
                <w:lang w:val="ro-MD"/>
              </w:rPr>
              <w:t>otal</w:t>
            </w:r>
          </w:p>
        </w:tc>
      </w:tr>
      <w:tr w:rsidR="001D3C2F" w:rsidRPr="002751FC" w:rsidTr="00AD4FAE">
        <w:trPr>
          <w:trHeight w:val="189"/>
        </w:trPr>
        <w:tc>
          <w:tcPr>
            <w:tcW w:w="4803" w:type="dxa"/>
          </w:tcPr>
          <w:p w:rsidR="001D3C2F" w:rsidRPr="002751FC" w:rsidRDefault="001D3C2F" w:rsidP="001D3C2F">
            <w:pPr>
              <w:pStyle w:val="a3"/>
              <w:ind w:firstLine="0"/>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Datele SFS</w:t>
            </w:r>
          </w:p>
        </w:tc>
        <w:tc>
          <w:tcPr>
            <w:tcW w:w="697"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23,4</w:t>
            </w:r>
          </w:p>
        </w:tc>
        <w:tc>
          <w:tcPr>
            <w:tcW w:w="641"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19,0</w:t>
            </w:r>
          </w:p>
        </w:tc>
        <w:tc>
          <w:tcPr>
            <w:tcW w:w="692"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17,6</w:t>
            </w:r>
          </w:p>
        </w:tc>
        <w:tc>
          <w:tcPr>
            <w:tcW w:w="641"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23,2</w:t>
            </w:r>
          </w:p>
        </w:tc>
        <w:tc>
          <w:tcPr>
            <w:tcW w:w="725"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23,3</w:t>
            </w:r>
          </w:p>
        </w:tc>
        <w:tc>
          <w:tcPr>
            <w:tcW w:w="726"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24,9</w:t>
            </w:r>
          </w:p>
        </w:tc>
        <w:tc>
          <w:tcPr>
            <w:tcW w:w="898"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133,4</w:t>
            </w:r>
          </w:p>
        </w:tc>
      </w:tr>
      <w:tr w:rsidR="001D3C2F" w:rsidRPr="002751FC" w:rsidTr="008E6A80">
        <w:trPr>
          <w:trHeight w:val="201"/>
        </w:trPr>
        <w:tc>
          <w:tcPr>
            <w:tcW w:w="4803" w:type="dxa"/>
          </w:tcPr>
          <w:p w:rsidR="001D3C2F" w:rsidRPr="002751FC" w:rsidRDefault="001D3C2F" w:rsidP="001D3C2F">
            <w:pPr>
              <w:pStyle w:val="a3"/>
              <w:ind w:firstLine="0"/>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Datele ONVV</w:t>
            </w:r>
          </w:p>
        </w:tc>
        <w:tc>
          <w:tcPr>
            <w:tcW w:w="697"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x</w:t>
            </w:r>
            <w:r w:rsidRPr="002751FC">
              <w:rPr>
                <w:rStyle w:val="ab"/>
                <w:rFonts w:asciiTheme="majorHAnsi" w:hAnsiTheme="majorHAnsi" w:cstheme="majorHAnsi"/>
                <w:sz w:val="20"/>
                <w:szCs w:val="20"/>
                <w:lang w:val="ro-MD"/>
              </w:rPr>
              <w:footnoteReference w:id="107"/>
            </w:r>
          </w:p>
        </w:tc>
        <w:tc>
          <w:tcPr>
            <w:tcW w:w="641"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19,0</w:t>
            </w:r>
          </w:p>
        </w:tc>
        <w:tc>
          <w:tcPr>
            <w:tcW w:w="692"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17,6</w:t>
            </w:r>
          </w:p>
        </w:tc>
        <w:tc>
          <w:tcPr>
            <w:tcW w:w="641"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23,2</w:t>
            </w:r>
          </w:p>
        </w:tc>
        <w:tc>
          <w:tcPr>
            <w:tcW w:w="725"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23,3</w:t>
            </w:r>
          </w:p>
        </w:tc>
        <w:tc>
          <w:tcPr>
            <w:tcW w:w="726"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24,9</w:t>
            </w:r>
          </w:p>
        </w:tc>
        <w:tc>
          <w:tcPr>
            <w:tcW w:w="898"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108,0</w:t>
            </w:r>
          </w:p>
        </w:tc>
      </w:tr>
      <w:tr w:rsidR="001D3C2F" w:rsidRPr="002751FC" w:rsidTr="009F06EB">
        <w:trPr>
          <w:trHeight w:val="243"/>
        </w:trPr>
        <w:tc>
          <w:tcPr>
            <w:tcW w:w="4803" w:type="dxa"/>
          </w:tcPr>
          <w:p w:rsidR="001D3C2F" w:rsidRPr="002751FC" w:rsidRDefault="001D3C2F" w:rsidP="001D3C2F">
            <w:pPr>
              <w:pStyle w:val="a3"/>
              <w:ind w:firstLine="0"/>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Devieri datele SFS față de ONVV</w:t>
            </w:r>
          </w:p>
        </w:tc>
        <w:tc>
          <w:tcPr>
            <w:tcW w:w="697"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+23,4</w:t>
            </w:r>
          </w:p>
        </w:tc>
        <w:tc>
          <w:tcPr>
            <w:tcW w:w="641"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w:t>
            </w:r>
          </w:p>
        </w:tc>
        <w:tc>
          <w:tcPr>
            <w:tcW w:w="692"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w:t>
            </w:r>
          </w:p>
        </w:tc>
        <w:tc>
          <w:tcPr>
            <w:tcW w:w="641"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w:t>
            </w:r>
          </w:p>
        </w:tc>
        <w:tc>
          <w:tcPr>
            <w:tcW w:w="725"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w:t>
            </w:r>
          </w:p>
        </w:tc>
        <w:tc>
          <w:tcPr>
            <w:tcW w:w="726"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w:t>
            </w:r>
          </w:p>
        </w:tc>
        <w:tc>
          <w:tcPr>
            <w:tcW w:w="898" w:type="dxa"/>
          </w:tcPr>
          <w:p w:rsidR="001D3C2F" w:rsidRPr="002751FC" w:rsidRDefault="001D3C2F" w:rsidP="00021441">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+23,4</w:t>
            </w:r>
          </w:p>
        </w:tc>
      </w:tr>
    </w:tbl>
    <w:p w:rsidR="002B0C1F" w:rsidRPr="002751FC" w:rsidRDefault="002B0C1F" w:rsidP="00906FB3">
      <w:pPr>
        <w:pStyle w:val="a3"/>
        <w:ind w:firstLine="0"/>
        <w:rPr>
          <w:rFonts w:asciiTheme="majorHAnsi" w:eastAsia="Times New Roman" w:hAnsiTheme="majorHAnsi" w:cstheme="majorHAnsi"/>
          <w:sz w:val="16"/>
          <w:szCs w:val="16"/>
          <w:lang w:val="ro-MD"/>
        </w:rPr>
      </w:pPr>
      <w:r w:rsidRPr="002751FC">
        <w:rPr>
          <w:rFonts w:asciiTheme="majorHAnsi" w:eastAsia="Times New Roman" w:hAnsiTheme="majorHAnsi" w:cstheme="majorHAnsi"/>
          <w:b/>
          <w:sz w:val="16"/>
          <w:szCs w:val="16"/>
          <w:lang w:val="ro-MD"/>
        </w:rPr>
        <w:t>Sursa:</w:t>
      </w:r>
      <w:r w:rsidRPr="002751FC">
        <w:rPr>
          <w:rFonts w:asciiTheme="majorHAnsi" w:eastAsia="Times New Roman" w:hAnsiTheme="majorHAnsi" w:cstheme="majorHAnsi"/>
          <w:sz w:val="16"/>
          <w:szCs w:val="16"/>
          <w:lang w:val="ro-MD"/>
        </w:rPr>
        <w:t xml:space="preserve"> Datele SFS și ONVV.</w:t>
      </w:r>
    </w:p>
    <w:p w:rsidR="002B0C1F" w:rsidRPr="002751FC" w:rsidRDefault="002B0C1F" w:rsidP="00243401">
      <w:pPr>
        <w:pStyle w:val="a3"/>
        <w:rPr>
          <w:rFonts w:asciiTheme="majorHAnsi" w:eastAsia="Times New Roman" w:hAnsiTheme="majorHAnsi" w:cstheme="majorHAnsi"/>
          <w:sz w:val="20"/>
          <w:szCs w:val="20"/>
          <w:lang w:val="ro-MD"/>
        </w:rPr>
      </w:pPr>
    </w:p>
    <w:p w:rsidR="00F850B0" w:rsidRPr="002751FC" w:rsidRDefault="00E264DC" w:rsidP="00FD07D6">
      <w:pPr>
        <w:pStyle w:val="a5"/>
        <w:rPr>
          <w:rFonts w:asciiTheme="majorHAnsi" w:hAnsiTheme="majorHAnsi" w:cstheme="majorHAnsi"/>
          <w:b/>
          <w:lang w:val="ro-MD"/>
        </w:rPr>
      </w:pPr>
      <w:r w:rsidRPr="002751FC">
        <w:rPr>
          <w:rFonts w:asciiTheme="majorHAnsi" w:hAnsiTheme="majorHAnsi" w:cstheme="majorHAnsi"/>
          <w:sz w:val="28"/>
          <w:szCs w:val="28"/>
          <w:lang w:val="ro-MD"/>
        </w:rPr>
        <w:t>La r</w:t>
      </w:r>
      <w:r w:rsidR="006329C0" w:rsidRPr="002751FC">
        <w:rPr>
          <w:rFonts w:asciiTheme="majorHAnsi" w:hAnsiTheme="majorHAnsi" w:cstheme="majorHAnsi"/>
          <w:sz w:val="28"/>
          <w:szCs w:val="28"/>
          <w:lang w:val="ro-MD"/>
        </w:rPr>
        <w:t>econcilierea</w:t>
      </w:r>
      <w:r w:rsidR="002B0C1F" w:rsidRPr="002751FC">
        <w:rPr>
          <w:rFonts w:asciiTheme="majorHAnsi" w:hAnsiTheme="majorHAnsi" w:cstheme="majorHAnsi"/>
          <w:sz w:val="28"/>
          <w:szCs w:val="28"/>
          <w:lang w:val="ro-MD"/>
        </w:rPr>
        <w:t xml:space="preserve"> datelor SFS și ONVV pentru anii 2014-2018 privind contribuțiile în FVV calculate la zi </w:t>
      </w:r>
      <w:r w:rsidR="00364E3D" w:rsidRPr="002751FC">
        <w:rPr>
          <w:rFonts w:asciiTheme="majorHAnsi" w:hAnsiTheme="majorHAnsi" w:cstheme="majorHAnsi"/>
          <w:sz w:val="28"/>
          <w:szCs w:val="28"/>
          <w:lang w:val="ro-MD"/>
        </w:rPr>
        <w:t>s-</w:t>
      </w:r>
      <w:r w:rsidR="002B0C1F" w:rsidRPr="002751FC">
        <w:rPr>
          <w:rFonts w:asciiTheme="majorHAnsi" w:hAnsiTheme="majorHAnsi" w:cstheme="majorHAnsi"/>
          <w:sz w:val="28"/>
          <w:szCs w:val="28"/>
          <w:lang w:val="ro-MD"/>
        </w:rPr>
        <w:t>a</w:t>
      </w:r>
      <w:r w:rsidR="00364E3D" w:rsidRPr="002751FC">
        <w:rPr>
          <w:rFonts w:asciiTheme="majorHAnsi" w:hAnsiTheme="majorHAnsi" w:cstheme="majorHAnsi"/>
          <w:sz w:val="28"/>
          <w:szCs w:val="28"/>
          <w:lang w:val="ro-MD"/>
        </w:rPr>
        <w:t>u</w:t>
      </w:r>
      <w:r w:rsidR="002B0C1F" w:rsidRPr="002751FC">
        <w:rPr>
          <w:rFonts w:asciiTheme="majorHAnsi" w:hAnsiTheme="majorHAnsi" w:cstheme="majorHAnsi"/>
          <w:sz w:val="28"/>
          <w:szCs w:val="28"/>
          <w:lang w:val="ro-MD"/>
        </w:rPr>
        <w:t xml:space="preserve"> constatat divergențe, care se explică prin prezentarea de către contribuabili a </w:t>
      </w:r>
      <w:r w:rsidR="006329C0" w:rsidRPr="002751FC">
        <w:rPr>
          <w:rFonts w:asciiTheme="majorHAnsi" w:hAnsiTheme="majorHAnsi" w:cstheme="majorHAnsi"/>
          <w:sz w:val="28"/>
          <w:szCs w:val="28"/>
          <w:lang w:val="ro-MD"/>
        </w:rPr>
        <w:t>dărilor</w:t>
      </w:r>
      <w:r w:rsidR="002B0C1F" w:rsidRPr="002751FC">
        <w:rPr>
          <w:rFonts w:asciiTheme="majorHAnsi" w:hAnsiTheme="majorHAnsi" w:cstheme="majorHAnsi"/>
          <w:sz w:val="28"/>
          <w:szCs w:val="28"/>
          <w:lang w:val="ro-MD"/>
        </w:rPr>
        <w:t xml:space="preserve"> de seamă corectate pentru perioadele precedente. Divergențele </w:t>
      </w:r>
      <w:r w:rsidR="006329C0" w:rsidRPr="002751FC">
        <w:rPr>
          <w:rFonts w:asciiTheme="majorHAnsi" w:hAnsiTheme="majorHAnsi" w:cstheme="majorHAnsi"/>
          <w:sz w:val="28"/>
          <w:szCs w:val="28"/>
          <w:lang w:val="ro-MD"/>
        </w:rPr>
        <w:t>apărute</w:t>
      </w:r>
      <w:r w:rsidR="002B0C1F" w:rsidRPr="002751FC">
        <w:rPr>
          <w:rFonts w:asciiTheme="majorHAnsi" w:hAnsiTheme="majorHAnsi" w:cstheme="majorHAnsi"/>
          <w:sz w:val="28"/>
          <w:szCs w:val="28"/>
          <w:lang w:val="ro-MD"/>
        </w:rPr>
        <w:t xml:space="preserve"> sunt </w:t>
      </w:r>
      <w:r w:rsidR="00364E3D" w:rsidRPr="002751FC">
        <w:rPr>
          <w:rFonts w:asciiTheme="majorHAnsi" w:hAnsiTheme="majorHAnsi" w:cstheme="majorHAnsi"/>
          <w:sz w:val="28"/>
          <w:szCs w:val="28"/>
          <w:lang w:val="ro-MD"/>
        </w:rPr>
        <w:t xml:space="preserve">o </w:t>
      </w:r>
      <w:r w:rsidR="002B0C1F" w:rsidRPr="002751FC">
        <w:rPr>
          <w:rFonts w:asciiTheme="majorHAnsi" w:hAnsiTheme="majorHAnsi" w:cstheme="majorHAnsi"/>
          <w:sz w:val="28"/>
          <w:szCs w:val="28"/>
          <w:lang w:val="ro-MD"/>
        </w:rPr>
        <w:t xml:space="preserve">consecință a lipsei unui mecanism exhaustiv privitor la </w:t>
      </w:r>
      <w:r w:rsidR="006329C0" w:rsidRPr="002751FC">
        <w:rPr>
          <w:rFonts w:asciiTheme="majorHAnsi" w:hAnsiTheme="majorHAnsi" w:cstheme="majorHAnsi"/>
          <w:sz w:val="28"/>
          <w:szCs w:val="28"/>
          <w:lang w:val="ro-MD"/>
        </w:rPr>
        <w:t>periodicitatea</w:t>
      </w:r>
      <w:r w:rsidR="002B0C1F" w:rsidRPr="002751FC">
        <w:rPr>
          <w:rFonts w:asciiTheme="majorHAnsi" w:hAnsiTheme="majorHAnsi" w:cstheme="majorHAnsi"/>
          <w:sz w:val="28"/>
          <w:szCs w:val="28"/>
          <w:lang w:val="ro-MD"/>
        </w:rPr>
        <w:t xml:space="preserve"> de verificare a datel</w:t>
      </w:r>
      <w:r w:rsidR="006329C0" w:rsidRPr="002751FC">
        <w:rPr>
          <w:rFonts w:asciiTheme="majorHAnsi" w:hAnsiTheme="majorHAnsi" w:cstheme="majorHAnsi"/>
          <w:sz w:val="28"/>
          <w:szCs w:val="28"/>
          <w:lang w:val="ro-MD"/>
        </w:rPr>
        <w:t>or pentru anii precedenți, ceea</w:t>
      </w:r>
      <w:r w:rsidR="002B0C1F" w:rsidRPr="002751FC">
        <w:rPr>
          <w:rFonts w:asciiTheme="majorHAnsi" w:hAnsiTheme="majorHAnsi" w:cstheme="majorHAnsi"/>
          <w:sz w:val="28"/>
          <w:szCs w:val="28"/>
          <w:lang w:val="ro-MD"/>
        </w:rPr>
        <w:t xml:space="preserve"> ce a </w:t>
      </w:r>
      <w:r w:rsidR="00364E3D" w:rsidRPr="002751FC">
        <w:rPr>
          <w:rFonts w:asciiTheme="majorHAnsi" w:hAnsiTheme="majorHAnsi" w:cstheme="majorHAnsi"/>
          <w:sz w:val="28"/>
          <w:szCs w:val="28"/>
          <w:lang w:val="ro-MD"/>
        </w:rPr>
        <w:t>cauzat</w:t>
      </w:r>
      <w:r w:rsidR="002B0C1F" w:rsidRPr="002751FC">
        <w:rPr>
          <w:rFonts w:asciiTheme="majorHAnsi" w:hAnsiTheme="majorHAnsi" w:cstheme="majorHAnsi"/>
          <w:sz w:val="28"/>
          <w:szCs w:val="28"/>
          <w:lang w:val="ro-MD"/>
        </w:rPr>
        <w:t xml:space="preserve"> denaturarea valorii </w:t>
      </w:r>
      <w:r w:rsidR="006329C0" w:rsidRPr="002751FC">
        <w:rPr>
          <w:rFonts w:asciiTheme="majorHAnsi" w:hAnsiTheme="majorHAnsi" w:cstheme="majorHAnsi"/>
          <w:sz w:val="28"/>
          <w:szCs w:val="28"/>
          <w:lang w:val="ro-MD"/>
        </w:rPr>
        <w:t>restanțelor</w:t>
      </w:r>
      <w:r w:rsidR="002B0C1F" w:rsidRPr="002751FC">
        <w:rPr>
          <w:rFonts w:asciiTheme="majorHAnsi" w:hAnsiTheme="majorHAnsi" w:cstheme="majorHAnsi"/>
          <w:sz w:val="28"/>
          <w:szCs w:val="28"/>
          <w:lang w:val="ro-MD"/>
        </w:rPr>
        <w:t xml:space="preserve"> la plata contribuțiilor în FVV. </w:t>
      </w:r>
      <w:r w:rsidR="002B0C1F" w:rsidRPr="002751FC">
        <w:rPr>
          <w:rFonts w:asciiTheme="majorHAnsi" w:hAnsiTheme="majorHAnsi" w:cstheme="majorHAnsi"/>
          <w:i/>
          <w:sz w:val="28"/>
          <w:szCs w:val="28"/>
          <w:lang w:val="ro-MD"/>
        </w:rPr>
        <w:t>Sinteza divergențelor se prezintă în Tabelul nr.12.</w:t>
      </w:r>
    </w:p>
    <w:p w:rsidR="00574EA4" w:rsidRPr="002751FC" w:rsidRDefault="002B0C1F" w:rsidP="00574EA4">
      <w:pPr>
        <w:pStyle w:val="a3"/>
        <w:ind w:firstLine="0"/>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Tabelul nr.12</w:t>
      </w:r>
    </w:p>
    <w:p w:rsidR="002B0C1F" w:rsidRPr="002751FC" w:rsidRDefault="002B0C1F" w:rsidP="009F06EB">
      <w:pPr>
        <w:pStyle w:val="a3"/>
        <w:ind w:firstLine="0"/>
        <w:jc w:val="center"/>
        <w:rPr>
          <w:rFonts w:asciiTheme="majorHAnsi" w:eastAsia="Times New Roman" w:hAnsiTheme="majorHAnsi" w:cstheme="majorHAnsi"/>
          <w:sz w:val="28"/>
          <w:szCs w:val="28"/>
          <w:lang w:val="ro-MD"/>
        </w:rPr>
      </w:pPr>
      <w:r w:rsidRPr="002751FC">
        <w:rPr>
          <w:rFonts w:asciiTheme="majorHAnsi" w:eastAsia="Times New Roman" w:hAnsiTheme="majorHAnsi" w:cstheme="majorHAnsi"/>
          <w:b/>
          <w:sz w:val="20"/>
          <w:szCs w:val="20"/>
          <w:lang w:val="ro-MD"/>
        </w:rPr>
        <w:t>Divergențe</w:t>
      </w:r>
      <w:r w:rsidR="00C363A1" w:rsidRPr="002751FC">
        <w:rPr>
          <w:rFonts w:asciiTheme="majorHAnsi" w:eastAsia="Times New Roman" w:hAnsiTheme="majorHAnsi" w:cstheme="majorHAnsi"/>
          <w:b/>
          <w:sz w:val="20"/>
          <w:szCs w:val="20"/>
          <w:lang w:val="ro-MD"/>
        </w:rPr>
        <w:t>le</w:t>
      </w:r>
      <w:r w:rsidRPr="002751FC">
        <w:rPr>
          <w:rFonts w:asciiTheme="majorHAnsi" w:eastAsia="Times New Roman" w:hAnsiTheme="majorHAnsi" w:cstheme="majorHAnsi"/>
          <w:b/>
          <w:sz w:val="20"/>
          <w:szCs w:val="20"/>
          <w:lang w:val="ro-MD"/>
        </w:rPr>
        <w:t xml:space="preserve"> în calcularea contribuțiilor în FVV de către ONVV și SFS pentru anii 2014-2018</w:t>
      </w:r>
      <w:r w:rsidR="00574EA4" w:rsidRPr="002751FC">
        <w:rPr>
          <w:rFonts w:asciiTheme="majorHAnsi" w:eastAsia="Times New Roman" w:hAnsiTheme="majorHAnsi" w:cstheme="majorHAnsi"/>
          <w:b/>
          <w:sz w:val="20"/>
          <w:szCs w:val="20"/>
          <w:lang w:val="ro-MD"/>
        </w:rPr>
        <w:t>, mil.</w:t>
      </w:r>
      <w:r w:rsidR="007138A2" w:rsidRPr="002751FC">
        <w:rPr>
          <w:rFonts w:asciiTheme="majorHAnsi" w:eastAsia="Times New Roman" w:hAnsiTheme="majorHAnsi" w:cstheme="majorHAnsi"/>
          <w:b/>
          <w:sz w:val="20"/>
          <w:szCs w:val="20"/>
          <w:lang w:val="ro-MD"/>
        </w:rPr>
        <w:t xml:space="preserve"> MD</w:t>
      </w:r>
      <w:r w:rsidR="00574EA4" w:rsidRPr="002751FC">
        <w:rPr>
          <w:rFonts w:asciiTheme="majorHAnsi" w:eastAsia="Times New Roman" w:hAnsiTheme="majorHAnsi" w:cstheme="majorHAnsi"/>
          <w:b/>
          <w:sz w:val="20"/>
          <w:szCs w:val="20"/>
          <w:lang w:val="ro-MD"/>
        </w:rPr>
        <w:t>L</w:t>
      </w:r>
    </w:p>
    <w:tbl>
      <w:tblPr>
        <w:tblStyle w:val="ae"/>
        <w:tblW w:w="9973" w:type="dxa"/>
        <w:tblLook w:val="04A0" w:firstRow="1" w:lastRow="0" w:firstColumn="1" w:lastColumn="0" w:noHBand="0" w:noVBand="1"/>
      </w:tblPr>
      <w:tblGrid>
        <w:gridCol w:w="5003"/>
        <w:gridCol w:w="696"/>
        <w:gridCol w:w="748"/>
        <w:gridCol w:w="696"/>
        <w:gridCol w:w="782"/>
        <w:gridCol w:w="923"/>
        <w:gridCol w:w="1125"/>
      </w:tblGrid>
      <w:tr w:rsidR="002B0C1F" w:rsidRPr="002751FC" w:rsidTr="0053655C">
        <w:trPr>
          <w:trHeight w:val="212"/>
        </w:trPr>
        <w:tc>
          <w:tcPr>
            <w:tcW w:w="5003" w:type="dxa"/>
            <w:shd w:val="clear" w:color="auto" w:fill="DEEAF6" w:themeFill="accent1" w:themeFillTint="33"/>
          </w:tcPr>
          <w:p w:rsidR="002B0C1F" w:rsidRPr="002751FC" w:rsidRDefault="002B0C1F" w:rsidP="00243401">
            <w:pPr>
              <w:pStyle w:val="a3"/>
              <w:ind w:firstLine="0"/>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Indicatorii</w:t>
            </w:r>
          </w:p>
        </w:tc>
        <w:tc>
          <w:tcPr>
            <w:tcW w:w="696" w:type="dxa"/>
            <w:shd w:val="clear" w:color="auto" w:fill="DEEAF6" w:themeFill="accent1" w:themeFillTint="33"/>
          </w:tcPr>
          <w:p w:rsidR="002B0C1F" w:rsidRPr="002751FC" w:rsidRDefault="002B0C1F" w:rsidP="000C4A1B">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2014</w:t>
            </w:r>
          </w:p>
        </w:tc>
        <w:tc>
          <w:tcPr>
            <w:tcW w:w="748" w:type="dxa"/>
            <w:shd w:val="clear" w:color="auto" w:fill="DEEAF6" w:themeFill="accent1" w:themeFillTint="33"/>
          </w:tcPr>
          <w:p w:rsidR="002B0C1F" w:rsidRPr="002751FC" w:rsidRDefault="002B0C1F" w:rsidP="000C4A1B">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2015</w:t>
            </w:r>
          </w:p>
        </w:tc>
        <w:tc>
          <w:tcPr>
            <w:tcW w:w="696" w:type="dxa"/>
            <w:shd w:val="clear" w:color="auto" w:fill="DEEAF6" w:themeFill="accent1" w:themeFillTint="33"/>
          </w:tcPr>
          <w:p w:rsidR="002B0C1F" w:rsidRPr="002751FC" w:rsidRDefault="002B0C1F" w:rsidP="000C4A1B">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2016</w:t>
            </w:r>
          </w:p>
        </w:tc>
        <w:tc>
          <w:tcPr>
            <w:tcW w:w="782" w:type="dxa"/>
            <w:shd w:val="clear" w:color="auto" w:fill="DEEAF6" w:themeFill="accent1" w:themeFillTint="33"/>
          </w:tcPr>
          <w:p w:rsidR="002B0C1F" w:rsidRPr="002751FC" w:rsidRDefault="002B0C1F" w:rsidP="000C4A1B">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2017</w:t>
            </w:r>
          </w:p>
        </w:tc>
        <w:tc>
          <w:tcPr>
            <w:tcW w:w="923" w:type="dxa"/>
            <w:shd w:val="clear" w:color="auto" w:fill="DEEAF6" w:themeFill="accent1" w:themeFillTint="33"/>
          </w:tcPr>
          <w:p w:rsidR="002B0C1F" w:rsidRPr="002751FC" w:rsidRDefault="002B0C1F" w:rsidP="000C4A1B">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2018</w:t>
            </w:r>
          </w:p>
        </w:tc>
        <w:tc>
          <w:tcPr>
            <w:tcW w:w="1125" w:type="dxa"/>
            <w:shd w:val="clear" w:color="auto" w:fill="DEEAF6" w:themeFill="accent1" w:themeFillTint="33"/>
          </w:tcPr>
          <w:p w:rsidR="002B0C1F" w:rsidRPr="002751FC" w:rsidRDefault="0042284E" w:rsidP="000C4A1B">
            <w:pPr>
              <w:pStyle w:val="a3"/>
              <w:ind w:firstLine="0"/>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T</w:t>
            </w:r>
            <w:r w:rsidR="002B0C1F" w:rsidRPr="002751FC">
              <w:rPr>
                <w:rFonts w:asciiTheme="majorHAnsi" w:eastAsia="Times New Roman" w:hAnsiTheme="majorHAnsi" w:cstheme="majorHAnsi"/>
                <w:b/>
                <w:sz w:val="20"/>
                <w:szCs w:val="20"/>
                <w:lang w:val="ro-MD"/>
              </w:rPr>
              <w:t>otal</w:t>
            </w:r>
          </w:p>
        </w:tc>
      </w:tr>
      <w:tr w:rsidR="00E16DFF" w:rsidRPr="002751FC" w:rsidTr="000C4A1B">
        <w:trPr>
          <w:trHeight w:val="174"/>
        </w:trPr>
        <w:tc>
          <w:tcPr>
            <w:tcW w:w="5003" w:type="dxa"/>
          </w:tcPr>
          <w:p w:rsidR="00E16DFF" w:rsidRPr="002751FC" w:rsidRDefault="00E16DFF" w:rsidP="00E16DFF">
            <w:pPr>
              <w:pStyle w:val="a3"/>
              <w:ind w:firstLine="0"/>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Datele SFS</w:t>
            </w:r>
            <w:r w:rsidR="00574EA4" w:rsidRPr="002751FC">
              <w:rPr>
                <w:rStyle w:val="ab"/>
                <w:rFonts w:asciiTheme="majorHAnsi" w:eastAsia="Times New Roman" w:hAnsiTheme="majorHAnsi" w:cstheme="majorHAnsi"/>
                <w:sz w:val="20"/>
                <w:szCs w:val="20"/>
                <w:lang w:val="ro-MD"/>
              </w:rPr>
              <w:footnoteReference w:id="108"/>
            </w:r>
          </w:p>
        </w:tc>
        <w:tc>
          <w:tcPr>
            <w:tcW w:w="696" w:type="dxa"/>
          </w:tcPr>
          <w:p w:rsidR="00E16DFF" w:rsidRPr="002751FC" w:rsidRDefault="00E16DF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18,1</w:t>
            </w:r>
          </w:p>
        </w:tc>
        <w:tc>
          <w:tcPr>
            <w:tcW w:w="748" w:type="dxa"/>
          </w:tcPr>
          <w:p w:rsidR="00E16DFF" w:rsidRPr="002751FC" w:rsidRDefault="00E16DF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17,6</w:t>
            </w:r>
          </w:p>
        </w:tc>
        <w:tc>
          <w:tcPr>
            <w:tcW w:w="696" w:type="dxa"/>
          </w:tcPr>
          <w:p w:rsidR="00E16DFF" w:rsidRPr="002751FC" w:rsidRDefault="00E16DF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20,9</w:t>
            </w:r>
          </w:p>
        </w:tc>
        <w:tc>
          <w:tcPr>
            <w:tcW w:w="782" w:type="dxa"/>
          </w:tcPr>
          <w:p w:rsidR="00E16DFF" w:rsidRPr="002751FC" w:rsidRDefault="00E16DF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23,4</w:t>
            </w:r>
          </w:p>
        </w:tc>
        <w:tc>
          <w:tcPr>
            <w:tcW w:w="923" w:type="dxa"/>
          </w:tcPr>
          <w:p w:rsidR="00E16DFF" w:rsidRPr="002751FC" w:rsidRDefault="00E16DF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25,2</w:t>
            </w:r>
          </w:p>
        </w:tc>
        <w:tc>
          <w:tcPr>
            <w:tcW w:w="1125" w:type="dxa"/>
          </w:tcPr>
          <w:p w:rsidR="00E16DFF" w:rsidRPr="002751FC" w:rsidRDefault="00E16DF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105,2</w:t>
            </w:r>
          </w:p>
        </w:tc>
      </w:tr>
      <w:tr w:rsidR="002B0C1F" w:rsidRPr="002751FC" w:rsidTr="00E16DFF">
        <w:trPr>
          <w:trHeight w:val="195"/>
        </w:trPr>
        <w:tc>
          <w:tcPr>
            <w:tcW w:w="5003" w:type="dxa"/>
          </w:tcPr>
          <w:p w:rsidR="002B0C1F" w:rsidRPr="002751FC" w:rsidRDefault="002B0C1F" w:rsidP="00243401">
            <w:pPr>
              <w:pStyle w:val="a3"/>
              <w:ind w:firstLine="0"/>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Datele ONVV</w:t>
            </w:r>
          </w:p>
        </w:tc>
        <w:tc>
          <w:tcPr>
            <w:tcW w:w="696" w:type="dxa"/>
          </w:tcPr>
          <w:p w:rsidR="002B0C1F" w:rsidRPr="002751FC" w:rsidRDefault="002B0C1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19,0</w:t>
            </w:r>
          </w:p>
        </w:tc>
        <w:tc>
          <w:tcPr>
            <w:tcW w:w="748" w:type="dxa"/>
          </w:tcPr>
          <w:p w:rsidR="002B0C1F" w:rsidRPr="002751FC" w:rsidRDefault="002B0C1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17,6</w:t>
            </w:r>
          </w:p>
        </w:tc>
        <w:tc>
          <w:tcPr>
            <w:tcW w:w="696" w:type="dxa"/>
          </w:tcPr>
          <w:p w:rsidR="002B0C1F" w:rsidRPr="002751FC" w:rsidRDefault="002B0C1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23,2</w:t>
            </w:r>
          </w:p>
        </w:tc>
        <w:tc>
          <w:tcPr>
            <w:tcW w:w="782" w:type="dxa"/>
          </w:tcPr>
          <w:p w:rsidR="002B0C1F" w:rsidRPr="002751FC" w:rsidRDefault="002B0C1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23,3</w:t>
            </w:r>
          </w:p>
        </w:tc>
        <w:tc>
          <w:tcPr>
            <w:tcW w:w="923" w:type="dxa"/>
          </w:tcPr>
          <w:p w:rsidR="002B0C1F" w:rsidRPr="002751FC" w:rsidRDefault="002B0C1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24,9</w:t>
            </w:r>
          </w:p>
        </w:tc>
        <w:tc>
          <w:tcPr>
            <w:tcW w:w="1125" w:type="dxa"/>
          </w:tcPr>
          <w:p w:rsidR="002B0C1F" w:rsidRPr="002751FC" w:rsidRDefault="002B0C1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108,0</w:t>
            </w:r>
          </w:p>
        </w:tc>
      </w:tr>
      <w:tr w:rsidR="00E16DFF" w:rsidRPr="002751FC" w:rsidTr="009F06EB">
        <w:trPr>
          <w:trHeight w:val="135"/>
        </w:trPr>
        <w:tc>
          <w:tcPr>
            <w:tcW w:w="5003" w:type="dxa"/>
          </w:tcPr>
          <w:p w:rsidR="00E16DFF" w:rsidRPr="002751FC" w:rsidRDefault="00E16DFF" w:rsidP="00E16DFF">
            <w:pPr>
              <w:pStyle w:val="a3"/>
              <w:ind w:firstLine="0"/>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Devieri SFS față de ONVV</w:t>
            </w:r>
          </w:p>
        </w:tc>
        <w:tc>
          <w:tcPr>
            <w:tcW w:w="696" w:type="dxa"/>
          </w:tcPr>
          <w:p w:rsidR="00E16DFF" w:rsidRPr="002751FC" w:rsidRDefault="00E16DF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-0,9</w:t>
            </w:r>
          </w:p>
        </w:tc>
        <w:tc>
          <w:tcPr>
            <w:tcW w:w="748" w:type="dxa"/>
          </w:tcPr>
          <w:p w:rsidR="00E16DFF" w:rsidRPr="002751FC" w:rsidRDefault="00E16DF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w:t>
            </w:r>
          </w:p>
        </w:tc>
        <w:tc>
          <w:tcPr>
            <w:tcW w:w="696" w:type="dxa"/>
          </w:tcPr>
          <w:p w:rsidR="00E16DFF" w:rsidRPr="002751FC" w:rsidRDefault="00E16DF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w:t>
            </w:r>
          </w:p>
        </w:tc>
        <w:tc>
          <w:tcPr>
            <w:tcW w:w="782" w:type="dxa"/>
          </w:tcPr>
          <w:p w:rsidR="00E16DFF" w:rsidRPr="002751FC" w:rsidRDefault="00E16DF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+0,1</w:t>
            </w:r>
          </w:p>
        </w:tc>
        <w:tc>
          <w:tcPr>
            <w:tcW w:w="923" w:type="dxa"/>
          </w:tcPr>
          <w:p w:rsidR="00E16DFF" w:rsidRPr="002751FC" w:rsidRDefault="00E16DF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+0,3</w:t>
            </w:r>
          </w:p>
        </w:tc>
        <w:tc>
          <w:tcPr>
            <w:tcW w:w="1125" w:type="dxa"/>
          </w:tcPr>
          <w:p w:rsidR="00E16DFF" w:rsidRPr="002751FC" w:rsidRDefault="00E16DFF" w:rsidP="0053655C">
            <w:pPr>
              <w:pStyle w:val="a3"/>
              <w:ind w:firstLine="0"/>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-2,8</w:t>
            </w:r>
          </w:p>
        </w:tc>
      </w:tr>
    </w:tbl>
    <w:p w:rsidR="002B0C1F" w:rsidRPr="002751FC" w:rsidRDefault="002B0C1F" w:rsidP="000E54A3">
      <w:pPr>
        <w:pStyle w:val="a3"/>
        <w:ind w:firstLine="0"/>
        <w:rPr>
          <w:rFonts w:asciiTheme="majorHAnsi" w:eastAsia="Times New Roman" w:hAnsiTheme="majorHAnsi" w:cstheme="majorHAnsi"/>
          <w:sz w:val="16"/>
          <w:szCs w:val="16"/>
          <w:lang w:val="ro-MD"/>
        </w:rPr>
      </w:pPr>
      <w:r w:rsidRPr="002751FC">
        <w:rPr>
          <w:rFonts w:asciiTheme="majorHAnsi" w:eastAsia="Times New Roman" w:hAnsiTheme="majorHAnsi" w:cstheme="majorHAnsi"/>
          <w:b/>
          <w:sz w:val="16"/>
          <w:szCs w:val="16"/>
          <w:lang w:val="ro-MD"/>
        </w:rPr>
        <w:t>Sursa:</w:t>
      </w:r>
      <w:r w:rsidRPr="002751FC">
        <w:rPr>
          <w:rFonts w:asciiTheme="majorHAnsi" w:eastAsia="Times New Roman" w:hAnsiTheme="majorHAnsi" w:cstheme="majorHAnsi"/>
          <w:sz w:val="16"/>
          <w:szCs w:val="16"/>
          <w:lang w:val="ro-MD"/>
        </w:rPr>
        <w:t xml:space="preserve"> Datele SFS și ONVV.</w:t>
      </w:r>
    </w:p>
    <w:p w:rsidR="002B0C1F" w:rsidRPr="002751FC" w:rsidRDefault="002B0C1F" w:rsidP="00243401">
      <w:pPr>
        <w:pStyle w:val="a5"/>
        <w:rPr>
          <w:rFonts w:asciiTheme="majorHAnsi" w:hAnsiTheme="majorHAnsi" w:cstheme="majorHAnsi"/>
          <w:sz w:val="28"/>
          <w:szCs w:val="28"/>
          <w:lang w:val="ro-MD"/>
        </w:rPr>
      </w:pPr>
    </w:p>
    <w:p w:rsidR="002B0C1F" w:rsidRPr="002751FC" w:rsidRDefault="002B0C1F" w:rsidP="00CE2761">
      <w:pPr>
        <w:pStyle w:val="a3"/>
        <w:ind w:firstLine="0"/>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Astfel, contribuțiile calculate de ONVV în anii 2014-2018 sunt cu </w:t>
      </w:r>
      <w:r w:rsidR="00432FC0" w:rsidRPr="002751FC">
        <w:rPr>
          <w:rFonts w:asciiTheme="majorHAnsi" w:eastAsia="Times New Roman" w:hAnsiTheme="majorHAnsi" w:cstheme="majorHAnsi"/>
          <w:b/>
          <w:sz w:val="28"/>
          <w:szCs w:val="28"/>
          <w:lang w:val="ro-MD"/>
        </w:rPr>
        <w:t>2,8</w:t>
      </w:r>
      <w:r w:rsidR="0075556C" w:rsidRPr="002751FC">
        <w:rPr>
          <w:rFonts w:asciiTheme="majorHAnsi" w:eastAsia="Times New Roman" w:hAnsiTheme="majorHAnsi" w:cstheme="majorHAnsi"/>
          <w:b/>
          <w:sz w:val="28"/>
          <w:szCs w:val="28"/>
          <w:lang w:val="ro-MD"/>
        </w:rPr>
        <w:t xml:space="preserve"> </w:t>
      </w:r>
      <w:proofErr w:type="spellStart"/>
      <w:r w:rsidRPr="002751FC">
        <w:rPr>
          <w:rFonts w:asciiTheme="majorHAnsi" w:eastAsia="Times New Roman" w:hAnsiTheme="majorHAnsi" w:cstheme="majorHAnsi"/>
          <w:b/>
          <w:sz w:val="28"/>
          <w:szCs w:val="28"/>
          <w:lang w:val="ro-MD"/>
        </w:rPr>
        <w:t>mil.MDL</w:t>
      </w:r>
      <w:proofErr w:type="spellEnd"/>
      <w:r w:rsidR="002A0039" w:rsidRPr="002751FC">
        <w:rPr>
          <w:rFonts w:asciiTheme="majorHAnsi" w:eastAsia="Times New Roman" w:hAnsiTheme="majorHAnsi" w:cstheme="majorHAnsi"/>
          <w:sz w:val="28"/>
          <w:szCs w:val="28"/>
          <w:lang w:val="ro-MD"/>
        </w:rPr>
        <w:t xml:space="preserve"> m</w:t>
      </w:r>
      <w:r w:rsidR="0042284E" w:rsidRPr="002751FC">
        <w:rPr>
          <w:rFonts w:asciiTheme="majorHAnsi" w:eastAsia="Times New Roman" w:hAnsiTheme="majorHAnsi" w:cstheme="majorHAnsi"/>
          <w:sz w:val="28"/>
          <w:szCs w:val="28"/>
          <w:lang w:val="ro-MD"/>
        </w:rPr>
        <w:t>ai mici</w:t>
      </w:r>
      <w:r w:rsidRPr="002751FC">
        <w:rPr>
          <w:rFonts w:asciiTheme="majorHAnsi" w:eastAsia="Times New Roman" w:hAnsiTheme="majorHAnsi" w:cstheme="majorHAnsi"/>
          <w:sz w:val="28"/>
          <w:szCs w:val="28"/>
          <w:lang w:val="ro-MD"/>
        </w:rPr>
        <w:t xml:space="preserve"> față de cele real declarate de contribuabil</w:t>
      </w:r>
      <w:r w:rsidR="0042284E" w:rsidRPr="002751FC">
        <w:rPr>
          <w:rFonts w:asciiTheme="majorHAnsi" w:eastAsia="Times New Roman" w:hAnsiTheme="majorHAnsi" w:cstheme="majorHAnsi"/>
          <w:sz w:val="28"/>
          <w:szCs w:val="28"/>
          <w:lang w:val="ro-MD"/>
        </w:rPr>
        <w:t>i</w:t>
      </w:r>
      <w:r w:rsidRPr="002751FC">
        <w:rPr>
          <w:rFonts w:asciiTheme="majorHAnsi" w:eastAsia="Times New Roman" w:hAnsiTheme="majorHAnsi" w:cstheme="majorHAnsi"/>
          <w:sz w:val="28"/>
          <w:szCs w:val="28"/>
          <w:lang w:val="ro-MD"/>
        </w:rPr>
        <w:t xml:space="preserve"> </w:t>
      </w:r>
      <w:r w:rsidR="00574EA4" w:rsidRPr="002751FC">
        <w:rPr>
          <w:rFonts w:asciiTheme="majorHAnsi" w:eastAsia="Times New Roman" w:hAnsiTheme="majorHAnsi" w:cstheme="majorHAnsi"/>
          <w:sz w:val="28"/>
          <w:szCs w:val="28"/>
          <w:lang w:val="ro-MD"/>
        </w:rPr>
        <w:t>către</w:t>
      </w:r>
      <w:r w:rsidRPr="002751FC">
        <w:rPr>
          <w:rFonts w:asciiTheme="majorHAnsi" w:eastAsia="Times New Roman" w:hAnsiTheme="majorHAnsi" w:cstheme="majorHAnsi"/>
          <w:sz w:val="28"/>
          <w:szCs w:val="28"/>
          <w:lang w:val="ro-MD"/>
        </w:rPr>
        <w:t xml:space="preserve"> SFS. În aceste condiții, restanțele </w:t>
      </w:r>
      <w:r w:rsidRPr="002751FC">
        <w:rPr>
          <w:rFonts w:asciiTheme="majorHAnsi" w:eastAsia="Times New Roman" w:hAnsiTheme="majorHAnsi" w:cstheme="majorHAnsi"/>
          <w:sz w:val="28"/>
          <w:szCs w:val="28"/>
          <w:lang w:val="ro-MD"/>
        </w:rPr>
        <w:lastRenderedPageBreak/>
        <w:t xml:space="preserve">calculate de ONVV sunt majorate cu </w:t>
      </w:r>
      <w:r w:rsidR="00432FC0" w:rsidRPr="002751FC">
        <w:rPr>
          <w:rFonts w:asciiTheme="majorHAnsi" w:eastAsia="Times New Roman" w:hAnsiTheme="majorHAnsi" w:cstheme="majorHAnsi"/>
          <w:sz w:val="28"/>
          <w:szCs w:val="28"/>
          <w:lang w:val="ro-MD"/>
        </w:rPr>
        <w:t>2,8</w:t>
      </w:r>
      <w:r w:rsidRPr="002751FC">
        <w:rPr>
          <w:rFonts w:asciiTheme="majorHAnsi" w:eastAsia="Times New Roman" w:hAnsiTheme="majorHAnsi" w:cstheme="majorHAnsi"/>
          <w:sz w:val="28"/>
          <w:szCs w:val="28"/>
          <w:lang w:val="ro-MD"/>
        </w:rPr>
        <w:t xml:space="preserve"> mil.lei. Valoarea cumulată a divergențelor </w:t>
      </w:r>
      <w:r w:rsidR="00D542F1" w:rsidRPr="002751FC">
        <w:rPr>
          <w:rFonts w:asciiTheme="majorHAnsi" w:eastAsia="Times New Roman" w:hAnsiTheme="majorHAnsi" w:cstheme="majorHAnsi"/>
          <w:sz w:val="28"/>
          <w:szCs w:val="28"/>
          <w:lang w:val="ro-MD"/>
        </w:rPr>
        <w:t>aferente</w:t>
      </w:r>
      <w:r w:rsidR="0042284E" w:rsidRPr="002751FC">
        <w:rPr>
          <w:rFonts w:asciiTheme="majorHAnsi" w:eastAsia="Times New Roman" w:hAnsiTheme="majorHAnsi" w:cstheme="majorHAnsi"/>
          <w:sz w:val="28"/>
          <w:szCs w:val="28"/>
          <w:lang w:val="ro-MD"/>
        </w:rPr>
        <w:t xml:space="preserve"> restanțelor la plata </w:t>
      </w:r>
      <w:r w:rsidR="002A0039"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în FVV a constituit </w:t>
      </w:r>
      <w:r w:rsidR="00A81C42" w:rsidRPr="002751FC">
        <w:rPr>
          <w:rFonts w:asciiTheme="majorHAnsi" w:eastAsia="Times New Roman" w:hAnsiTheme="majorHAnsi" w:cstheme="majorHAnsi"/>
          <w:b/>
          <w:sz w:val="28"/>
          <w:szCs w:val="28"/>
          <w:lang w:val="ro-MD"/>
        </w:rPr>
        <w:t>20,6</w:t>
      </w:r>
      <w:r w:rsidR="00D76208">
        <w:rPr>
          <w:rFonts w:asciiTheme="majorHAnsi" w:eastAsia="Times New Roman" w:hAnsiTheme="majorHAnsi" w:cstheme="majorHAnsi"/>
          <w:b/>
          <w:sz w:val="28"/>
          <w:szCs w:val="28"/>
          <w:lang w:val="ro-MD"/>
        </w:rPr>
        <w:t xml:space="preserve"> </w:t>
      </w:r>
      <w:proofErr w:type="spellStart"/>
      <w:r w:rsidRPr="002751FC">
        <w:rPr>
          <w:rFonts w:asciiTheme="majorHAnsi" w:eastAsia="Times New Roman" w:hAnsiTheme="majorHAnsi" w:cstheme="majorHAnsi"/>
          <w:b/>
          <w:sz w:val="28"/>
          <w:szCs w:val="28"/>
          <w:lang w:val="ro-MD"/>
        </w:rPr>
        <w:t>mil.MDL</w:t>
      </w:r>
      <w:proofErr w:type="spellEnd"/>
      <w:r w:rsidRPr="002751FC">
        <w:rPr>
          <w:rStyle w:val="ab"/>
          <w:rFonts w:asciiTheme="majorHAnsi" w:hAnsiTheme="majorHAnsi" w:cstheme="majorHAnsi"/>
          <w:sz w:val="28"/>
          <w:szCs w:val="28"/>
          <w:lang w:val="ro-MD"/>
        </w:rPr>
        <w:footnoteReference w:id="109"/>
      </w:r>
      <w:r w:rsidRPr="002751FC">
        <w:rPr>
          <w:rFonts w:asciiTheme="majorHAnsi" w:eastAsia="Times New Roman" w:hAnsiTheme="majorHAnsi" w:cstheme="majorHAnsi"/>
          <w:b/>
          <w:sz w:val="28"/>
          <w:szCs w:val="28"/>
          <w:lang w:val="ro-MD"/>
        </w:rPr>
        <w:t>.</w:t>
      </w:r>
    </w:p>
    <w:p w:rsidR="002B0C1F" w:rsidRPr="002751FC" w:rsidRDefault="002B0C1F" w:rsidP="00243401">
      <w:pPr>
        <w:pStyle w:val="a3"/>
        <w:rPr>
          <w:rFonts w:asciiTheme="majorHAnsi" w:eastAsia="Times New Roman" w:hAnsiTheme="majorHAnsi" w:cstheme="majorHAnsi"/>
          <w:sz w:val="28"/>
          <w:szCs w:val="28"/>
          <w:lang w:val="ro-MD"/>
        </w:rPr>
      </w:pPr>
    </w:p>
    <w:p w:rsidR="002B0C1F" w:rsidRPr="002751FC" w:rsidRDefault="002B0C1F" w:rsidP="00751FE2">
      <w:pPr>
        <w:pStyle w:val="a3"/>
        <w:ind w:firstLine="0"/>
        <w:outlineLvl w:val="0"/>
        <w:rPr>
          <w:rFonts w:asciiTheme="majorHAnsi" w:eastAsia="Times New Roman" w:hAnsiTheme="majorHAnsi" w:cstheme="majorHAnsi"/>
          <w:b/>
          <w:sz w:val="28"/>
          <w:szCs w:val="28"/>
          <w:lang w:val="ro-MD"/>
        </w:rPr>
      </w:pPr>
      <w:bookmarkStart w:id="54" w:name="_Toc23259117"/>
      <w:r w:rsidRPr="002751FC">
        <w:rPr>
          <w:rFonts w:asciiTheme="majorHAnsi" w:eastAsia="Times New Roman" w:hAnsiTheme="majorHAnsi" w:cstheme="majorHAnsi"/>
          <w:b/>
          <w:sz w:val="28"/>
          <w:szCs w:val="28"/>
          <w:lang w:val="ro-MD"/>
        </w:rPr>
        <w:t>4.4.3.</w:t>
      </w:r>
      <w:r w:rsidRPr="002751FC">
        <w:rPr>
          <w:rFonts w:asciiTheme="majorHAnsi" w:eastAsia="Times New Roman" w:hAnsiTheme="majorHAnsi" w:cstheme="majorHAnsi"/>
          <w:sz w:val="28"/>
          <w:szCs w:val="28"/>
          <w:lang w:val="ro-MD"/>
        </w:rPr>
        <w:t xml:space="preserve"> </w:t>
      </w:r>
      <w:r w:rsidR="00751FE2" w:rsidRPr="002751FC">
        <w:rPr>
          <w:rFonts w:asciiTheme="majorHAnsi" w:eastAsia="Times New Roman" w:hAnsiTheme="majorHAnsi" w:cstheme="majorHAnsi"/>
          <w:b/>
          <w:sz w:val="28"/>
          <w:szCs w:val="28"/>
          <w:lang w:val="ro-MD"/>
        </w:rPr>
        <w:t>Măsurile întreprinse de SFS și ONVV privitor la colectarea restanțelor față de FVV au fost insuficiente, mărimea acestora rămânând la un nivel semnificativ</w:t>
      </w:r>
      <w:bookmarkEnd w:id="54"/>
    </w:p>
    <w:p w:rsidR="00A44ED0" w:rsidRPr="002751FC" w:rsidRDefault="00A44ED0" w:rsidP="00751FE2">
      <w:pPr>
        <w:pStyle w:val="a3"/>
        <w:ind w:firstLine="0"/>
        <w:outlineLvl w:val="0"/>
        <w:rPr>
          <w:rFonts w:asciiTheme="majorHAnsi" w:eastAsia="Times New Roman" w:hAnsiTheme="majorHAnsi" w:cstheme="majorHAnsi"/>
          <w:sz w:val="28"/>
          <w:szCs w:val="28"/>
          <w:lang w:val="ro-MD"/>
        </w:rPr>
      </w:pPr>
    </w:p>
    <w:p w:rsidR="002B0C1F" w:rsidRPr="002751FC" w:rsidRDefault="002B0C1F" w:rsidP="00243401">
      <w:pPr>
        <w:pStyle w:val="a3"/>
        <w:numPr>
          <w:ilvl w:val="0"/>
          <w:numId w:val="13"/>
        </w:numPr>
        <w:ind w:left="0" w:firstLine="567"/>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Datele ONVV privind restanțele față de FVV denotă că acestea</w:t>
      </w:r>
      <w:r w:rsidR="007138A2"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pe parcursul mai multor ani</w:t>
      </w:r>
      <w:r w:rsidR="007138A2"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se mențin la un nivel semnificativ, la finele anului 2018 constituind 21,0 </w:t>
      </w:r>
      <w:proofErr w:type="spellStart"/>
      <w:r w:rsidRPr="002751FC">
        <w:rPr>
          <w:rFonts w:asciiTheme="majorHAnsi" w:eastAsia="Times New Roman" w:hAnsiTheme="majorHAnsi" w:cstheme="majorHAnsi"/>
          <w:sz w:val="28"/>
          <w:szCs w:val="28"/>
          <w:lang w:val="ro-MD"/>
        </w:rPr>
        <w:t>mil.MDL</w:t>
      </w:r>
      <w:proofErr w:type="spellEnd"/>
      <w:r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i/>
          <w:sz w:val="28"/>
          <w:szCs w:val="28"/>
          <w:lang w:val="ro-MD"/>
        </w:rPr>
        <w:t>Sinteza restanțe</w:t>
      </w:r>
      <w:r w:rsidR="00D76208">
        <w:rPr>
          <w:rFonts w:asciiTheme="majorHAnsi" w:eastAsia="Times New Roman" w:hAnsiTheme="majorHAnsi" w:cstheme="majorHAnsi"/>
          <w:i/>
          <w:sz w:val="28"/>
          <w:szCs w:val="28"/>
          <w:lang w:val="ro-MD"/>
        </w:rPr>
        <w:t>lor față de FVV pentru anii 2014</w:t>
      </w:r>
      <w:r w:rsidRPr="002751FC">
        <w:rPr>
          <w:rFonts w:asciiTheme="majorHAnsi" w:eastAsia="Times New Roman" w:hAnsiTheme="majorHAnsi" w:cstheme="majorHAnsi"/>
          <w:i/>
          <w:sz w:val="28"/>
          <w:szCs w:val="28"/>
          <w:lang w:val="ro-MD"/>
        </w:rPr>
        <w:t>-2018 se prezintă în tabelul de mai jos.</w:t>
      </w:r>
    </w:p>
    <w:p w:rsidR="00CE2761" w:rsidRPr="002751FC" w:rsidRDefault="00623BC8" w:rsidP="00CE2761">
      <w:pPr>
        <w:pStyle w:val="a3"/>
        <w:jc w:val="right"/>
        <w:rPr>
          <w:rFonts w:asciiTheme="majorHAnsi" w:eastAsia="Times New Roman" w:hAnsiTheme="majorHAnsi" w:cstheme="majorHAnsi"/>
          <w:b/>
          <w:sz w:val="20"/>
          <w:szCs w:val="20"/>
          <w:lang w:val="ro-MD"/>
        </w:rPr>
      </w:pPr>
      <w:r>
        <w:rPr>
          <w:rFonts w:asciiTheme="majorHAnsi" w:eastAsia="Times New Roman" w:hAnsiTheme="majorHAnsi" w:cstheme="majorHAnsi"/>
          <w:b/>
          <w:sz w:val="20"/>
          <w:szCs w:val="20"/>
          <w:lang w:val="ro-MD"/>
        </w:rPr>
        <w:t>Tabelul nr.13</w:t>
      </w:r>
    </w:p>
    <w:p w:rsidR="002B0C1F" w:rsidRPr="002751FC" w:rsidRDefault="002B0C1F" w:rsidP="009F06EB">
      <w:pPr>
        <w:pStyle w:val="a3"/>
        <w:jc w:val="center"/>
        <w:rPr>
          <w:rFonts w:asciiTheme="majorHAnsi" w:eastAsia="Times New Roman" w:hAnsiTheme="majorHAnsi" w:cstheme="majorHAnsi"/>
          <w:sz w:val="28"/>
          <w:szCs w:val="28"/>
          <w:lang w:val="ro-MD"/>
        </w:rPr>
      </w:pPr>
      <w:r w:rsidRPr="002751FC">
        <w:rPr>
          <w:rFonts w:asciiTheme="majorHAnsi" w:eastAsia="Times New Roman" w:hAnsiTheme="majorHAnsi" w:cstheme="majorHAnsi"/>
          <w:b/>
          <w:sz w:val="20"/>
          <w:szCs w:val="20"/>
          <w:lang w:val="ro-MD"/>
        </w:rPr>
        <w:t>Sinteza restanțe</w:t>
      </w:r>
      <w:r w:rsidR="00D76208">
        <w:rPr>
          <w:rFonts w:asciiTheme="majorHAnsi" w:eastAsia="Times New Roman" w:hAnsiTheme="majorHAnsi" w:cstheme="majorHAnsi"/>
          <w:b/>
          <w:sz w:val="20"/>
          <w:szCs w:val="20"/>
          <w:lang w:val="ro-MD"/>
        </w:rPr>
        <w:t>lor față de FVV pentru anii 2014</w:t>
      </w:r>
      <w:r w:rsidRPr="002751FC">
        <w:rPr>
          <w:rFonts w:asciiTheme="majorHAnsi" w:eastAsia="Times New Roman" w:hAnsiTheme="majorHAnsi" w:cstheme="majorHAnsi"/>
          <w:b/>
          <w:sz w:val="20"/>
          <w:szCs w:val="20"/>
          <w:lang w:val="ro-MD"/>
        </w:rPr>
        <w:t xml:space="preserve">-2018, </w:t>
      </w:r>
      <w:proofErr w:type="spellStart"/>
      <w:r w:rsidRPr="002751FC">
        <w:rPr>
          <w:rFonts w:asciiTheme="majorHAnsi" w:eastAsia="Times New Roman" w:hAnsiTheme="majorHAnsi" w:cstheme="majorHAnsi"/>
          <w:b/>
          <w:sz w:val="20"/>
          <w:szCs w:val="20"/>
          <w:lang w:val="ro-MD"/>
        </w:rPr>
        <w:t>mil.MDL</w:t>
      </w:r>
      <w:proofErr w:type="spellEnd"/>
      <w:r w:rsidRPr="002751FC">
        <w:rPr>
          <w:rFonts w:asciiTheme="majorHAnsi" w:eastAsia="Times New Roman" w:hAnsiTheme="majorHAnsi" w:cstheme="majorHAnsi"/>
          <w:b/>
          <w:sz w:val="20"/>
          <w:szCs w:val="20"/>
          <w:lang w:val="ro-MD"/>
        </w:rPr>
        <w:t>.</w:t>
      </w:r>
    </w:p>
    <w:tbl>
      <w:tblPr>
        <w:tblStyle w:val="ae"/>
        <w:tblW w:w="9700" w:type="dxa"/>
        <w:tblLayout w:type="fixed"/>
        <w:tblLook w:val="04A0" w:firstRow="1" w:lastRow="0" w:firstColumn="1" w:lastColumn="0" w:noHBand="0" w:noVBand="1"/>
      </w:tblPr>
      <w:tblGrid>
        <w:gridCol w:w="2689"/>
        <w:gridCol w:w="1108"/>
        <w:gridCol w:w="992"/>
        <w:gridCol w:w="993"/>
        <w:gridCol w:w="992"/>
        <w:gridCol w:w="1417"/>
        <w:gridCol w:w="1509"/>
      </w:tblGrid>
      <w:tr w:rsidR="008F000F" w:rsidRPr="002751FC" w:rsidTr="00D00A45">
        <w:trPr>
          <w:trHeight w:val="337"/>
        </w:trPr>
        <w:tc>
          <w:tcPr>
            <w:tcW w:w="2689" w:type="dxa"/>
            <w:shd w:val="clear" w:color="auto" w:fill="DEEAF6" w:themeFill="accent1" w:themeFillTint="33"/>
            <w:vAlign w:val="center"/>
          </w:tcPr>
          <w:p w:rsidR="002B0C1F" w:rsidRPr="002751FC" w:rsidRDefault="002B0C1F" w:rsidP="00F41837">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Anii</w:t>
            </w:r>
          </w:p>
        </w:tc>
        <w:tc>
          <w:tcPr>
            <w:tcW w:w="1108" w:type="dxa"/>
            <w:shd w:val="clear" w:color="auto" w:fill="DEEAF6" w:themeFill="accent1" w:themeFillTint="33"/>
            <w:vAlign w:val="center"/>
          </w:tcPr>
          <w:p w:rsidR="002B0C1F" w:rsidRPr="002751FC" w:rsidRDefault="002B0C1F" w:rsidP="00F41837">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Sold inițial</w:t>
            </w:r>
          </w:p>
        </w:tc>
        <w:tc>
          <w:tcPr>
            <w:tcW w:w="992" w:type="dxa"/>
            <w:shd w:val="clear" w:color="auto" w:fill="DEEAF6" w:themeFill="accent1" w:themeFillTint="33"/>
            <w:vAlign w:val="center"/>
          </w:tcPr>
          <w:p w:rsidR="002B0C1F" w:rsidRPr="002751FC" w:rsidRDefault="00D64947" w:rsidP="00F41837">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C</w:t>
            </w:r>
            <w:r w:rsidR="002B0C1F" w:rsidRPr="002751FC">
              <w:rPr>
                <w:rFonts w:asciiTheme="majorHAnsi" w:eastAsia="Times New Roman" w:hAnsiTheme="majorHAnsi" w:cstheme="majorHAnsi"/>
                <w:b/>
                <w:sz w:val="20"/>
                <w:szCs w:val="20"/>
                <w:lang w:val="ro-MD"/>
              </w:rPr>
              <w:t>alculat</w:t>
            </w:r>
          </w:p>
        </w:tc>
        <w:tc>
          <w:tcPr>
            <w:tcW w:w="993" w:type="dxa"/>
            <w:shd w:val="clear" w:color="auto" w:fill="DEEAF6" w:themeFill="accent1" w:themeFillTint="33"/>
            <w:vAlign w:val="center"/>
          </w:tcPr>
          <w:p w:rsidR="002B0C1F" w:rsidRPr="002751FC" w:rsidRDefault="00D64947" w:rsidP="00F41837">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A</w:t>
            </w:r>
            <w:r w:rsidR="002B0C1F" w:rsidRPr="002751FC">
              <w:rPr>
                <w:rFonts w:asciiTheme="majorHAnsi" w:eastAsia="Times New Roman" w:hAnsiTheme="majorHAnsi" w:cstheme="majorHAnsi"/>
                <w:b/>
                <w:sz w:val="20"/>
                <w:szCs w:val="20"/>
                <w:lang w:val="ro-MD"/>
              </w:rPr>
              <w:t>chitat</w:t>
            </w:r>
          </w:p>
        </w:tc>
        <w:tc>
          <w:tcPr>
            <w:tcW w:w="992" w:type="dxa"/>
            <w:shd w:val="clear" w:color="auto" w:fill="DEEAF6" w:themeFill="accent1" w:themeFillTint="33"/>
            <w:vAlign w:val="center"/>
          </w:tcPr>
          <w:p w:rsidR="002B0C1F" w:rsidRPr="002751FC" w:rsidRDefault="002B0C1F" w:rsidP="00F41837">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Sold final</w:t>
            </w:r>
          </w:p>
        </w:tc>
        <w:tc>
          <w:tcPr>
            <w:tcW w:w="1417" w:type="dxa"/>
            <w:shd w:val="clear" w:color="auto" w:fill="DEEAF6" w:themeFill="accent1" w:themeFillTint="33"/>
            <w:vAlign w:val="center"/>
          </w:tcPr>
          <w:p w:rsidR="002B0C1F" w:rsidRPr="002751FC" w:rsidRDefault="002B0C1F" w:rsidP="00F41837">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 restanțelor în calculat</w:t>
            </w:r>
          </w:p>
        </w:tc>
        <w:tc>
          <w:tcPr>
            <w:tcW w:w="1509" w:type="dxa"/>
            <w:shd w:val="clear" w:color="auto" w:fill="DEEAF6" w:themeFill="accent1" w:themeFillTint="33"/>
            <w:vAlign w:val="center"/>
          </w:tcPr>
          <w:p w:rsidR="002B0C1F" w:rsidRPr="002751FC" w:rsidRDefault="002B0C1F" w:rsidP="00F41837">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 restanțelor în achitat</w:t>
            </w:r>
          </w:p>
        </w:tc>
      </w:tr>
      <w:tr w:rsidR="008F000F" w:rsidRPr="002751FC" w:rsidTr="00D00A45">
        <w:trPr>
          <w:trHeight w:val="126"/>
        </w:trPr>
        <w:tc>
          <w:tcPr>
            <w:tcW w:w="2689" w:type="dxa"/>
            <w:shd w:val="clear" w:color="auto" w:fill="FFFFFF" w:themeFill="background1"/>
          </w:tcPr>
          <w:p w:rsidR="002B0C1F" w:rsidRPr="002751FC" w:rsidRDefault="002B0C1F" w:rsidP="009F06EB">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2014</w:t>
            </w:r>
          </w:p>
        </w:tc>
        <w:tc>
          <w:tcPr>
            <w:tcW w:w="1108" w:type="dxa"/>
            <w:shd w:val="clear" w:color="auto" w:fill="FFFFFF" w:themeFill="background1"/>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x</w:t>
            </w:r>
          </w:p>
        </w:tc>
        <w:tc>
          <w:tcPr>
            <w:tcW w:w="992" w:type="dxa"/>
            <w:shd w:val="clear" w:color="auto" w:fill="FFFFFF" w:themeFill="background1"/>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19,0</w:t>
            </w:r>
          </w:p>
        </w:tc>
        <w:tc>
          <w:tcPr>
            <w:tcW w:w="993" w:type="dxa"/>
            <w:shd w:val="clear" w:color="auto" w:fill="FFFFFF" w:themeFill="background1"/>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13,0</w:t>
            </w:r>
          </w:p>
        </w:tc>
        <w:tc>
          <w:tcPr>
            <w:tcW w:w="992" w:type="dxa"/>
            <w:shd w:val="clear" w:color="auto" w:fill="FFFFFF" w:themeFill="background1"/>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6,0</w:t>
            </w:r>
          </w:p>
        </w:tc>
        <w:tc>
          <w:tcPr>
            <w:tcW w:w="1417" w:type="dxa"/>
            <w:shd w:val="clear" w:color="auto" w:fill="FFFFFF" w:themeFill="background1"/>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31,6%</w:t>
            </w:r>
          </w:p>
        </w:tc>
        <w:tc>
          <w:tcPr>
            <w:tcW w:w="1509" w:type="dxa"/>
            <w:shd w:val="clear" w:color="auto" w:fill="FFFFFF" w:themeFill="background1"/>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46,2%</w:t>
            </w:r>
          </w:p>
        </w:tc>
      </w:tr>
      <w:tr w:rsidR="008F000F" w:rsidRPr="002751FC" w:rsidTr="00D00A45">
        <w:trPr>
          <w:trHeight w:val="160"/>
        </w:trPr>
        <w:tc>
          <w:tcPr>
            <w:tcW w:w="2689" w:type="dxa"/>
          </w:tcPr>
          <w:p w:rsidR="002B0C1F" w:rsidRPr="002751FC" w:rsidRDefault="002B0C1F" w:rsidP="009F06EB">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2015</w:t>
            </w:r>
            <w:r w:rsidRPr="002751FC">
              <w:rPr>
                <w:rStyle w:val="ab"/>
                <w:rFonts w:asciiTheme="majorHAnsi" w:hAnsiTheme="majorHAnsi" w:cstheme="majorHAnsi"/>
                <w:sz w:val="20"/>
                <w:szCs w:val="20"/>
                <w:lang w:val="ro-MD"/>
              </w:rPr>
              <w:footnoteReference w:id="110"/>
            </w:r>
          </w:p>
        </w:tc>
        <w:tc>
          <w:tcPr>
            <w:tcW w:w="1108"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6,0</w:t>
            </w:r>
          </w:p>
        </w:tc>
        <w:tc>
          <w:tcPr>
            <w:tcW w:w="992"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21,1</w:t>
            </w:r>
          </w:p>
        </w:tc>
        <w:tc>
          <w:tcPr>
            <w:tcW w:w="993"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22,4</w:t>
            </w:r>
          </w:p>
        </w:tc>
        <w:tc>
          <w:tcPr>
            <w:tcW w:w="992"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4,7</w:t>
            </w:r>
          </w:p>
        </w:tc>
        <w:tc>
          <w:tcPr>
            <w:tcW w:w="1417"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22,3%</w:t>
            </w:r>
          </w:p>
        </w:tc>
        <w:tc>
          <w:tcPr>
            <w:tcW w:w="1509"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21,0%</w:t>
            </w:r>
          </w:p>
        </w:tc>
      </w:tr>
      <w:tr w:rsidR="008F000F" w:rsidRPr="002751FC" w:rsidTr="00D00A45">
        <w:trPr>
          <w:trHeight w:val="50"/>
        </w:trPr>
        <w:tc>
          <w:tcPr>
            <w:tcW w:w="2689" w:type="dxa"/>
          </w:tcPr>
          <w:p w:rsidR="002B0C1F" w:rsidRPr="002751FC" w:rsidRDefault="002B0C1F" w:rsidP="009F06EB">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2016</w:t>
            </w:r>
          </w:p>
        </w:tc>
        <w:tc>
          <w:tcPr>
            <w:tcW w:w="1108"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4,7</w:t>
            </w:r>
          </w:p>
        </w:tc>
        <w:tc>
          <w:tcPr>
            <w:tcW w:w="992"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23,2</w:t>
            </w:r>
          </w:p>
        </w:tc>
        <w:tc>
          <w:tcPr>
            <w:tcW w:w="993"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13,5</w:t>
            </w:r>
          </w:p>
        </w:tc>
        <w:tc>
          <w:tcPr>
            <w:tcW w:w="992"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14,4</w:t>
            </w:r>
          </w:p>
        </w:tc>
        <w:tc>
          <w:tcPr>
            <w:tcW w:w="1417"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62,1%</w:t>
            </w:r>
          </w:p>
        </w:tc>
        <w:tc>
          <w:tcPr>
            <w:tcW w:w="1509" w:type="dxa"/>
          </w:tcPr>
          <w:p w:rsidR="002B0C1F" w:rsidRPr="002751FC" w:rsidRDefault="002B0C1F" w:rsidP="009F06EB">
            <w:pPr>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color w:val="FF0000"/>
                <w:sz w:val="20"/>
                <w:szCs w:val="20"/>
                <w:lang w:val="ro-MD"/>
              </w:rPr>
              <w:t>106,7%</w:t>
            </w:r>
          </w:p>
        </w:tc>
      </w:tr>
      <w:tr w:rsidR="008F000F" w:rsidRPr="002751FC" w:rsidTr="00D00A45">
        <w:trPr>
          <w:trHeight w:val="165"/>
        </w:trPr>
        <w:tc>
          <w:tcPr>
            <w:tcW w:w="2689" w:type="dxa"/>
          </w:tcPr>
          <w:p w:rsidR="002B0C1F" w:rsidRPr="002751FC" w:rsidRDefault="002B0C1F" w:rsidP="009F06EB">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2017</w:t>
            </w:r>
          </w:p>
        </w:tc>
        <w:tc>
          <w:tcPr>
            <w:tcW w:w="1108"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14,4</w:t>
            </w:r>
          </w:p>
        </w:tc>
        <w:tc>
          <w:tcPr>
            <w:tcW w:w="992"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23,3</w:t>
            </w:r>
          </w:p>
        </w:tc>
        <w:tc>
          <w:tcPr>
            <w:tcW w:w="993"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20,2</w:t>
            </w:r>
          </w:p>
        </w:tc>
        <w:tc>
          <w:tcPr>
            <w:tcW w:w="992"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17,5</w:t>
            </w:r>
          </w:p>
        </w:tc>
        <w:tc>
          <w:tcPr>
            <w:tcW w:w="1417"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75,1%</w:t>
            </w:r>
          </w:p>
        </w:tc>
        <w:tc>
          <w:tcPr>
            <w:tcW w:w="1509"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86,6%</w:t>
            </w:r>
          </w:p>
        </w:tc>
      </w:tr>
      <w:tr w:rsidR="008F000F" w:rsidRPr="002751FC" w:rsidTr="00D00A45">
        <w:trPr>
          <w:trHeight w:val="50"/>
        </w:trPr>
        <w:tc>
          <w:tcPr>
            <w:tcW w:w="2689" w:type="dxa"/>
          </w:tcPr>
          <w:p w:rsidR="002B0C1F" w:rsidRPr="002751FC" w:rsidRDefault="002B0C1F" w:rsidP="009F06EB">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2018</w:t>
            </w:r>
          </w:p>
        </w:tc>
        <w:tc>
          <w:tcPr>
            <w:tcW w:w="1108"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17,5</w:t>
            </w:r>
          </w:p>
        </w:tc>
        <w:tc>
          <w:tcPr>
            <w:tcW w:w="992"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24,9</w:t>
            </w:r>
          </w:p>
        </w:tc>
        <w:tc>
          <w:tcPr>
            <w:tcW w:w="993"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21,4</w:t>
            </w:r>
          </w:p>
        </w:tc>
        <w:tc>
          <w:tcPr>
            <w:tcW w:w="992"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21,0</w:t>
            </w:r>
          </w:p>
        </w:tc>
        <w:tc>
          <w:tcPr>
            <w:tcW w:w="1417" w:type="dxa"/>
          </w:tcPr>
          <w:p w:rsidR="002B0C1F" w:rsidRPr="002751FC" w:rsidRDefault="002B0C1F" w:rsidP="009F06EB">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84,3%</w:t>
            </w:r>
          </w:p>
        </w:tc>
        <w:tc>
          <w:tcPr>
            <w:tcW w:w="1509" w:type="dxa"/>
          </w:tcPr>
          <w:p w:rsidR="002B0C1F" w:rsidRPr="002751FC" w:rsidRDefault="002B0C1F" w:rsidP="009F06EB">
            <w:pPr>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color w:val="FF0000"/>
                <w:sz w:val="20"/>
                <w:szCs w:val="20"/>
                <w:lang w:val="ro-MD"/>
              </w:rPr>
              <w:t>98,1%</w:t>
            </w:r>
          </w:p>
        </w:tc>
      </w:tr>
    </w:tbl>
    <w:p w:rsidR="002B0C1F" w:rsidRPr="002751FC" w:rsidRDefault="002B0C1F" w:rsidP="00711E93">
      <w:pPr>
        <w:spacing w:after="0" w:line="240" w:lineRule="auto"/>
        <w:jc w:val="both"/>
        <w:rPr>
          <w:rFonts w:asciiTheme="majorHAnsi" w:eastAsia="Times New Roman" w:hAnsiTheme="majorHAnsi" w:cstheme="majorHAnsi"/>
          <w:sz w:val="16"/>
          <w:szCs w:val="16"/>
          <w:lang w:val="ro-MD"/>
        </w:rPr>
      </w:pPr>
      <w:r w:rsidRPr="002751FC">
        <w:rPr>
          <w:rFonts w:asciiTheme="majorHAnsi" w:eastAsia="Times New Roman" w:hAnsiTheme="majorHAnsi" w:cstheme="majorHAnsi"/>
          <w:b/>
          <w:sz w:val="16"/>
          <w:szCs w:val="16"/>
          <w:lang w:val="ro-MD"/>
        </w:rPr>
        <w:t>Sursa:</w:t>
      </w:r>
      <w:r w:rsidRPr="002751FC">
        <w:rPr>
          <w:rFonts w:asciiTheme="majorHAnsi" w:eastAsia="Times New Roman" w:hAnsiTheme="majorHAnsi" w:cstheme="majorHAnsi"/>
          <w:sz w:val="16"/>
          <w:szCs w:val="16"/>
          <w:lang w:val="ro-MD"/>
        </w:rPr>
        <w:t xml:space="preserve"> Datele FVV.</w:t>
      </w:r>
    </w:p>
    <w:p w:rsidR="002B0C1F" w:rsidRPr="002751FC" w:rsidRDefault="002B0C1F" w:rsidP="00243401">
      <w:pPr>
        <w:spacing w:after="0" w:line="240" w:lineRule="auto"/>
        <w:ind w:firstLine="567"/>
        <w:jc w:val="both"/>
        <w:rPr>
          <w:rFonts w:asciiTheme="majorHAnsi" w:hAnsiTheme="majorHAnsi" w:cstheme="majorHAnsi"/>
          <w:sz w:val="28"/>
          <w:szCs w:val="28"/>
          <w:lang w:val="ro-MD"/>
        </w:rPr>
      </w:pPr>
      <w:r w:rsidRPr="002751FC">
        <w:rPr>
          <w:rFonts w:asciiTheme="majorHAnsi" w:eastAsia="Times New Roman" w:hAnsiTheme="majorHAnsi" w:cstheme="majorHAnsi"/>
          <w:sz w:val="18"/>
          <w:szCs w:val="18"/>
          <w:lang w:val="ro-MD"/>
        </w:rPr>
        <w:br/>
      </w:r>
      <w:r w:rsidRPr="002751FC">
        <w:rPr>
          <w:rFonts w:asciiTheme="majorHAnsi" w:hAnsiTheme="majorHAnsi" w:cstheme="majorHAnsi"/>
          <w:sz w:val="28"/>
          <w:szCs w:val="28"/>
          <w:lang w:val="ro-MD"/>
        </w:rPr>
        <w:t>De menționat că</w:t>
      </w:r>
      <w:r w:rsidR="00E67EF3"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c</w:t>
      </w:r>
      <w:r w:rsidR="00E67EF3" w:rsidRPr="002751FC">
        <w:rPr>
          <w:rFonts w:asciiTheme="majorHAnsi" w:hAnsiTheme="majorHAnsi" w:cstheme="majorHAnsi"/>
          <w:sz w:val="28"/>
          <w:szCs w:val="28"/>
          <w:lang w:val="ro-MD"/>
        </w:rPr>
        <w:t>h</w:t>
      </w:r>
      <w:r w:rsidRPr="002751FC">
        <w:rPr>
          <w:rFonts w:asciiTheme="majorHAnsi" w:hAnsiTheme="majorHAnsi" w:cstheme="majorHAnsi"/>
          <w:sz w:val="28"/>
          <w:szCs w:val="28"/>
          <w:lang w:val="ro-MD"/>
        </w:rPr>
        <w:t xml:space="preserve">iar dacă restanțele au fost calculate prin </w:t>
      </w:r>
      <w:r w:rsidR="001D037A" w:rsidRPr="002751FC">
        <w:rPr>
          <w:rFonts w:asciiTheme="majorHAnsi" w:hAnsiTheme="majorHAnsi" w:cstheme="majorHAnsi"/>
          <w:sz w:val="28"/>
          <w:szCs w:val="28"/>
          <w:lang w:val="ro-MD"/>
        </w:rPr>
        <w:t>metoda</w:t>
      </w:r>
      <w:r w:rsidRPr="002751FC">
        <w:rPr>
          <w:rFonts w:asciiTheme="majorHAnsi" w:hAnsiTheme="majorHAnsi" w:cstheme="majorHAnsi"/>
          <w:sz w:val="28"/>
          <w:szCs w:val="28"/>
          <w:lang w:val="ro-MD"/>
        </w:rPr>
        <w:t xml:space="preserve"> general aplicată, neținând cont de mecanismul constituit pentru gestionarea contribuțiilor (120 zile), valoarea acestora atestă o situație alarmantă, </w:t>
      </w:r>
      <w:r w:rsidR="001D037A" w:rsidRPr="002751FC">
        <w:rPr>
          <w:rFonts w:asciiTheme="majorHAnsi" w:hAnsiTheme="majorHAnsi" w:cstheme="majorHAnsi"/>
          <w:sz w:val="28"/>
          <w:szCs w:val="28"/>
          <w:lang w:val="ro-MD"/>
        </w:rPr>
        <w:t>înregistrând</w:t>
      </w:r>
      <w:r w:rsidRPr="002751FC">
        <w:rPr>
          <w:rFonts w:asciiTheme="majorHAnsi" w:hAnsiTheme="majorHAnsi" w:cstheme="majorHAnsi"/>
          <w:sz w:val="28"/>
          <w:szCs w:val="28"/>
          <w:lang w:val="ro-MD"/>
        </w:rPr>
        <w:t xml:space="preserve"> creșterea lor de la an la an (de la 6,0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 xml:space="preserve"> în anul 2014</w:t>
      </w:r>
      <w:r w:rsidR="007138A2"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 xml:space="preserve"> primul an, până la 21,0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 xml:space="preserve"> în anul 2018)</w:t>
      </w:r>
      <w:r w:rsidR="007138A2" w:rsidRPr="002751FC">
        <w:rPr>
          <w:rFonts w:asciiTheme="majorHAnsi" w:hAnsiTheme="majorHAnsi" w:cstheme="majorHAnsi"/>
          <w:sz w:val="28"/>
          <w:szCs w:val="28"/>
          <w:lang w:val="ro-MD"/>
        </w:rPr>
        <w:t>. Aceasta</w:t>
      </w:r>
      <w:r w:rsidR="001E3D7A" w:rsidRPr="002751FC">
        <w:rPr>
          <w:rFonts w:asciiTheme="majorHAnsi" w:hAnsiTheme="majorHAnsi" w:cstheme="majorHAnsi"/>
          <w:sz w:val="28"/>
          <w:szCs w:val="28"/>
          <w:lang w:val="ro-MD"/>
        </w:rPr>
        <w:t xml:space="preserve"> denotă că măsurile întreprinse de SFS și ONVV privitor la colectarea restanțelor nu au fost suficiente, ponderea acestora în veniturile calculate variind de la 22,2% în anul 2015 până la </w:t>
      </w:r>
      <w:r w:rsidRPr="002751FC">
        <w:rPr>
          <w:rFonts w:asciiTheme="majorHAnsi" w:hAnsiTheme="majorHAnsi" w:cstheme="majorHAnsi"/>
          <w:sz w:val="28"/>
          <w:szCs w:val="28"/>
          <w:lang w:val="ro-MD"/>
        </w:rPr>
        <w:t>84,3% în anul 2018,</w:t>
      </w:r>
      <w:r w:rsidR="002F048E" w:rsidRPr="002751FC">
        <w:rPr>
          <w:rFonts w:asciiTheme="majorHAnsi" w:hAnsiTheme="majorHAnsi" w:cstheme="majorHAnsi"/>
          <w:sz w:val="28"/>
          <w:szCs w:val="28"/>
          <w:lang w:val="ro-MD"/>
        </w:rPr>
        <w:t xml:space="preserve"> iar ponderea restanțelor </w:t>
      </w:r>
      <w:r w:rsidRPr="002751FC">
        <w:rPr>
          <w:rFonts w:asciiTheme="majorHAnsi" w:hAnsiTheme="majorHAnsi" w:cstheme="majorHAnsi"/>
          <w:sz w:val="28"/>
          <w:szCs w:val="28"/>
          <w:lang w:val="ro-MD"/>
        </w:rPr>
        <w:t>în to</w:t>
      </w:r>
      <w:r w:rsidR="002F048E" w:rsidRPr="002751FC">
        <w:rPr>
          <w:rFonts w:asciiTheme="majorHAnsi" w:hAnsiTheme="majorHAnsi" w:cstheme="majorHAnsi"/>
          <w:sz w:val="28"/>
          <w:szCs w:val="28"/>
          <w:lang w:val="ro-MD"/>
        </w:rPr>
        <w:t>talul veniturilor încasate a var</w:t>
      </w:r>
      <w:r w:rsidRPr="002751FC">
        <w:rPr>
          <w:rFonts w:asciiTheme="majorHAnsi" w:hAnsiTheme="majorHAnsi" w:cstheme="majorHAnsi"/>
          <w:sz w:val="28"/>
          <w:szCs w:val="28"/>
          <w:lang w:val="ro-MD"/>
        </w:rPr>
        <w:t>iat de la 21,0% în anul 2015 până</w:t>
      </w:r>
      <w:r w:rsidR="002F048E" w:rsidRPr="002751FC">
        <w:rPr>
          <w:rFonts w:asciiTheme="majorHAnsi" w:hAnsiTheme="majorHAnsi" w:cstheme="majorHAnsi"/>
          <w:sz w:val="28"/>
          <w:szCs w:val="28"/>
          <w:lang w:val="ro-MD"/>
        </w:rPr>
        <w:t xml:space="preserve"> la 106,7% în anul 2016, </w:t>
      </w:r>
      <w:r w:rsidRPr="002751FC">
        <w:rPr>
          <w:rFonts w:asciiTheme="majorHAnsi" w:hAnsiTheme="majorHAnsi" w:cstheme="majorHAnsi"/>
          <w:sz w:val="28"/>
          <w:szCs w:val="28"/>
          <w:lang w:val="ro-MD"/>
        </w:rPr>
        <w:t xml:space="preserve">în anul 2018 </w:t>
      </w:r>
      <w:r w:rsidR="002F048E" w:rsidRPr="002751FC">
        <w:rPr>
          <w:rFonts w:asciiTheme="majorHAnsi" w:hAnsiTheme="majorHAnsi" w:cstheme="majorHAnsi"/>
          <w:sz w:val="28"/>
          <w:szCs w:val="28"/>
          <w:lang w:val="ro-MD"/>
        </w:rPr>
        <w:t>constituind</w:t>
      </w:r>
      <w:r w:rsidRPr="002751FC">
        <w:rPr>
          <w:rFonts w:asciiTheme="majorHAnsi" w:hAnsiTheme="majorHAnsi" w:cstheme="majorHAnsi"/>
          <w:sz w:val="28"/>
          <w:szCs w:val="28"/>
          <w:lang w:val="ro-MD"/>
        </w:rPr>
        <w:t xml:space="preserve"> 21,0 </w:t>
      </w:r>
      <w:proofErr w:type="spellStart"/>
      <w:r w:rsidRPr="002751FC">
        <w:rPr>
          <w:rFonts w:asciiTheme="majorHAnsi" w:hAnsiTheme="majorHAnsi" w:cstheme="majorHAnsi"/>
          <w:sz w:val="28"/>
          <w:szCs w:val="28"/>
          <w:lang w:val="ro-MD"/>
        </w:rPr>
        <w:t>mil.MDL</w:t>
      </w:r>
      <w:proofErr w:type="spellEnd"/>
      <w:r w:rsidR="007138A2"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sau 98,1%.</w:t>
      </w:r>
    </w:p>
    <w:p w:rsidR="002B0C1F" w:rsidRPr="002751FC" w:rsidRDefault="002B0C1F" w:rsidP="00243401">
      <w:pPr>
        <w:spacing w:after="0" w:line="240" w:lineRule="auto"/>
        <w:ind w:firstLine="567"/>
        <w:jc w:val="both"/>
        <w:rPr>
          <w:rFonts w:asciiTheme="majorHAnsi" w:hAnsiTheme="majorHAnsi" w:cstheme="majorHAnsi"/>
          <w:sz w:val="28"/>
          <w:szCs w:val="28"/>
          <w:lang w:val="ro-MD"/>
        </w:rPr>
      </w:pPr>
    </w:p>
    <w:p w:rsidR="002B0C1F" w:rsidRPr="002751FC" w:rsidRDefault="002B0C1F" w:rsidP="00243401">
      <w:pPr>
        <w:spacing w:after="0" w:line="240" w:lineRule="auto"/>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Urmare a </w:t>
      </w:r>
      <w:r w:rsidR="007138A2" w:rsidRPr="002751FC">
        <w:rPr>
          <w:rFonts w:asciiTheme="majorHAnsi" w:hAnsiTheme="majorHAnsi" w:cstheme="majorHAnsi"/>
          <w:sz w:val="28"/>
          <w:szCs w:val="28"/>
          <w:lang w:val="ro-MD"/>
        </w:rPr>
        <w:t xml:space="preserve">instituirii </w:t>
      </w:r>
      <w:r w:rsidRPr="002751FC">
        <w:rPr>
          <w:rFonts w:asciiTheme="majorHAnsi" w:hAnsiTheme="majorHAnsi" w:cstheme="majorHAnsi"/>
          <w:sz w:val="28"/>
          <w:szCs w:val="28"/>
          <w:lang w:val="ro-MD"/>
        </w:rPr>
        <w:t xml:space="preserve">mecanismului legal de reglementare dificil, pe parcursul anilor 2014-2018 nu au putut fi calculate nici </w:t>
      </w:r>
      <w:r w:rsidR="00B66CE6" w:rsidRPr="002751FC">
        <w:rPr>
          <w:rFonts w:asciiTheme="majorHAnsi" w:hAnsiTheme="majorHAnsi" w:cstheme="majorHAnsi"/>
          <w:sz w:val="28"/>
          <w:szCs w:val="28"/>
          <w:lang w:val="ro-MD"/>
        </w:rPr>
        <w:t>penalitățile</w:t>
      </w:r>
      <w:r w:rsidRPr="002751FC">
        <w:rPr>
          <w:rFonts w:asciiTheme="majorHAnsi" w:hAnsiTheme="majorHAnsi" w:cstheme="majorHAnsi"/>
          <w:sz w:val="28"/>
          <w:szCs w:val="28"/>
          <w:lang w:val="ro-MD"/>
        </w:rPr>
        <w:t xml:space="preserve"> pentru sumele datorate Fondului, care se calculează în valoare de 0,1% din suma datoriei pentru fiecare zi de </w:t>
      </w:r>
      <w:r w:rsidR="002F048E" w:rsidRPr="002751FC">
        <w:rPr>
          <w:rFonts w:asciiTheme="majorHAnsi" w:hAnsiTheme="majorHAnsi" w:cstheme="majorHAnsi"/>
          <w:sz w:val="28"/>
          <w:szCs w:val="28"/>
          <w:lang w:val="ro-MD"/>
        </w:rPr>
        <w:t>întârziere</w:t>
      </w:r>
      <w:r w:rsidRPr="002751FC">
        <w:rPr>
          <w:rFonts w:asciiTheme="majorHAnsi" w:hAnsiTheme="majorHAnsi" w:cstheme="majorHAnsi"/>
          <w:sz w:val="28"/>
          <w:szCs w:val="28"/>
          <w:lang w:val="ro-MD"/>
        </w:rPr>
        <w:t xml:space="preserve"> de la expirarea termenului de plată de 120 de zile calendaristice din ziua eliber</w:t>
      </w:r>
      <w:r w:rsidR="007138A2" w:rsidRPr="002751FC">
        <w:rPr>
          <w:rFonts w:asciiTheme="majorHAnsi" w:hAnsiTheme="majorHAnsi" w:cstheme="majorHAnsi"/>
          <w:sz w:val="28"/>
          <w:szCs w:val="28"/>
          <w:lang w:val="ro-MD"/>
        </w:rPr>
        <w:t>ării</w:t>
      </w:r>
      <w:r w:rsidRPr="002751FC">
        <w:rPr>
          <w:rFonts w:asciiTheme="majorHAnsi" w:hAnsiTheme="majorHAnsi" w:cstheme="majorHAnsi"/>
          <w:sz w:val="28"/>
          <w:szCs w:val="28"/>
          <w:lang w:val="ro-MD"/>
        </w:rPr>
        <w:t xml:space="preserve"> facturii fiscale. De </w:t>
      </w:r>
      <w:r w:rsidR="002F048E" w:rsidRPr="002751FC">
        <w:rPr>
          <w:rFonts w:asciiTheme="majorHAnsi" w:hAnsiTheme="majorHAnsi" w:cstheme="majorHAnsi"/>
          <w:sz w:val="28"/>
          <w:szCs w:val="28"/>
          <w:lang w:val="ro-MD"/>
        </w:rPr>
        <w:t>menționat</w:t>
      </w:r>
      <w:r w:rsidRPr="002751FC">
        <w:rPr>
          <w:rFonts w:asciiTheme="majorHAnsi" w:hAnsiTheme="majorHAnsi" w:cstheme="majorHAnsi"/>
          <w:sz w:val="28"/>
          <w:szCs w:val="28"/>
          <w:lang w:val="ro-MD"/>
        </w:rPr>
        <w:t xml:space="preserve"> că, conform informației ONVV, calcularea penalităților a avut loc doar pentru un agent economic (în anul 2017</w:t>
      </w:r>
      <w:r w:rsidR="007138A2" w:rsidRPr="002751FC">
        <w:rPr>
          <w:rFonts w:asciiTheme="majorHAnsi" w:hAnsiTheme="majorHAnsi" w:cstheme="majorHAnsi"/>
          <w:sz w:val="28"/>
          <w:szCs w:val="28"/>
          <w:lang w:val="ro-MD"/>
        </w:rPr>
        <w:t>, în sumă de</w:t>
      </w:r>
      <w:r w:rsidRPr="002751FC">
        <w:rPr>
          <w:rFonts w:asciiTheme="majorHAnsi" w:hAnsiTheme="majorHAnsi" w:cstheme="majorHAnsi"/>
          <w:sz w:val="28"/>
          <w:szCs w:val="28"/>
          <w:lang w:val="ro-MD"/>
        </w:rPr>
        <w:t xml:space="preserve"> 0,3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 care a fost achitată de ultimul integral</w:t>
      </w:r>
      <w:r w:rsidR="002F048E" w:rsidRPr="002751FC">
        <w:rPr>
          <w:rFonts w:asciiTheme="majorHAnsi" w:hAnsiTheme="majorHAnsi" w:cstheme="majorHAnsi"/>
          <w:sz w:val="28"/>
          <w:szCs w:val="28"/>
          <w:lang w:val="ro-MD"/>
        </w:rPr>
        <w:t>.</w:t>
      </w:r>
    </w:p>
    <w:p w:rsidR="002B0C1F" w:rsidRPr="002751FC" w:rsidRDefault="002B0C1F" w:rsidP="00243401">
      <w:pPr>
        <w:spacing w:after="0" w:line="240" w:lineRule="auto"/>
        <w:ind w:firstLine="567"/>
        <w:jc w:val="both"/>
        <w:rPr>
          <w:rFonts w:asciiTheme="majorHAnsi" w:eastAsia="Times New Roman" w:hAnsiTheme="majorHAnsi" w:cstheme="majorHAnsi"/>
          <w:sz w:val="28"/>
          <w:szCs w:val="28"/>
          <w:lang w:val="ro-MD"/>
        </w:rPr>
      </w:pPr>
    </w:p>
    <w:p w:rsidR="004E4212" w:rsidRPr="002751FC" w:rsidRDefault="004E4212" w:rsidP="004E4212">
      <w:pPr>
        <w:pStyle w:val="ac"/>
        <w:numPr>
          <w:ilvl w:val="0"/>
          <w:numId w:val="13"/>
        </w:numPr>
        <w:ind w:left="0" w:firstLine="567"/>
        <w:rPr>
          <w:rFonts w:asciiTheme="majorHAnsi" w:hAnsiTheme="majorHAnsi" w:cstheme="majorHAnsi"/>
          <w:szCs w:val="28"/>
          <w:lang w:val="ro-MD"/>
        </w:rPr>
      </w:pPr>
      <w:r w:rsidRPr="002751FC">
        <w:rPr>
          <w:rFonts w:asciiTheme="majorHAnsi" w:hAnsiTheme="majorHAnsi" w:cstheme="majorHAnsi"/>
          <w:szCs w:val="28"/>
          <w:lang w:val="ro-MD"/>
        </w:rPr>
        <w:lastRenderedPageBreak/>
        <w:t>Referitor la măsurile întreprinse de către SFS și ONVV privind colectarea restanțelor în FVV se atestă următoarele.</w:t>
      </w:r>
    </w:p>
    <w:p w:rsidR="004E4212" w:rsidRPr="002751FC" w:rsidRDefault="004E4212" w:rsidP="004E4212">
      <w:pPr>
        <w:pStyle w:val="ac"/>
        <w:ind w:left="0"/>
        <w:rPr>
          <w:rFonts w:asciiTheme="majorHAnsi" w:hAnsiTheme="majorHAnsi" w:cstheme="majorHAnsi"/>
          <w:szCs w:val="28"/>
          <w:lang w:val="ro-MD"/>
        </w:rPr>
      </w:pPr>
      <w:r w:rsidRPr="002751FC">
        <w:rPr>
          <w:rFonts w:asciiTheme="majorHAnsi" w:hAnsiTheme="majorHAnsi" w:cstheme="majorHAnsi"/>
          <w:szCs w:val="28"/>
          <w:lang w:val="ro-MD"/>
        </w:rPr>
        <w:t>Conform informațiilor prezentate de responsabilii ONVV, în scopul colectării restanțelor în FVV</w:t>
      </w:r>
      <w:r w:rsidR="001A1785" w:rsidRPr="002751FC">
        <w:rPr>
          <w:rFonts w:asciiTheme="majorHAnsi" w:hAnsiTheme="majorHAnsi" w:cstheme="majorHAnsi"/>
          <w:szCs w:val="28"/>
          <w:lang w:val="ro-MD"/>
        </w:rPr>
        <w:t>,</w:t>
      </w:r>
      <w:r w:rsidRPr="002751FC">
        <w:rPr>
          <w:rFonts w:asciiTheme="majorHAnsi" w:hAnsiTheme="majorHAnsi" w:cstheme="majorHAnsi"/>
          <w:szCs w:val="28"/>
          <w:lang w:val="ro-MD"/>
        </w:rPr>
        <w:t xml:space="preserve"> la 06.06.2016 au fost transmise scrisori la 66 </w:t>
      </w:r>
      <w:r w:rsidR="001A1785" w:rsidRPr="002751FC">
        <w:rPr>
          <w:rFonts w:asciiTheme="majorHAnsi" w:hAnsiTheme="majorHAnsi" w:cstheme="majorHAnsi"/>
          <w:szCs w:val="28"/>
          <w:lang w:val="ro-MD"/>
        </w:rPr>
        <w:t xml:space="preserve">de </w:t>
      </w:r>
      <w:r w:rsidRPr="002751FC">
        <w:rPr>
          <w:rFonts w:asciiTheme="majorHAnsi" w:hAnsiTheme="majorHAnsi" w:cstheme="majorHAnsi"/>
          <w:szCs w:val="28"/>
          <w:lang w:val="ro-MD"/>
        </w:rPr>
        <w:t>companii vitivinicole</w:t>
      </w:r>
      <w:r w:rsidR="001A1785" w:rsidRPr="002751FC">
        <w:rPr>
          <w:rFonts w:asciiTheme="majorHAnsi" w:hAnsiTheme="majorHAnsi" w:cstheme="majorHAnsi"/>
          <w:szCs w:val="28"/>
          <w:lang w:val="ro-MD"/>
        </w:rPr>
        <w:t>, iar</w:t>
      </w:r>
      <w:r w:rsidRPr="002751FC">
        <w:rPr>
          <w:rFonts w:asciiTheme="majorHAnsi" w:hAnsiTheme="majorHAnsi" w:cstheme="majorHAnsi"/>
          <w:szCs w:val="28"/>
          <w:lang w:val="ro-MD"/>
        </w:rPr>
        <w:t xml:space="preserve"> la 03.11.2016 – la 45 </w:t>
      </w:r>
      <w:r w:rsidR="001A1785" w:rsidRPr="002751FC">
        <w:rPr>
          <w:rFonts w:asciiTheme="majorHAnsi" w:hAnsiTheme="majorHAnsi" w:cstheme="majorHAnsi"/>
          <w:szCs w:val="28"/>
          <w:lang w:val="ro-MD"/>
        </w:rPr>
        <w:t xml:space="preserve">de </w:t>
      </w:r>
      <w:r w:rsidRPr="002751FC">
        <w:rPr>
          <w:rFonts w:asciiTheme="majorHAnsi" w:hAnsiTheme="majorHAnsi" w:cstheme="majorHAnsi"/>
          <w:szCs w:val="28"/>
          <w:lang w:val="ro-MD"/>
        </w:rPr>
        <w:t>companii.</w:t>
      </w:r>
    </w:p>
    <w:p w:rsidR="004E4212" w:rsidRPr="002751FC" w:rsidRDefault="004E4212" w:rsidP="004E4212">
      <w:pPr>
        <w:pStyle w:val="ac"/>
        <w:ind w:left="142"/>
        <w:rPr>
          <w:rFonts w:asciiTheme="majorHAnsi" w:hAnsiTheme="majorHAnsi" w:cstheme="majorHAnsi"/>
          <w:szCs w:val="28"/>
          <w:lang w:val="ro-MD"/>
        </w:rPr>
      </w:pPr>
    </w:p>
    <w:p w:rsidR="004E4212" w:rsidRPr="002751FC" w:rsidRDefault="004E4212" w:rsidP="00B66CE6">
      <w:pPr>
        <w:tabs>
          <w:tab w:val="left" w:pos="993"/>
        </w:tabs>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Totodată, deși SFS urma să aplice măsurile de executare silită a datoriilor şi penalităților calculate ale plătitorilor de contribuții obligatorii către Fond similar celor prevăzute în titlul V al Codului fiscal, aceste m</w:t>
      </w:r>
      <w:r w:rsidR="00047B75" w:rsidRPr="002751FC">
        <w:rPr>
          <w:rFonts w:asciiTheme="majorHAnsi" w:hAnsiTheme="majorHAnsi" w:cstheme="majorHAnsi"/>
          <w:sz w:val="28"/>
          <w:szCs w:val="28"/>
          <w:lang w:val="ro-MD"/>
        </w:rPr>
        <w:t>ă</w:t>
      </w:r>
      <w:r w:rsidRPr="002751FC">
        <w:rPr>
          <w:rFonts w:asciiTheme="majorHAnsi" w:hAnsiTheme="majorHAnsi" w:cstheme="majorHAnsi"/>
          <w:sz w:val="28"/>
          <w:szCs w:val="28"/>
          <w:lang w:val="ro-MD"/>
        </w:rPr>
        <w:t>suri au fost realizate parțial.</w:t>
      </w:r>
      <w:r w:rsidR="00B66CE6"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În acest sens, în ani</w:t>
      </w:r>
      <w:r w:rsidR="001A1785" w:rsidRPr="002751FC">
        <w:rPr>
          <w:rFonts w:asciiTheme="majorHAnsi" w:hAnsiTheme="majorHAnsi" w:cstheme="majorHAnsi"/>
          <w:sz w:val="28"/>
          <w:szCs w:val="28"/>
          <w:lang w:val="ro-MD"/>
        </w:rPr>
        <w:t>i</w:t>
      </w:r>
      <w:r w:rsidRPr="002751FC">
        <w:rPr>
          <w:rFonts w:asciiTheme="majorHAnsi" w:hAnsiTheme="majorHAnsi" w:cstheme="majorHAnsi"/>
          <w:sz w:val="28"/>
          <w:szCs w:val="28"/>
          <w:lang w:val="ro-MD"/>
        </w:rPr>
        <w:t xml:space="preserve"> 2017-2018, ONVV</w:t>
      </w:r>
      <w:r w:rsidR="00210344">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prin 2 scrisori</w:t>
      </w:r>
      <w:r w:rsidRPr="002751FC">
        <w:rPr>
          <w:rStyle w:val="ab"/>
          <w:rFonts w:asciiTheme="majorHAnsi" w:hAnsiTheme="majorHAnsi" w:cstheme="majorHAnsi"/>
          <w:sz w:val="28"/>
          <w:szCs w:val="28"/>
          <w:lang w:val="ro-MD"/>
        </w:rPr>
        <w:footnoteReference w:id="111"/>
      </w:r>
      <w:r w:rsidR="0074196B" w:rsidRPr="002751FC">
        <w:rPr>
          <w:rFonts w:asciiTheme="majorHAnsi" w:hAnsiTheme="majorHAnsi" w:cstheme="majorHAnsi"/>
          <w:sz w:val="28"/>
          <w:szCs w:val="28"/>
          <w:lang w:val="ro-MD"/>
        </w:rPr>
        <w:t xml:space="preserve"> </w:t>
      </w:r>
      <w:r w:rsidR="00047B75" w:rsidRPr="002751FC">
        <w:rPr>
          <w:rFonts w:asciiTheme="majorHAnsi" w:hAnsiTheme="majorHAnsi" w:cstheme="majorHAnsi"/>
          <w:sz w:val="28"/>
          <w:szCs w:val="28"/>
          <w:lang w:val="ro-MD"/>
        </w:rPr>
        <w:t>adresate SFS, a solicitat aplicarea</w:t>
      </w:r>
      <w:r w:rsidRPr="002751FC">
        <w:rPr>
          <w:rFonts w:asciiTheme="majorHAnsi" w:hAnsiTheme="majorHAnsi" w:cstheme="majorHAnsi"/>
          <w:sz w:val="28"/>
          <w:szCs w:val="28"/>
          <w:lang w:val="ro-MD"/>
        </w:rPr>
        <w:t xml:space="preserve"> măsur</w:t>
      </w:r>
      <w:r w:rsidR="0074196B" w:rsidRPr="002751FC">
        <w:rPr>
          <w:rFonts w:asciiTheme="majorHAnsi" w:hAnsiTheme="majorHAnsi" w:cstheme="majorHAnsi"/>
          <w:sz w:val="28"/>
          <w:szCs w:val="28"/>
          <w:lang w:val="ro-MD"/>
        </w:rPr>
        <w:t>ilor de executare silită pentru</w:t>
      </w:r>
      <w:r w:rsidRPr="002751FC">
        <w:rPr>
          <w:rFonts w:asciiTheme="majorHAnsi" w:hAnsiTheme="majorHAnsi" w:cstheme="majorHAnsi"/>
          <w:sz w:val="28"/>
          <w:szCs w:val="28"/>
          <w:lang w:val="ro-MD"/>
        </w:rPr>
        <w:t xml:space="preserve"> încasarea contribuțiilor </w:t>
      </w:r>
      <w:r w:rsidR="0074196B" w:rsidRPr="002751FC">
        <w:rPr>
          <w:rFonts w:asciiTheme="majorHAnsi" w:hAnsiTheme="majorHAnsi" w:cstheme="majorHAnsi"/>
          <w:sz w:val="28"/>
          <w:szCs w:val="28"/>
          <w:lang w:val="ro-MD"/>
        </w:rPr>
        <w:t>în FVV.</w:t>
      </w:r>
    </w:p>
    <w:p w:rsidR="002B0C1F" w:rsidRPr="002751FC" w:rsidRDefault="002B0C1F" w:rsidP="00243401">
      <w:pPr>
        <w:spacing w:after="0" w:line="240" w:lineRule="auto"/>
        <w:ind w:firstLine="851"/>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Conform informațiilor prezentate de SFS, urmare </w:t>
      </w:r>
      <w:r w:rsidR="0074196B" w:rsidRPr="002751FC">
        <w:rPr>
          <w:rFonts w:asciiTheme="majorHAnsi" w:hAnsiTheme="majorHAnsi" w:cstheme="majorHAnsi"/>
          <w:sz w:val="28"/>
          <w:szCs w:val="28"/>
          <w:lang w:val="ro-MD"/>
        </w:rPr>
        <w:t xml:space="preserve">a </w:t>
      </w:r>
      <w:r w:rsidRPr="002751FC">
        <w:rPr>
          <w:rFonts w:asciiTheme="majorHAnsi" w:hAnsiTheme="majorHAnsi" w:cstheme="majorHAnsi"/>
          <w:sz w:val="28"/>
          <w:szCs w:val="28"/>
          <w:lang w:val="ro-MD"/>
        </w:rPr>
        <w:t>acțiunilor întreprinse față de contribuabilii restanțieri, s-a</w:t>
      </w:r>
      <w:r w:rsidR="001A1785" w:rsidRPr="002751FC">
        <w:rPr>
          <w:rFonts w:asciiTheme="majorHAnsi" w:hAnsiTheme="majorHAnsi" w:cstheme="majorHAnsi"/>
          <w:sz w:val="28"/>
          <w:szCs w:val="28"/>
          <w:lang w:val="ro-MD"/>
        </w:rPr>
        <w:t>u</w:t>
      </w:r>
      <w:r w:rsidRPr="002751FC">
        <w:rPr>
          <w:rFonts w:asciiTheme="majorHAnsi" w:hAnsiTheme="majorHAnsi" w:cstheme="majorHAnsi"/>
          <w:sz w:val="28"/>
          <w:szCs w:val="28"/>
          <w:lang w:val="ro-MD"/>
        </w:rPr>
        <w:t xml:space="preserve"> constatat următoarele:</w:t>
      </w:r>
    </w:p>
    <w:p w:rsidR="002B0C1F" w:rsidRPr="002751FC" w:rsidRDefault="002B0C1F" w:rsidP="0072728A">
      <w:pPr>
        <w:pStyle w:val="ac"/>
        <w:numPr>
          <w:ilvl w:val="0"/>
          <w:numId w:val="30"/>
        </w:numPr>
        <w:tabs>
          <w:tab w:val="left" w:pos="1276"/>
        </w:tabs>
        <w:ind w:left="0" w:firstLine="851"/>
        <w:rPr>
          <w:rFonts w:asciiTheme="majorHAnsi" w:hAnsiTheme="majorHAnsi" w:cstheme="majorHAnsi"/>
          <w:szCs w:val="28"/>
          <w:lang w:val="ro-MD"/>
        </w:rPr>
      </w:pPr>
      <w:r w:rsidRPr="002751FC">
        <w:rPr>
          <w:rFonts w:asciiTheme="majorHAnsi" w:hAnsiTheme="majorHAnsi" w:cstheme="majorHAnsi"/>
          <w:szCs w:val="28"/>
          <w:lang w:val="ro-MD"/>
        </w:rPr>
        <w:t xml:space="preserve">24 </w:t>
      </w:r>
      <w:r w:rsidR="001A1785" w:rsidRPr="002751FC">
        <w:rPr>
          <w:rFonts w:asciiTheme="majorHAnsi" w:hAnsiTheme="majorHAnsi" w:cstheme="majorHAnsi"/>
          <w:szCs w:val="28"/>
          <w:lang w:val="ro-MD"/>
        </w:rPr>
        <w:t xml:space="preserve">de </w:t>
      </w:r>
      <w:r w:rsidRPr="002751FC">
        <w:rPr>
          <w:rFonts w:asciiTheme="majorHAnsi" w:hAnsiTheme="majorHAnsi" w:cstheme="majorHAnsi"/>
          <w:szCs w:val="28"/>
          <w:lang w:val="ro-MD"/>
        </w:rPr>
        <w:t xml:space="preserve">contribuabili au achitat creanțele în sumă totală de 2,8 </w:t>
      </w:r>
      <w:proofErr w:type="spellStart"/>
      <w:r w:rsidRPr="002751FC">
        <w:rPr>
          <w:rFonts w:asciiTheme="majorHAnsi" w:hAnsiTheme="majorHAnsi" w:cstheme="majorHAnsi"/>
          <w:szCs w:val="28"/>
          <w:lang w:val="ro-MD"/>
        </w:rPr>
        <w:t>mil.MDL</w:t>
      </w:r>
      <w:proofErr w:type="spellEnd"/>
      <w:r w:rsidR="001A1785" w:rsidRPr="002751FC">
        <w:rPr>
          <w:rFonts w:asciiTheme="majorHAnsi" w:hAnsiTheme="majorHAnsi" w:cstheme="majorHAnsi"/>
          <w:szCs w:val="28"/>
          <w:lang w:val="ro-MD"/>
        </w:rPr>
        <w:t>, urmare a</w:t>
      </w:r>
      <w:r w:rsidRPr="002751FC">
        <w:rPr>
          <w:rFonts w:asciiTheme="majorHAnsi" w:hAnsiTheme="majorHAnsi" w:cstheme="majorHAnsi"/>
          <w:szCs w:val="28"/>
          <w:lang w:val="ro-MD"/>
        </w:rPr>
        <w:t xml:space="preserve"> aplicării acțiunilor de conformare;</w:t>
      </w:r>
    </w:p>
    <w:p w:rsidR="002B0C1F" w:rsidRPr="002751FC" w:rsidRDefault="001A1785" w:rsidP="0072728A">
      <w:pPr>
        <w:pStyle w:val="ac"/>
        <w:numPr>
          <w:ilvl w:val="0"/>
          <w:numId w:val="30"/>
        </w:numPr>
        <w:tabs>
          <w:tab w:val="left" w:pos="1276"/>
        </w:tabs>
        <w:ind w:left="0" w:firstLine="851"/>
        <w:rPr>
          <w:rFonts w:asciiTheme="majorHAnsi" w:hAnsiTheme="majorHAnsi" w:cstheme="majorHAnsi"/>
          <w:szCs w:val="28"/>
          <w:lang w:val="ro-MD"/>
        </w:rPr>
      </w:pPr>
      <w:r w:rsidRPr="002751FC">
        <w:rPr>
          <w:rFonts w:asciiTheme="majorHAnsi" w:hAnsiTheme="majorHAnsi" w:cstheme="majorHAnsi"/>
          <w:szCs w:val="28"/>
          <w:lang w:val="ro-MD"/>
        </w:rPr>
        <w:t>pentru</w:t>
      </w:r>
      <w:r w:rsidR="002B0C1F" w:rsidRPr="002751FC">
        <w:rPr>
          <w:rFonts w:asciiTheme="majorHAnsi" w:hAnsiTheme="majorHAnsi" w:cstheme="majorHAnsi"/>
          <w:szCs w:val="28"/>
          <w:lang w:val="ro-MD"/>
        </w:rPr>
        <w:t xml:space="preserve"> 11 contribuabili a fost </w:t>
      </w:r>
      <w:r w:rsidRPr="002751FC">
        <w:rPr>
          <w:rFonts w:asciiTheme="majorHAnsi" w:hAnsiTheme="majorHAnsi" w:cstheme="majorHAnsi"/>
          <w:szCs w:val="28"/>
          <w:lang w:val="ro-MD"/>
        </w:rPr>
        <w:t>inițiată</w:t>
      </w:r>
      <w:r w:rsidR="002B0C1F" w:rsidRPr="002751FC">
        <w:rPr>
          <w:rFonts w:asciiTheme="majorHAnsi" w:hAnsiTheme="majorHAnsi" w:cstheme="majorHAnsi"/>
          <w:szCs w:val="28"/>
          <w:lang w:val="ro-MD"/>
        </w:rPr>
        <w:t xml:space="preserve"> procedura de executare silită în conformitate cu prevederile titlului V al Codului fiscal, pentru încasarea a 5,8 </w:t>
      </w:r>
      <w:proofErr w:type="spellStart"/>
      <w:r w:rsidR="002B0C1F" w:rsidRPr="002751FC">
        <w:rPr>
          <w:rFonts w:asciiTheme="majorHAnsi" w:hAnsiTheme="majorHAnsi" w:cstheme="majorHAnsi"/>
          <w:szCs w:val="28"/>
          <w:lang w:val="ro-MD"/>
        </w:rPr>
        <w:t>mil.MDL</w:t>
      </w:r>
      <w:proofErr w:type="spellEnd"/>
      <w:r w:rsidR="002B0C1F" w:rsidRPr="002751FC">
        <w:rPr>
          <w:rFonts w:asciiTheme="majorHAnsi" w:hAnsiTheme="majorHAnsi" w:cstheme="majorHAnsi"/>
          <w:szCs w:val="28"/>
          <w:lang w:val="ro-MD"/>
        </w:rPr>
        <w:t>, inclusiv: (i) la 4 contribuabili au fost suspendate operațiunile la conturile bancare; (ii) la 8 contribuabili</w:t>
      </w:r>
      <w:r w:rsidR="00181294" w:rsidRPr="002751FC">
        <w:rPr>
          <w:rFonts w:asciiTheme="majorHAnsi" w:hAnsiTheme="majorHAnsi" w:cstheme="majorHAnsi"/>
          <w:szCs w:val="28"/>
          <w:lang w:val="ro-MD"/>
        </w:rPr>
        <w:t>, urmare a</w:t>
      </w:r>
      <w:r w:rsidR="002B0C1F" w:rsidRPr="002751FC">
        <w:rPr>
          <w:rFonts w:asciiTheme="majorHAnsi" w:hAnsiTheme="majorHAnsi" w:cstheme="majorHAnsi"/>
          <w:szCs w:val="28"/>
          <w:lang w:val="ro-MD"/>
        </w:rPr>
        <w:t xml:space="preserve"> înaintării ordinelor incaso la conturile bancare, a fost încasată suma de 0,7 </w:t>
      </w:r>
      <w:proofErr w:type="spellStart"/>
      <w:r w:rsidR="002B0C1F" w:rsidRPr="002751FC">
        <w:rPr>
          <w:rFonts w:asciiTheme="majorHAnsi" w:hAnsiTheme="majorHAnsi" w:cstheme="majorHAnsi"/>
          <w:szCs w:val="28"/>
          <w:lang w:val="ro-MD"/>
        </w:rPr>
        <w:t>mil.MDL</w:t>
      </w:r>
      <w:proofErr w:type="spellEnd"/>
      <w:r w:rsidR="002B0C1F" w:rsidRPr="002751FC">
        <w:rPr>
          <w:rFonts w:asciiTheme="majorHAnsi" w:hAnsiTheme="majorHAnsi" w:cstheme="majorHAnsi"/>
          <w:szCs w:val="28"/>
          <w:lang w:val="ro-MD"/>
        </w:rPr>
        <w:t>.</w:t>
      </w:r>
    </w:p>
    <w:p w:rsidR="002B0C1F" w:rsidRPr="002751FC" w:rsidRDefault="002B0C1F" w:rsidP="00243401">
      <w:pPr>
        <w:spacing w:after="0" w:line="240" w:lineRule="auto"/>
        <w:ind w:left="709" w:hanging="142"/>
        <w:jc w:val="both"/>
        <w:rPr>
          <w:rFonts w:asciiTheme="majorHAnsi" w:hAnsiTheme="majorHAnsi" w:cstheme="majorHAnsi"/>
          <w:sz w:val="28"/>
          <w:szCs w:val="28"/>
          <w:lang w:val="ro-MD"/>
        </w:rPr>
      </w:pPr>
    </w:p>
    <w:p w:rsidR="002B0C1F" w:rsidRPr="002751FC" w:rsidRDefault="002B0C1F" w:rsidP="00243401">
      <w:pPr>
        <w:spacing w:after="0" w:line="240" w:lineRule="auto"/>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Totodată,</w:t>
      </w:r>
      <w:r w:rsidR="00366823"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 xml:space="preserve">a fost constatat </w:t>
      </w:r>
      <w:r w:rsidR="00181294" w:rsidRPr="002751FC">
        <w:rPr>
          <w:rFonts w:asciiTheme="majorHAnsi" w:hAnsiTheme="majorHAnsi" w:cstheme="majorHAnsi"/>
          <w:sz w:val="28"/>
          <w:szCs w:val="28"/>
          <w:lang w:val="ro-MD"/>
        </w:rPr>
        <w:t xml:space="preserve">faptul </w:t>
      </w:r>
      <w:r w:rsidRPr="002751FC">
        <w:rPr>
          <w:rFonts w:asciiTheme="majorHAnsi" w:hAnsiTheme="majorHAnsi" w:cstheme="majorHAnsi"/>
          <w:sz w:val="28"/>
          <w:szCs w:val="28"/>
          <w:lang w:val="ro-MD"/>
        </w:rPr>
        <w:t>că 11 contribuabili</w:t>
      </w:r>
      <w:r w:rsidR="00181294"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cu suma totală a creanței de 1,1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 xml:space="preserve">, au intentat procedura de insolvabilitate și nu este posibilă </w:t>
      </w:r>
      <w:r w:rsidR="00181294" w:rsidRPr="002751FC">
        <w:rPr>
          <w:rFonts w:asciiTheme="majorHAnsi" w:hAnsiTheme="majorHAnsi" w:cstheme="majorHAnsi"/>
          <w:sz w:val="28"/>
          <w:szCs w:val="28"/>
          <w:lang w:val="ro-MD"/>
        </w:rPr>
        <w:t xml:space="preserve">inițierea </w:t>
      </w:r>
      <w:r w:rsidRPr="002751FC">
        <w:rPr>
          <w:rFonts w:asciiTheme="majorHAnsi" w:hAnsiTheme="majorHAnsi" w:cstheme="majorHAnsi"/>
          <w:sz w:val="28"/>
          <w:szCs w:val="28"/>
          <w:lang w:val="ro-MD"/>
        </w:rPr>
        <w:t>procesului de executare silită. Un contribuabil</w:t>
      </w:r>
      <w:r w:rsidR="00181294"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cu suma restanței de 13,15 mii MDL, a efectuat corectarea dării de seamă cu micșorarea obligației calculate. Față de restul contribuabililor au fost aplicate acțiuni de conformare voluntară prin remiterea scrisorilor, notificărilor, convorbirilor telefonice etc. </w:t>
      </w:r>
    </w:p>
    <w:p w:rsidR="002B0C1F" w:rsidRPr="002751FC" w:rsidRDefault="002B0C1F" w:rsidP="00243401">
      <w:pPr>
        <w:spacing w:after="0" w:line="240" w:lineRule="auto"/>
        <w:jc w:val="both"/>
        <w:rPr>
          <w:rFonts w:asciiTheme="majorHAnsi" w:hAnsiTheme="majorHAnsi" w:cstheme="majorHAnsi"/>
          <w:sz w:val="28"/>
          <w:szCs w:val="28"/>
          <w:lang w:val="ro-MD"/>
        </w:rPr>
      </w:pPr>
    </w:p>
    <w:p w:rsidR="002B0C1F" w:rsidRPr="002751FC" w:rsidRDefault="00181294" w:rsidP="00243401">
      <w:pPr>
        <w:spacing w:after="0" w:line="240" w:lineRule="auto"/>
        <w:ind w:firstLine="567"/>
        <w:jc w:val="both"/>
        <w:rPr>
          <w:rFonts w:asciiTheme="majorHAnsi" w:hAnsiTheme="majorHAnsi" w:cstheme="majorHAnsi"/>
          <w:b/>
          <w:i/>
          <w:sz w:val="28"/>
          <w:szCs w:val="28"/>
          <w:lang w:val="ro-MD"/>
        </w:rPr>
      </w:pPr>
      <w:r w:rsidRPr="002751FC">
        <w:rPr>
          <w:rFonts w:asciiTheme="majorHAnsi" w:hAnsiTheme="majorHAnsi" w:cstheme="majorHAnsi"/>
          <w:b/>
          <w:i/>
          <w:sz w:val="28"/>
          <w:szCs w:val="28"/>
          <w:lang w:val="ro-MD"/>
        </w:rPr>
        <w:t>Auditul relevă că</w:t>
      </w:r>
      <w:r w:rsidR="002B0C1F" w:rsidRPr="002751FC">
        <w:rPr>
          <w:rFonts w:asciiTheme="majorHAnsi" w:hAnsiTheme="majorHAnsi" w:cstheme="majorHAnsi"/>
          <w:b/>
          <w:i/>
          <w:sz w:val="28"/>
          <w:szCs w:val="28"/>
          <w:lang w:val="ro-MD"/>
        </w:rPr>
        <w:t xml:space="preserve">, dacă nu va fi schimbat mecanismul existent (120 zile), și anume revizuirea cadrului normativ și de reglementare, problemele </w:t>
      </w:r>
      <w:r w:rsidR="00DD26CF" w:rsidRPr="002751FC">
        <w:rPr>
          <w:rFonts w:asciiTheme="majorHAnsi" w:hAnsiTheme="majorHAnsi" w:cstheme="majorHAnsi"/>
          <w:b/>
          <w:i/>
          <w:sz w:val="28"/>
          <w:szCs w:val="28"/>
          <w:lang w:val="ro-MD"/>
        </w:rPr>
        <w:t>legate de imperfecțiunea</w:t>
      </w:r>
      <w:r w:rsidR="002B0C1F" w:rsidRPr="002751FC">
        <w:rPr>
          <w:rFonts w:asciiTheme="majorHAnsi" w:hAnsiTheme="majorHAnsi" w:cstheme="majorHAnsi"/>
          <w:b/>
          <w:i/>
          <w:sz w:val="28"/>
          <w:szCs w:val="28"/>
          <w:lang w:val="ro-MD"/>
        </w:rPr>
        <w:t xml:space="preserve"> acestuia și impo</w:t>
      </w:r>
      <w:r w:rsidR="00740E6D" w:rsidRPr="002751FC">
        <w:rPr>
          <w:rFonts w:asciiTheme="majorHAnsi" w:hAnsiTheme="majorHAnsi" w:cstheme="majorHAnsi"/>
          <w:b/>
          <w:i/>
          <w:sz w:val="28"/>
          <w:szCs w:val="28"/>
          <w:lang w:val="ro-MD"/>
        </w:rPr>
        <w:t>sibilitat</w:t>
      </w:r>
      <w:r w:rsidR="002B0C1F" w:rsidRPr="002751FC">
        <w:rPr>
          <w:rFonts w:asciiTheme="majorHAnsi" w:hAnsiTheme="majorHAnsi" w:cstheme="majorHAnsi"/>
          <w:b/>
          <w:i/>
          <w:sz w:val="28"/>
          <w:szCs w:val="28"/>
          <w:lang w:val="ro-MD"/>
        </w:rPr>
        <w:t xml:space="preserve">ea realizării lui vor continua </w:t>
      </w:r>
      <w:r w:rsidR="00A54748" w:rsidRPr="002751FC">
        <w:rPr>
          <w:rFonts w:asciiTheme="majorHAnsi" w:hAnsiTheme="majorHAnsi" w:cstheme="majorHAnsi"/>
          <w:b/>
          <w:i/>
          <w:sz w:val="28"/>
          <w:szCs w:val="28"/>
          <w:lang w:val="ro-MD"/>
        </w:rPr>
        <w:t>să persiste și pentru anii următ</w:t>
      </w:r>
      <w:r w:rsidR="002B0C1F" w:rsidRPr="002751FC">
        <w:rPr>
          <w:rFonts w:asciiTheme="majorHAnsi" w:hAnsiTheme="majorHAnsi" w:cstheme="majorHAnsi"/>
          <w:b/>
          <w:i/>
          <w:sz w:val="28"/>
          <w:szCs w:val="28"/>
          <w:lang w:val="ro-MD"/>
        </w:rPr>
        <w:t>ori, fiin</w:t>
      </w:r>
      <w:r w:rsidR="00A54748" w:rsidRPr="002751FC">
        <w:rPr>
          <w:rFonts w:asciiTheme="majorHAnsi" w:hAnsiTheme="majorHAnsi" w:cstheme="majorHAnsi"/>
          <w:b/>
          <w:i/>
          <w:sz w:val="28"/>
          <w:szCs w:val="28"/>
          <w:lang w:val="ro-MD"/>
        </w:rPr>
        <w:t>d</w:t>
      </w:r>
      <w:r w:rsidR="002B0C1F" w:rsidRPr="002751FC">
        <w:rPr>
          <w:rFonts w:asciiTheme="majorHAnsi" w:hAnsiTheme="majorHAnsi" w:cstheme="majorHAnsi"/>
          <w:b/>
          <w:i/>
          <w:sz w:val="28"/>
          <w:szCs w:val="28"/>
          <w:lang w:val="ro-MD"/>
        </w:rPr>
        <w:t xml:space="preserve"> afectat bugetul FVV </w:t>
      </w:r>
      <w:r w:rsidRPr="002751FC">
        <w:rPr>
          <w:rFonts w:asciiTheme="majorHAnsi" w:hAnsiTheme="majorHAnsi" w:cstheme="majorHAnsi"/>
          <w:b/>
          <w:i/>
          <w:sz w:val="28"/>
          <w:szCs w:val="28"/>
          <w:lang w:val="ro-MD"/>
        </w:rPr>
        <w:t xml:space="preserve">per total </w:t>
      </w:r>
      <w:r w:rsidR="002B0C1F" w:rsidRPr="002751FC">
        <w:rPr>
          <w:rFonts w:asciiTheme="majorHAnsi" w:hAnsiTheme="majorHAnsi" w:cstheme="majorHAnsi"/>
          <w:b/>
          <w:i/>
          <w:sz w:val="28"/>
          <w:szCs w:val="28"/>
          <w:lang w:val="ro-MD"/>
        </w:rPr>
        <w:t>și</w:t>
      </w:r>
      <w:r w:rsidRPr="002751FC">
        <w:rPr>
          <w:rFonts w:asciiTheme="majorHAnsi" w:hAnsiTheme="majorHAnsi" w:cstheme="majorHAnsi"/>
          <w:b/>
          <w:i/>
          <w:sz w:val="28"/>
          <w:szCs w:val="28"/>
          <w:lang w:val="ro-MD"/>
        </w:rPr>
        <w:t>,</w:t>
      </w:r>
      <w:r w:rsidR="002B0C1F" w:rsidRPr="002751FC">
        <w:rPr>
          <w:rFonts w:asciiTheme="majorHAnsi" w:hAnsiTheme="majorHAnsi" w:cstheme="majorHAnsi"/>
          <w:b/>
          <w:i/>
          <w:sz w:val="28"/>
          <w:szCs w:val="28"/>
          <w:lang w:val="ro-MD"/>
        </w:rPr>
        <w:t xml:space="preserve"> ca urmare</w:t>
      </w:r>
      <w:r w:rsidRPr="002751FC">
        <w:rPr>
          <w:rFonts w:asciiTheme="majorHAnsi" w:hAnsiTheme="majorHAnsi" w:cstheme="majorHAnsi"/>
          <w:b/>
          <w:i/>
          <w:sz w:val="28"/>
          <w:szCs w:val="28"/>
          <w:lang w:val="ro-MD"/>
        </w:rPr>
        <w:t>,</w:t>
      </w:r>
      <w:r w:rsidR="002B0C1F" w:rsidRPr="002751FC">
        <w:rPr>
          <w:rFonts w:asciiTheme="majorHAnsi" w:hAnsiTheme="majorHAnsi" w:cstheme="majorHAnsi"/>
          <w:b/>
          <w:i/>
          <w:sz w:val="28"/>
          <w:szCs w:val="28"/>
          <w:lang w:val="ro-MD"/>
        </w:rPr>
        <w:t xml:space="preserve"> bugetul de stat și </w:t>
      </w:r>
      <w:r w:rsidR="00A54748" w:rsidRPr="002751FC">
        <w:rPr>
          <w:rFonts w:asciiTheme="majorHAnsi" w:hAnsiTheme="majorHAnsi" w:cstheme="majorHAnsi"/>
          <w:b/>
          <w:i/>
          <w:sz w:val="28"/>
          <w:szCs w:val="28"/>
          <w:lang w:val="ro-MD"/>
        </w:rPr>
        <w:t>b</w:t>
      </w:r>
      <w:r w:rsidR="002B0C1F" w:rsidRPr="002751FC">
        <w:rPr>
          <w:rFonts w:asciiTheme="majorHAnsi" w:hAnsiTheme="majorHAnsi" w:cstheme="majorHAnsi"/>
          <w:b/>
          <w:i/>
          <w:sz w:val="28"/>
          <w:szCs w:val="28"/>
          <w:lang w:val="ro-MD"/>
        </w:rPr>
        <w:t>ug</w:t>
      </w:r>
      <w:r w:rsidR="00A54748" w:rsidRPr="002751FC">
        <w:rPr>
          <w:rFonts w:asciiTheme="majorHAnsi" w:hAnsiTheme="majorHAnsi" w:cstheme="majorHAnsi"/>
          <w:b/>
          <w:i/>
          <w:sz w:val="28"/>
          <w:szCs w:val="28"/>
          <w:lang w:val="ro-MD"/>
        </w:rPr>
        <w:t>e</w:t>
      </w:r>
      <w:r w:rsidR="002B0C1F" w:rsidRPr="002751FC">
        <w:rPr>
          <w:rFonts w:asciiTheme="majorHAnsi" w:hAnsiTheme="majorHAnsi" w:cstheme="majorHAnsi"/>
          <w:b/>
          <w:i/>
          <w:sz w:val="28"/>
          <w:szCs w:val="28"/>
          <w:lang w:val="ro-MD"/>
        </w:rPr>
        <w:t>tul public național.</w:t>
      </w:r>
    </w:p>
    <w:p w:rsidR="002B0C1F" w:rsidRPr="002751FC" w:rsidRDefault="002B0C1F" w:rsidP="00243401">
      <w:pPr>
        <w:spacing w:after="0"/>
        <w:rPr>
          <w:rFonts w:asciiTheme="majorHAnsi" w:hAnsiTheme="majorHAnsi" w:cstheme="majorHAnsi"/>
          <w:lang w:val="ro-MD"/>
        </w:rPr>
      </w:pPr>
    </w:p>
    <w:tbl>
      <w:tblPr>
        <w:tblStyle w:val="ae"/>
        <w:tblW w:w="0" w:type="auto"/>
        <w:tblLook w:val="04A0" w:firstRow="1" w:lastRow="0" w:firstColumn="1" w:lastColumn="0" w:noHBand="0" w:noVBand="1"/>
      </w:tblPr>
      <w:tblGrid>
        <w:gridCol w:w="9678"/>
      </w:tblGrid>
      <w:tr w:rsidR="002B0C1F" w:rsidRPr="002751FC" w:rsidTr="006F08C0">
        <w:trPr>
          <w:trHeight w:val="3635"/>
        </w:trPr>
        <w:tc>
          <w:tcPr>
            <w:tcW w:w="9749" w:type="dxa"/>
            <w:shd w:val="clear" w:color="auto" w:fill="DEEAF6" w:themeFill="accent1" w:themeFillTint="33"/>
          </w:tcPr>
          <w:p w:rsidR="002B0C1F" w:rsidRPr="002751FC" w:rsidRDefault="002B0C1F" w:rsidP="006F08C0">
            <w:pPr>
              <w:spacing w:line="259" w:lineRule="auto"/>
              <w:jc w:val="both"/>
              <w:rPr>
                <w:rFonts w:asciiTheme="majorHAnsi" w:hAnsiTheme="majorHAnsi" w:cstheme="majorHAnsi"/>
                <w:b/>
                <w:sz w:val="28"/>
                <w:szCs w:val="28"/>
                <w:lang w:val="ro-MD"/>
              </w:rPr>
            </w:pPr>
            <w:r w:rsidRPr="002751FC">
              <w:rPr>
                <w:rFonts w:asciiTheme="majorHAnsi" w:hAnsiTheme="majorHAnsi" w:cstheme="majorHAnsi"/>
                <w:b/>
                <w:sz w:val="28"/>
                <w:szCs w:val="28"/>
                <w:lang w:val="ro-MD"/>
              </w:rPr>
              <w:lastRenderedPageBreak/>
              <w:t xml:space="preserve">Notă: </w:t>
            </w:r>
            <w:r w:rsidRPr="002751FC">
              <w:rPr>
                <w:rFonts w:asciiTheme="majorHAnsi" w:hAnsiTheme="majorHAnsi" w:cstheme="majorHAnsi"/>
                <w:sz w:val="28"/>
                <w:szCs w:val="28"/>
                <w:lang w:val="ro-MD"/>
              </w:rPr>
              <w:t xml:space="preserve">Conform informațiilor </w:t>
            </w:r>
            <w:r w:rsidR="00161030" w:rsidRPr="002751FC">
              <w:rPr>
                <w:rFonts w:asciiTheme="majorHAnsi" w:hAnsiTheme="majorHAnsi" w:cstheme="majorHAnsi"/>
                <w:sz w:val="28"/>
                <w:szCs w:val="28"/>
                <w:lang w:val="ro-MD"/>
              </w:rPr>
              <w:t>oferite</w:t>
            </w:r>
            <w:r w:rsidRPr="002751FC">
              <w:rPr>
                <w:rFonts w:asciiTheme="majorHAnsi" w:hAnsiTheme="majorHAnsi" w:cstheme="majorHAnsi"/>
                <w:sz w:val="28"/>
                <w:szCs w:val="28"/>
                <w:lang w:val="ro-MD"/>
              </w:rPr>
              <w:t xml:space="preserve"> de SFS și ONVV, acestea</w:t>
            </w:r>
            <w:r w:rsidR="00161030"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în cadrul ședinței din 09.10.2019</w:t>
            </w:r>
            <w:r w:rsidRPr="002751FC">
              <w:rPr>
                <w:rStyle w:val="ab"/>
                <w:rFonts w:asciiTheme="majorHAnsi" w:hAnsiTheme="majorHAnsi" w:cstheme="majorHAnsi"/>
                <w:sz w:val="28"/>
                <w:szCs w:val="28"/>
                <w:lang w:val="ro-MD"/>
              </w:rPr>
              <w:footnoteReference w:id="112"/>
            </w:r>
            <w:r w:rsidR="00161030"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 xml:space="preserve">au convenit </w:t>
            </w:r>
            <w:r w:rsidR="00161030" w:rsidRPr="002751FC">
              <w:rPr>
                <w:rFonts w:asciiTheme="majorHAnsi" w:hAnsiTheme="majorHAnsi" w:cstheme="majorHAnsi"/>
                <w:sz w:val="28"/>
                <w:szCs w:val="28"/>
                <w:lang w:val="ro-MD"/>
              </w:rPr>
              <w:t>asupra următoarelor</w:t>
            </w:r>
            <w:r w:rsidRPr="002751FC">
              <w:rPr>
                <w:rFonts w:asciiTheme="majorHAnsi" w:hAnsiTheme="majorHAnsi" w:cstheme="majorHAnsi"/>
                <w:sz w:val="28"/>
                <w:szCs w:val="28"/>
                <w:lang w:val="ro-MD"/>
              </w:rPr>
              <w:t>: (i) ONVV va solicita calculele actualizate aferente FVV în termen de până la dat</w:t>
            </w:r>
            <w:r w:rsidR="00161030" w:rsidRPr="002751FC">
              <w:rPr>
                <w:rFonts w:asciiTheme="majorHAnsi" w:hAnsiTheme="majorHAnsi" w:cstheme="majorHAnsi"/>
                <w:sz w:val="28"/>
                <w:szCs w:val="28"/>
                <w:lang w:val="ro-MD"/>
              </w:rPr>
              <w:t>a</w:t>
            </w:r>
            <w:r w:rsidRPr="002751FC">
              <w:rPr>
                <w:rFonts w:asciiTheme="majorHAnsi" w:hAnsiTheme="majorHAnsi" w:cstheme="majorHAnsi"/>
                <w:sz w:val="28"/>
                <w:szCs w:val="28"/>
                <w:lang w:val="ro-MD"/>
              </w:rPr>
              <w:t xml:space="preserve"> de 11.10.2019</w:t>
            </w:r>
            <w:r w:rsidR="00A54748"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iar SF</w:t>
            </w:r>
            <w:r w:rsidR="00A54748" w:rsidRPr="002751FC">
              <w:rPr>
                <w:rFonts w:asciiTheme="majorHAnsi" w:hAnsiTheme="majorHAnsi" w:cstheme="majorHAnsi"/>
                <w:sz w:val="28"/>
                <w:szCs w:val="28"/>
                <w:lang w:val="ro-MD"/>
              </w:rPr>
              <w:t>S</w:t>
            </w:r>
            <w:r w:rsidRPr="002751FC">
              <w:rPr>
                <w:rFonts w:asciiTheme="majorHAnsi" w:hAnsiTheme="majorHAnsi" w:cstheme="majorHAnsi"/>
                <w:sz w:val="28"/>
                <w:szCs w:val="28"/>
                <w:lang w:val="ro-MD"/>
              </w:rPr>
              <w:t xml:space="preserve"> va prezenta </w:t>
            </w:r>
            <w:r w:rsidR="00A54748" w:rsidRPr="002751FC">
              <w:rPr>
                <w:rFonts w:asciiTheme="majorHAnsi" w:hAnsiTheme="majorHAnsi" w:cstheme="majorHAnsi"/>
                <w:sz w:val="28"/>
                <w:szCs w:val="28"/>
                <w:lang w:val="ro-MD"/>
              </w:rPr>
              <w:t>c</w:t>
            </w:r>
            <w:r w:rsidRPr="002751FC">
              <w:rPr>
                <w:rFonts w:asciiTheme="majorHAnsi" w:hAnsiTheme="majorHAnsi" w:cstheme="majorHAnsi"/>
                <w:sz w:val="28"/>
                <w:szCs w:val="28"/>
                <w:lang w:val="ro-MD"/>
              </w:rPr>
              <w:t xml:space="preserve">alculele respective în termen de </w:t>
            </w:r>
            <w:r w:rsidR="00A54748" w:rsidRPr="002751FC">
              <w:rPr>
                <w:rFonts w:asciiTheme="majorHAnsi" w:hAnsiTheme="majorHAnsi" w:cstheme="majorHAnsi"/>
                <w:sz w:val="28"/>
                <w:szCs w:val="28"/>
                <w:lang w:val="ro-MD"/>
              </w:rPr>
              <w:t xml:space="preserve">până la data de 18.10.2019, </w:t>
            </w:r>
            <w:r w:rsidRPr="002751FC">
              <w:rPr>
                <w:rFonts w:asciiTheme="majorHAnsi" w:hAnsiTheme="majorHAnsi" w:cstheme="majorHAnsi"/>
                <w:sz w:val="28"/>
                <w:szCs w:val="28"/>
                <w:lang w:val="ro-MD"/>
              </w:rPr>
              <w:t xml:space="preserve">(ii) ONVV va iniția propunerile de </w:t>
            </w:r>
            <w:r w:rsidR="00A54748" w:rsidRPr="002751FC">
              <w:rPr>
                <w:rFonts w:asciiTheme="majorHAnsi" w:hAnsiTheme="majorHAnsi" w:cstheme="majorHAnsi"/>
                <w:sz w:val="28"/>
                <w:szCs w:val="28"/>
                <w:lang w:val="ro-MD"/>
              </w:rPr>
              <w:t>a</w:t>
            </w:r>
            <w:r w:rsidRPr="002751FC">
              <w:rPr>
                <w:rFonts w:asciiTheme="majorHAnsi" w:hAnsiTheme="majorHAnsi" w:cstheme="majorHAnsi"/>
                <w:sz w:val="28"/>
                <w:szCs w:val="28"/>
                <w:lang w:val="ro-MD"/>
              </w:rPr>
              <w:t>justare a cadrului legal în partea ce ține de termenul de prezentare și achitare a obligațiilor în FVV, (iii) ON</w:t>
            </w:r>
            <w:r w:rsidR="00A54748" w:rsidRPr="002751FC">
              <w:rPr>
                <w:rFonts w:asciiTheme="majorHAnsi" w:hAnsiTheme="majorHAnsi" w:cstheme="majorHAnsi"/>
                <w:sz w:val="28"/>
                <w:szCs w:val="28"/>
                <w:lang w:val="ro-MD"/>
              </w:rPr>
              <w:t xml:space="preserve">VV va prezenta SFS soldurile pe fiecare </w:t>
            </w:r>
            <w:r w:rsidRPr="002751FC">
              <w:rPr>
                <w:rFonts w:asciiTheme="majorHAnsi" w:hAnsiTheme="majorHAnsi" w:cstheme="majorHAnsi"/>
                <w:sz w:val="28"/>
                <w:szCs w:val="28"/>
                <w:lang w:val="ro-MD"/>
              </w:rPr>
              <w:t xml:space="preserve">contribuabil, înregistrate la </w:t>
            </w:r>
            <w:r w:rsidR="00A54748" w:rsidRPr="002751FC">
              <w:rPr>
                <w:rFonts w:asciiTheme="majorHAnsi" w:hAnsiTheme="majorHAnsi" w:cstheme="majorHAnsi"/>
                <w:sz w:val="28"/>
                <w:szCs w:val="28"/>
                <w:lang w:val="ro-MD"/>
              </w:rPr>
              <w:t>situaţia</w:t>
            </w:r>
            <w:r w:rsidR="00BD1E74" w:rsidRPr="002751FC">
              <w:rPr>
                <w:rFonts w:asciiTheme="majorHAnsi" w:hAnsiTheme="majorHAnsi" w:cstheme="majorHAnsi"/>
                <w:sz w:val="28"/>
                <w:szCs w:val="28"/>
                <w:lang w:val="ro-MD"/>
              </w:rPr>
              <w:t xml:space="preserve"> din 31.12.2018</w:t>
            </w:r>
            <w:r w:rsidRPr="002751FC">
              <w:rPr>
                <w:rFonts w:asciiTheme="majorHAnsi" w:hAnsiTheme="majorHAnsi" w:cstheme="majorHAnsi"/>
                <w:sz w:val="28"/>
                <w:szCs w:val="28"/>
                <w:lang w:val="ro-MD"/>
              </w:rPr>
              <w:t xml:space="preserve">, în termen de </w:t>
            </w:r>
            <w:r w:rsidR="00A54748" w:rsidRPr="002751FC">
              <w:rPr>
                <w:rFonts w:asciiTheme="majorHAnsi" w:hAnsiTheme="majorHAnsi" w:cstheme="majorHAnsi"/>
                <w:sz w:val="28"/>
                <w:szCs w:val="28"/>
                <w:lang w:val="ro-MD"/>
              </w:rPr>
              <w:t>până</w:t>
            </w:r>
            <w:r w:rsidRPr="002751FC">
              <w:rPr>
                <w:rFonts w:asciiTheme="majorHAnsi" w:hAnsiTheme="majorHAnsi" w:cstheme="majorHAnsi"/>
                <w:sz w:val="28"/>
                <w:szCs w:val="28"/>
                <w:lang w:val="ro-MD"/>
              </w:rPr>
              <w:t xml:space="preserve"> la 25.10.2019, (iv) SFS va ajusta cadrul legal existent prin care obligațiile aferente FVV se vor include în SIA „Co</w:t>
            </w:r>
            <w:r w:rsidR="00DA71F6" w:rsidRPr="002751FC">
              <w:rPr>
                <w:rFonts w:asciiTheme="majorHAnsi" w:hAnsiTheme="majorHAnsi" w:cstheme="majorHAnsi"/>
                <w:sz w:val="28"/>
                <w:szCs w:val="28"/>
                <w:lang w:val="ro-MD"/>
              </w:rPr>
              <w:t xml:space="preserve">nt curent al contribuabilului” </w:t>
            </w:r>
            <w:r w:rsidRPr="002751FC">
              <w:rPr>
                <w:rFonts w:asciiTheme="majorHAnsi" w:hAnsiTheme="majorHAnsi" w:cstheme="majorHAnsi"/>
                <w:sz w:val="28"/>
                <w:szCs w:val="28"/>
                <w:lang w:val="ro-MD"/>
              </w:rPr>
              <w:t>și va înscrie în SI al SFS soldul existent la situația din 31.12.2018, în termen de 15 zile de la data prezentării soldurilor.</w:t>
            </w:r>
          </w:p>
        </w:tc>
      </w:tr>
    </w:tbl>
    <w:p w:rsidR="002B0C1F" w:rsidRPr="002751FC" w:rsidRDefault="002B0C1F" w:rsidP="00243401">
      <w:pPr>
        <w:spacing w:after="0"/>
        <w:rPr>
          <w:rFonts w:asciiTheme="majorHAnsi" w:hAnsiTheme="majorHAnsi" w:cstheme="majorHAnsi"/>
          <w:sz w:val="28"/>
          <w:szCs w:val="28"/>
          <w:lang w:val="ro-MD"/>
        </w:rPr>
      </w:pPr>
    </w:p>
    <w:p w:rsidR="002B0C1F" w:rsidRPr="002751FC" w:rsidRDefault="002B0C1F" w:rsidP="00243401">
      <w:pPr>
        <w:pStyle w:val="a5"/>
        <w:outlineLvl w:val="0"/>
        <w:rPr>
          <w:rFonts w:asciiTheme="majorHAnsi" w:hAnsiTheme="majorHAnsi" w:cstheme="majorHAnsi"/>
          <w:b/>
          <w:sz w:val="28"/>
          <w:szCs w:val="28"/>
          <w:lang w:val="ro-MD"/>
        </w:rPr>
      </w:pPr>
      <w:bookmarkStart w:id="55" w:name="_Toc23259118"/>
      <w:r w:rsidRPr="002751FC">
        <w:rPr>
          <w:rFonts w:asciiTheme="majorHAnsi" w:hAnsiTheme="majorHAnsi" w:cstheme="majorHAnsi"/>
          <w:b/>
          <w:sz w:val="28"/>
          <w:szCs w:val="28"/>
          <w:lang w:val="ro-MD"/>
        </w:rPr>
        <w:t xml:space="preserve">4.4.4. ONVV nu a contabilizat </w:t>
      </w:r>
      <w:r w:rsidR="00153F13" w:rsidRPr="002751FC">
        <w:rPr>
          <w:rFonts w:asciiTheme="majorHAnsi" w:hAnsiTheme="majorHAnsi" w:cstheme="majorHAnsi"/>
          <w:b/>
          <w:sz w:val="28"/>
          <w:szCs w:val="28"/>
          <w:lang w:val="ro-MD"/>
        </w:rPr>
        <w:t>res</w:t>
      </w:r>
      <w:r w:rsidR="00DA71F6" w:rsidRPr="002751FC">
        <w:rPr>
          <w:rFonts w:asciiTheme="majorHAnsi" w:hAnsiTheme="majorHAnsi" w:cstheme="majorHAnsi"/>
          <w:b/>
          <w:sz w:val="28"/>
          <w:szCs w:val="28"/>
          <w:lang w:val="ro-MD"/>
        </w:rPr>
        <w:t>tanțele</w:t>
      </w:r>
      <w:r w:rsidRPr="002751FC">
        <w:rPr>
          <w:rFonts w:asciiTheme="majorHAnsi" w:hAnsiTheme="majorHAnsi" w:cstheme="majorHAnsi"/>
          <w:b/>
          <w:sz w:val="28"/>
          <w:szCs w:val="28"/>
          <w:lang w:val="ro-MD"/>
        </w:rPr>
        <w:t xml:space="preserve"> la </w:t>
      </w:r>
      <w:r w:rsidR="00DA71F6" w:rsidRPr="002751FC">
        <w:rPr>
          <w:rFonts w:asciiTheme="majorHAnsi" w:hAnsiTheme="majorHAnsi" w:cstheme="majorHAnsi"/>
          <w:b/>
          <w:sz w:val="28"/>
          <w:szCs w:val="28"/>
          <w:lang w:val="ro-MD"/>
        </w:rPr>
        <w:t>plata</w:t>
      </w:r>
      <w:r w:rsidRPr="002751FC">
        <w:rPr>
          <w:rFonts w:asciiTheme="majorHAnsi" w:hAnsiTheme="majorHAnsi" w:cstheme="majorHAnsi"/>
          <w:b/>
          <w:sz w:val="28"/>
          <w:szCs w:val="28"/>
          <w:lang w:val="ro-MD"/>
        </w:rPr>
        <w:t xml:space="preserve"> contribuțiilor în FVV</w:t>
      </w:r>
      <w:bookmarkEnd w:id="55"/>
      <w:r w:rsidRPr="002751FC">
        <w:rPr>
          <w:rFonts w:asciiTheme="majorHAnsi" w:hAnsiTheme="majorHAnsi" w:cstheme="majorHAnsi"/>
          <w:b/>
          <w:sz w:val="28"/>
          <w:szCs w:val="28"/>
          <w:lang w:val="ro-MD"/>
        </w:rPr>
        <w:t xml:space="preserve"> </w:t>
      </w:r>
    </w:p>
    <w:p w:rsidR="002B0C1F" w:rsidRPr="002751FC" w:rsidRDefault="002B0C1F" w:rsidP="00243401">
      <w:pPr>
        <w:pStyle w:val="a5"/>
        <w:outlineLvl w:val="0"/>
        <w:rPr>
          <w:rFonts w:asciiTheme="majorHAnsi" w:hAnsiTheme="majorHAnsi" w:cstheme="majorHAnsi"/>
          <w:sz w:val="28"/>
          <w:szCs w:val="28"/>
          <w:lang w:val="ro-MD"/>
        </w:rPr>
      </w:pPr>
    </w:p>
    <w:p w:rsidR="002B0C1F" w:rsidRPr="002751FC" w:rsidRDefault="002B0C1F" w:rsidP="00243401">
      <w:pPr>
        <w:pStyle w:val="a5"/>
        <w:rPr>
          <w:rFonts w:asciiTheme="majorHAnsi" w:hAnsiTheme="majorHAnsi" w:cstheme="majorHAnsi"/>
          <w:i/>
          <w:sz w:val="28"/>
          <w:szCs w:val="28"/>
          <w:lang w:val="ro-MD"/>
        </w:rPr>
      </w:pPr>
      <w:r w:rsidRPr="002751FC">
        <w:rPr>
          <w:rFonts w:asciiTheme="majorHAnsi" w:hAnsiTheme="majorHAnsi" w:cstheme="majorHAnsi"/>
          <w:sz w:val="28"/>
          <w:szCs w:val="28"/>
          <w:lang w:val="ro-MD"/>
        </w:rPr>
        <w:t>Probele de audit denotă că obligațiunile privind plata contribuțiilor în FVV nu sunt contabilizate de ONVV, astfel datele din rapoartele financiar</w:t>
      </w:r>
      <w:r w:rsidR="009044C1" w:rsidRPr="002751FC">
        <w:rPr>
          <w:rFonts w:asciiTheme="majorHAnsi" w:hAnsiTheme="majorHAnsi" w:cstheme="majorHAnsi"/>
          <w:sz w:val="28"/>
          <w:szCs w:val="28"/>
          <w:lang w:val="ro-MD"/>
        </w:rPr>
        <w:t xml:space="preserve">e pentru anii precedenți fiind </w:t>
      </w:r>
      <w:r w:rsidRPr="002751FC">
        <w:rPr>
          <w:rFonts w:asciiTheme="majorHAnsi" w:hAnsiTheme="majorHAnsi" w:cstheme="majorHAnsi"/>
          <w:sz w:val="28"/>
          <w:szCs w:val="28"/>
          <w:lang w:val="ro-MD"/>
        </w:rPr>
        <w:t xml:space="preserve">denaturate prin diminuarea creanțelor, diminuarea aferentă anului 2018 constituind 21,0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 xml:space="preserve">. </w:t>
      </w:r>
      <w:r w:rsidRPr="002751FC">
        <w:rPr>
          <w:rFonts w:asciiTheme="majorHAnsi" w:hAnsiTheme="majorHAnsi" w:cstheme="majorHAnsi"/>
          <w:i/>
          <w:sz w:val="28"/>
          <w:szCs w:val="28"/>
          <w:lang w:val="ro-MD"/>
        </w:rPr>
        <w:t>Situația aferentă anilor precedenți este prezentată în Tabelul nr.13.</w:t>
      </w:r>
    </w:p>
    <w:p w:rsidR="002B0C1F" w:rsidRPr="002751FC" w:rsidRDefault="002B0C1F" w:rsidP="00243401">
      <w:pPr>
        <w:spacing w:after="0"/>
        <w:rPr>
          <w:rFonts w:asciiTheme="majorHAnsi" w:hAnsiTheme="majorHAnsi" w:cstheme="majorHAnsi"/>
          <w:lang w:val="ro-MD"/>
        </w:rPr>
      </w:pPr>
    </w:p>
    <w:p w:rsidR="002B0C1F" w:rsidRPr="002751FC" w:rsidRDefault="002B0C1F" w:rsidP="00243401">
      <w:pPr>
        <w:pStyle w:val="ac"/>
        <w:numPr>
          <w:ilvl w:val="1"/>
          <w:numId w:val="24"/>
        </w:numPr>
        <w:ind w:left="0" w:firstLine="0"/>
        <w:outlineLvl w:val="0"/>
        <w:rPr>
          <w:rFonts w:asciiTheme="majorHAnsi" w:hAnsiTheme="majorHAnsi" w:cstheme="majorHAnsi"/>
          <w:b/>
          <w:szCs w:val="28"/>
          <w:lang w:val="ro-MD"/>
        </w:rPr>
      </w:pPr>
      <w:bookmarkStart w:id="56" w:name="_Toc23259119"/>
      <w:r w:rsidRPr="002751FC">
        <w:rPr>
          <w:rFonts w:asciiTheme="majorHAnsi" w:hAnsiTheme="majorHAnsi" w:cstheme="majorHAnsi"/>
          <w:b/>
          <w:szCs w:val="28"/>
          <w:lang w:val="ro-MD"/>
        </w:rPr>
        <w:t xml:space="preserve">Gestionarea Registrului </w:t>
      </w:r>
      <w:r w:rsidR="004755BC" w:rsidRPr="002751FC">
        <w:rPr>
          <w:rFonts w:asciiTheme="majorHAnsi" w:hAnsiTheme="majorHAnsi" w:cstheme="majorHAnsi"/>
          <w:b/>
          <w:szCs w:val="28"/>
          <w:lang w:val="ro-MD"/>
        </w:rPr>
        <w:t>v</w:t>
      </w:r>
      <w:r w:rsidRPr="002751FC">
        <w:rPr>
          <w:rFonts w:asciiTheme="majorHAnsi" w:hAnsiTheme="majorHAnsi" w:cstheme="majorHAnsi"/>
          <w:b/>
          <w:szCs w:val="28"/>
          <w:lang w:val="ro-MD"/>
        </w:rPr>
        <w:t>itivinicol se realizează cu unele abateri de la prevederile cadrului normativ</w:t>
      </w:r>
      <w:bookmarkEnd w:id="56"/>
    </w:p>
    <w:p w:rsidR="002B0C1F" w:rsidRPr="002751FC" w:rsidRDefault="002B0C1F" w:rsidP="00243401">
      <w:pPr>
        <w:spacing w:after="0"/>
        <w:rPr>
          <w:rFonts w:asciiTheme="majorHAnsi" w:hAnsiTheme="majorHAnsi" w:cstheme="majorHAnsi"/>
          <w:b/>
          <w:szCs w:val="28"/>
          <w:lang w:val="ro-MD"/>
        </w:rPr>
      </w:pP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Registrul vitivinicol a fost creat în teme</w:t>
      </w:r>
      <w:r w:rsidR="00153F13" w:rsidRPr="002751FC">
        <w:rPr>
          <w:rFonts w:asciiTheme="majorHAnsi" w:eastAsia="Times New Roman" w:hAnsiTheme="majorHAnsi" w:cstheme="majorHAnsi"/>
          <w:sz w:val="28"/>
          <w:szCs w:val="28"/>
          <w:lang w:val="ro-MD"/>
        </w:rPr>
        <w:t>i</w:t>
      </w:r>
      <w:r w:rsidRPr="002751FC">
        <w:rPr>
          <w:rFonts w:asciiTheme="majorHAnsi" w:eastAsia="Times New Roman" w:hAnsiTheme="majorHAnsi" w:cstheme="majorHAnsi"/>
          <w:sz w:val="28"/>
          <w:szCs w:val="28"/>
          <w:lang w:val="ro-MD"/>
        </w:rPr>
        <w:t>ul art.6 din L</w:t>
      </w:r>
      <w:r w:rsidR="00153F13" w:rsidRPr="002751FC">
        <w:rPr>
          <w:rFonts w:asciiTheme="majorHAnsi" w:eastAsia="Times New Roman" w:hAnsiTheme="majorHAnsi" w:cstheme="majorHAnsi"/>
          <w:sz w:val="28"/>
          <w:szCs w:val="28"/>
          <w:lang w:val="ro-MD"/>
        </w:rPr>
        <w:t>egea viei şi vinului</w:t>
      </w:r>
      <w:r w:rsidRPr="002751FC">
        <w:rPr>
          <w:rFonts w:asciiTheme="majorHAnsi" w:eastAsia="Times New Roman" w:hAnsiTheme="majorHAnsi" w:cstheme="majorHAnsi"/>
          <w:sz w:val="28"/>
          <w:szCs w:val="28"/>
          <w:lang w:val="ro-MD"/>
        </w:rPr>
        <w:t xml:space="preserve"> </w:t>
      </w:r>
      <w:r w:rsidR="00153F13" w:rsidRPr="002751FC">
        <w:rPr>
          <w:rFonts w:asciiTheme="majorHAnsi" w:eastAsia="Times New Roman" w:hAnsiTheme="majorHAnsi" w:cstheme="majorHAnsi"/>
          <w:sz w:val="28"/>
          <w:szCs w:val="28"/>
          <w:lang w:val="ro-MD"/>
        </w:rPr>
        <w:t>şi</w:t>
      </w:r>
      <w:r w:rsidRPr="002751FC">
        <w:rPr>
          <w:rFonts w:asciiTheme="majorHAnsi" w:eastAsia="Times New Roman" w:hAnsiTheme="majorHAnsi" w:cstheme="majorHAnsi"/>
          <w:sz w:val="28"/>
          <w:szCs w:val="28"/>
          <w:lang w:val="ro-MD"/>
        </w:rPr>
        <w:t xml:space="preserve"> include registrul </w:t>
      </w:r>
      <w:r w:rsidR="00153F13" w:rsidRPr="002751FC">
        <w:rPr>
          <w:rFonts w:asciiTheme="majorHAnsi" w:eastAsia="Times New Roman" w:hAnsiTheme="majorHAnsi" w:cstheme="majorHAnsi"/>
          <w:sz w:val="28"/>
          <w:szCs w:val="28"/>
          <w:lang w:val="ro-MD"/>
        </w:rPr>
        <w:t>plantațiilor</w:t>
      </w:r>
      <w:r w:rsidRPr="002751FC">
        <w:rPr>
          <w:rFonts w:asciiTheme="majorHAnsi" w:eastAsia="Times New Roman" w:hAnsiTheme="majorHAnsi" w:cstheme="majorHAnsi"/>
          <w:sz w:val="28"/>
          <w:szCs w:val="28"/>
          <w:lang w:val="ro-MD"/>
        </w:rPr>
        <w:t xml:space="preserve"> viticole şi registrul </w:t>
      </w:r>
      <w:r w:rsidR="00153F13" w:rsidRPr="002751FC">
        <w:rPr>
          <w:rFonts w:asciiTheme="majorHAnsi" w:eastAsia="Times New Roman" w:hAnsiTheme="majorHAnsi" w:cstheme="majorHAnsi"/>
          <w:sz w:val="28"/>
          <w:szCs w:val="28"/>
          <w:lang w:val="ro-MD"/>
        </w:rPr>
        <w:t>unităților</w:t>
      </w:r>
      <w:r w:rsidRPr="002751FC">
        <w:rPr>
          <w:rFonts w:asciiTheme="majorHAnsi" w:eastAsia="Times New Roman" w:hAnsiTheme="majorHAnsi" w:cstheme="majorHAnsi"/>
          <w:sz w:val="28"/>
          <w:szCs w:val="28"/>
          <w:lang w:val="ro-MD"/>
        </w:rPr>
        <w:t xml:space="preserve"> vitivinicole. Registrul vitivinicol este </w:t>
      </w:r>
      <w:r w:rsidR="00153F13" w:rsidRPr="002751FC">
        <w:rPr>
          <w:rFonts w:asciiTheme="majorHAnsi" w:eastAsia="Times New Roman" w:hAnsiTheme="majorHAnsi" w:cstheme="majorHAnsi"/>
          <w:sz w:val="28"/>
          <w:szCs w:val="28"/>
          <w:lang w:val="ro-MD"/>
        </w:rPr>
        <w:t>ținut</w:t>
      </w:r>
      <w:r w:rsidRPr="002751FC">
        <w:rPr>
          <w:rFonts w:asciiTheme="majorHAnsi" w:eastAsia="Times New Roman" w:hAnsiTheme="majorHAnsi" w:cstheme="majorHAnsi"/>
          <w:sz w:val="28"/>
          <w:szCs w:val="28"/>
          <w:lang w:val="ro-MD"/>
        </w:rPr>
        <w:t xml:space="preserve"> de ONVV în conformitate cu </w:t>
      </w:r>
      <w:r w:rsidR="004755BC" w:rsidRPr="002751FC">
        <w:rPr>
          <w:rFonts w:asciiTheme="majorHAnsi" w:eastAsia="Times New Roman" w:hAnsiTheme="majorHAnsi" w:cstheme="majorHAnsi"/>
          <w:sz w:val="28"/>
          <w:szCs w:val="28"/>
          <w:lang w:val="ro-MD"/>
        </w:rPr>
        <w:t>R</w:t>
      </w:r>
      <w:r w:rsidRPr="002751FC">
        <w:rPr>
          <w:rFonts w:asciiTheme="majorHAnsi" w:eastAsia="Times New Roman" w:hAnsiTheme="majorHAnsi" w:cstheme="majorHAnsi"/>
          <w:sz w:val="28"/>
          <w:szCs w:val="28"/>
          <w:lang w:val="ro-MD"/>
        </w:rPr>
        <w:t>egulamentul aprobat de către Guvern</w:t>
      </w:r>
      <w:r w:rsidRPr="002751FC">
        <w:rPr>
          <w:rStyle w:val="ab"/>
          <w:rFonts w:asciiTheme="majorHAnsi" w:hAnsiTheme="majorHAnsi" w:cstheme="majorHAnsi"/>
          <w:sz w:val="28"/>
          <w:szCs w:val="28"/>
          <w:lang w:val="ro-MD"/>
        </w:rPr>
        <w:footnoteReference w:id="113"/>
      </w:r>
      <w:r w:rsidRPr="002751FC">
        <w:rPr>
          <w:rFonts w:asciiTheme="majorHAnsi" w:eastAsia="Times New Roman" w:hAnsiTheme="majorHAnsi" w:cstheme="majorHAnsi"/>
          <w:sz w:val="28"/>
          <w:szCs w:val="28"/>
          <w:lang w:val="ro-MD"/>
        </w:rPr>
        <w:t>.</w:t>
      </w:r>
    </w:p>
    <w:p w:rsidR="002B0C1F" w:rsidRPr="002751FC" w:rsidRDefault="002B0C1F" w:rsidP="00243401">
      <w:pPr>
        <w:spacing w:after="0" w:line="240" w:lineRule="auto"/>
        <w:ind w:firstLine="567"/>
        <w:jc w:val="both"/>
        <w:rPr>
          <w:rFonts w:asciiTheme="majorHAnsi" w:eastAsia="Times New Roman" w:hAnsiTheme="majorHAnsi" w:cstheme="majorHAnsi"/>
          <w:sz w:val="28"/>
          <w:szCs w:val="28"/>
          <w:lang w:val="ro-MD"/>
        </w:rPr>
      </w:pPr>
    </w:p>
    <w:p w:rsidR="002B0C1F" w:rsidRPr="002751FC" w:rsidRDefault="002B0C1F" w:rsidP="00243401">
      <w:pPr>
        <w:pStyle w:val="cn"/>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Probele de audit au relevat că ONVV nu a ținut cont de prevederile pct.22 al</w:t>
      </w:r>
      <w:r w:rsidR="00DC4265" w:rsidRPr="002751FC">
        <w:rPr>
          <w:rFonts w:asciiTheme="majorHAnsi" w:hAnsiTheme="majorHAnsi" w:cstheme="majorHAnsi"/>
          <w:sz w:val="28"/>
          <w:szCs w:val="28"/>
          <w:lang w:val="ro-MD"/>
        </w:rPr>
        <w:t>i</w:t>
      </w:r>
      <w:r w:rsidRPr="002751FC">
        <w:rPr>
          <w:rFonts w:asciiTheme="majorHAnsi" w:hAnsiTheme="majorHAnsi" w:cstheme="majorHAnsi"/>
          <w:sz w:val="28"/>
          <w:szCs w:val="28"/>
          <w:lang w:val="ro-MD"/>
        </w:rPr>
        <w:t>n.</w:t>
      </w:r>
      <w:r w:rsidR="00DC4265"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5) </w:t>
      </w:r>
      <w:proofErr w:type="spellStart"/>
      <w:r w:rsidRPr="002751FC">
        <w:rPr>
          <w:rFonts w:asciiTheme="majorHAnsi" w:hAnsiTheme="majorHAnsi" w:cstheme="majorHAnsi"/>
          <w:sz w:val="28"/>
          <w:szCs w:val="28"/>
          <w:lang w:val="ro-MD"/>
        </w:rPr>
        <w:t>lit.b</w:t>
      </w:r>
      <w:proofErr w:type="spellEnd"/>
      <w:r w:rsidRPr="002751FC">
        <w:rPr>
          <w:rFonts w:asciiTheme="majorHAnsi" w:hAnsiTheme="majorHAnsi" w:cstheme="majorHAnsi"/>
          <w:sz w:val="28"/>
          <w:szCs w:val="28"/>
          <w:lang w:val="ro-MD"/>
        </w:rPr>
        <w:t>) din Conceptului tehnic al Sistemului informaţional automatizat „Registrul vitivinicol”</w:t>
      </w:r>
      <w:r w:rsidRPr="002751FC">
        <w:rPr>
          <w:rStyle w:val="ab"/>
          <w:rFonts w:asciiTheme="majorHAnsi" w:hAnsiTheme="majorHAnsi" w:cstheme="majorHAnsi"/>
          <w:sz w:val="28"/>
          <w:szCs w:val="28"/>
          <w:lang w:val="ro-MD"/>
        </w:rPr>
        <w:footnoteReference w:id="114"/>
      </w:r>
      <w:r w:rsidRPr="002751FC">
        <w:rPr>
          <w:rFonts w:asciiTheme="majorHAnsi" w:hAnsiTheme="majorHAnsi" w:cstheme="majorHAnsi"/>
          <w:sz w:val="28"/>
          <w:szCs w:val="28"/>
          <w:lang w:val="ro-MD"/>
        </w:rPr>
        <w:t xml:space="preserve"> </w:t>
      </w:r>
      <w:r w:rsidR="00DC4265" w:rsidRPr="002751FC">
        <w:rPr>
          <w:rFonts w:asciiTheme="majorHAnsi" w:hAnsiTheme="majorHAnsi" w:cstheme="majorHAnsi"/>
          <w:sz w:val="28"/>
          <w:szCs w:val="28"/>
          <w:lang w:val="ro-MD"/>
        </w:rPr>
        <w:t>ş</w:t>
      </w:r>
      <w:r w:rsidRPr="002751FC">
        <w:rPr>
          <w:rFonts w:asciiTheme="majorHAnsi" w:hAnsiTheme="majorHAnsi" w:cstheme="majorHAnsi"/>
          <w:sz w:val="28"/>
          <w:szCs w:val="28"/>
          <w:lang w:val="ro-MD"/>
        </w:rPr>
        <w:t>i</w:t>
      </w:r>
      <w:r w:rsidR="00DC4265" w:rsidRPr="002751FC">
        <w:rPr>
          <w:rFonts w:asciiTheme="majorHAnsi" w:hAnsiTheme="majorHAnsi" w:cstheme="majorHAnsi"/>
          <w:sz w:val="28"/>
          <w:szCs w:val="28"/>
          <w:lang w:val="ro-MD"/>
        </w:rPr>
        <w:t xml:space="preserve"> a</w:t>
      </w:r>
      <w:r w:rsidRPr="002751FC">
        <w:rPr>
          <w:rFonts w:asciiTheme="majorHAnsi" w:hAnsiTheme="majorHAnsi" w:cstheme="majorHAnsi"/>
          <w:sz w:val="28"/>
          <w:szCs w:val="28"/>
          <w:lang w:val="ro-MD"/>
        </w:rPr>
        <w:t xml:space="preserve"> atribuit număr de identificare unic pentru unitățile vinicole cu un </w:t>
      </w:r>
      <w:r w:rsidR="00DC4265" w:rsidRPr="002751FC">
        <w:rPr>
          <w:rFonts w:asciiTheme="majorHAnsi" w:hAnsiTheme="majorHAnsi" w:cstheme="majorHAnsi"/>
          <w:sz w:val="28"/>
          <w:szCs w:val="28"/>
          <w:lang w:val="ro-MD"/>
        </w:rPr>
        <w:t>simbol</w:t>
      </w:r>
      <w:r w:rsidRPr="002751FC">
        <w:rPr>
          <w:rFonts w:asciiTheme="majorHAnsi" w:hAnsiTheme="majorHAnsi" w:cstheme="majorHAnsi"/>
          <w:sz w:val="28"/>
          <w:szCs w:val="28"/>
          <w:lang w:val="ro-MD"/>
        </w:rPr>
        <w:t xml:space="preserve"> mai mult. </w:t>
      </w:r>
    </w:p>
    <w:p w:rsidR="002B0C1F" w:rsidRPr="002751FC" w:rsidRDefault="002B0C1F" w:rsidP="00243401">
      <w:pPr>
        <w:pStyle w:val="cn"/>
        <w:jc w:val="both"/>
        <w:rPr>
          <w:rFonts w:asciiTheme="majorHAnsi" w:hAnsiTheme="majorHAnsi" w:cstheme="majorHAnsi"/>
          <w:sz w:val="28"/>
          <w:szCs w:val="28"/>
          <w:lang w:val="ro-MD"/>
        </w:rPr>
      </w:pPr>
    </w:p>
    <w:p w:rsidR="002B0C1F" w:rsidRPr="002751FC" w:rsidRDefault="002B0C1F" w:rsidP="00243401">
      <w:pPr>
        <w:pStyle w:val="cn"/>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Totodată, </w:t>
      </w:r>
      <w:r w:rsidR="004755BC" w:rsidRPr="002751FC">
        <w:rPr>
          <w:rFonts w:asciiTheme="majorHAnsi" w:hAnsiTheme="majorHAnsi" w:cstheme="majorHAnsi"/>
          <w:sz w:val="28"/>
          <w:szCs w:val="28"/>
          <w:lang w:val="ro-MD"/>
        </w:rPr>
        <w:t xml:space="preserve">la </w:t>
      </w:r>
      <w:r w:rsidRPr="002751FC">
        <w:rPr>
          <w:rFonts w:asciiTheme="majorHAnsi" w:hAnsiTheme="majorHAnsi" w:cstheme="majorHAnsi"/>
          <w:sz w:val="28"/>
          <w:szCs w:val="28"/>
          <w:lang w:val="ro-MD"/>
        </w:rPr>
        <w:t xml:space="preserve">reconcilierea datelor SFS, ONVV </w:t>
      </w:r>
      <w:r w:rsidR="00C20ACB" w:rsidRPr="002751FC">
        <w:rPr>
          <w:rFonts w:asciiTheme="majorHAnsi" w:hAnsiTheme="majorHAnsi" w:cstheme="majorHAnsi"/>
          <w:sz w:val="28"/>
          <w:szCs w:val="28"/>
          <w:lang w:val="ro-MD"/>
        </w:rPr>
        <w:t xml:space="preserve">(contabilitatea) și </w:t>
      </w:r>
      <w:r w:rsidRPr="002751FC">
        <w:rPr>
          <w:rFonts w:asciiTheme="majorHAnsi" w:hAnsiTheme="majorHAnsi" w:cstheme="majorHAnsi"/>
          <w:sz w:val="28"/>
          <w:szCs w:val="28"/>
          <w:lang w:val="ro-MD"/>
        </w:rPr>
        <w:t>RVV privind numărul unităților vinicole</w:t>
      </w:r>
      <w:r w:rsidR="004755BC" w:rsidRPr="002751FC">
        <w:rPr>
          <w:rFonts w:asciiTheme="majorHAnsi" w:hAnsiTheme="majorHAnsi" w:cstheme="majorHAnsi"/>
          <w:sz w:val="28"/>
          <w:szCs w:val="28"/>
          <w:lang w:val="ro-MD"/>
        </w:rPr>
        <w:t xml:space="preserve"> s-</w:t>
      </w:r>
      <w:r w:rsidRPr="002751FC">
        <w:rPr>
          <w:rFonts w:asciiTheme="majorHAnsi" w:hAnsiTheme="majorHAnsi" w:cstheme="majorHAnsi"/>
          <w:sz w:val="28"/>
          <w:szCs w:val="28"/>
          <w:lang w:val="ro-MD"/>
        </w:rPr>
        <w:t>a</w:t>
      </w:r>
      <w:r w:rsidR="004755BC" w:rsidRPr="002751FC">
        <w:rPr>
          <w:rFonts w:asciiTheme="majorHAnsi" w:hAnsiTheme="majorHAnsi" w:cstheme="majorHAnsi"/>
          <w:sz w:val="28"/>
          <w:szCs w:val="28"/>
          <w:lang w:val="ro-MD"/>
        </w:rPr>
        <w:t>u</w:t>
      </w:r>
      <w:r w:rsidRPr="002751FC">
        <w:rPr>
          <w:rFonts w:asciiTheme="majorHAnsi" w:hAnsiTheme="majorHAnsi" w:cstheme="majorHAnsi"/>
          <w:sz w:val="28"/>
          <w:szCs w:val="28"/>
          <w:lang w:val="ro-MD"/>
        </w:rPr>
        <w:t xml:space="preserve"> constata</w:t>
      </w:r>
      <w:r w:rsidR="004755BC" w:rsidRPr="002751FC">
        <w:rPr>
          <w:rFonts w:asciiTheme="majorHAnsi" w:hAnsiTheme="majorHAnsi" w:cstheme="majorHAnsi"/>
          <w:sz w:val="28"/>
          <w:szCs w:val="28"/>
          <w:lang w:val="ro-MD"/>
        </w:rPr>
        <w:t>t</w:t>
      </w:r>
      <w:r w:rsidRPr="002751FC">
        <w:rPr>
          <w:rFonts w:asciiTheme="majorHAnsi" w:hAnsiTheme="majorHAnsi" w:cstheme="majorHAnsi"/>
          <w:sz w:val="28"/>
          <w:szCs w:val="28"/>
          <w:lang w:val="ro-MD"/>
        </w:rPr>
        <w:t xml:space="preserve"> </w:t>
      </w:r>
      <w:r w:rsidR="00C20ACB" w:rsidRPr="002751FC">
        <w:rPr>
          <w:rFonts w:asciiTheme="majorHAnsi" w:hAnsiTheme="majorHAnsi" w:cstheme="majorHAnsi"/>
          <w:sz w:val="28"/>
          <w:szCs w:val="28"/>
          <w:lang w:val="ro-MD"/>
        </w:rPr>
        <w:t>divergenţe</w:t>
      </w:r>
      <w:r w:rsidRPr="002751FC">
        <w:rPr>
          <w:rFonts w:asciiTheme="majorHAnsi" w:hAnsiTheme="majorHAnsi" w:cstheme="majorHAnsi"/>
          <w:sz w:val="28"/>
          <w:szCs w:val="28"/>
          <w:lang w:val="ro-MD"/>
        </w:rPr>
        <w:t xml:space="preserve">. Conform </w:t>
      </w:r>
      <w:r w:rsidR="00C20ACB" w:rsidRPr="002751FC">
        <w:rPr>
          <w:rFonts w:asciiTheme="majorHAnsi" w:hAnsiTheme="majorHAnsi" w:cstheme="majorHAnsi"/>
          <w:sz w:val="28"/>
          <w:szCs w:val="28"/>
          <w:lang w:val="ro-MD"/>
        </w:rPr>
        <w:t>datelor</w:t>
      </w:r>
      <w:r w:rsidRPr="002751FC">
        <w:rPr>
          <w:rFonts w:asciiTheme="majorHAnsi" w:hAnsiTheme="majorHAnsi" w:cstheme="majorHAnsi"/>
          <w:sz w:val="28"/>
          <w:szCs w:val="28"/>
          <w:lang w:val="ro-MD"/>
        </w:rPr>
        <w:t xml:space="preserve"> SFS</w:t>
      </w:r>
      <w:r w:rsidR="004755BC"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dările de seamă pentru anul 2018 </w:t>
      </w:r>
      <w:r w:rsidR="004755BC" w:rsidRPr="002751FC">
        <w:rPr>
          <w:rFonts w:asciiTheme="majorHAnsi" w:hAnsiTheme="majorHAnsi" w:cstheme="majorHAnsi"/>
          <w:sz w:val="28"/>
          <w:szCs w:val="28"/>
          <w:lang w:val="ro-MD"/>
        </w:rPr>
        <w:t>conțin</w:t>
      </w:r>
      <w:r w:rsidRPr="002751FC">
        <w:rPr>
          <w:rFonts w:asciiTheme="majorHAnsi" w:hAnsiTheme="majorHAnsi" w:cstheme="majorHAnsi"/>
          <w:sz w:val="28"/>
          <w:szCs w:val="28"/>
          <w:lang w:val="ro-MD"/>
        </w:rPr>
        <w:t xml:space="preserve"> 129 de contribuabil</w:t>
      </w:r>
      <w:r w:rsidR="00C20ACB" w:rsidRPr="002751FC">
        <w:rPr>
          <w:rFonts w:asciiTheme="majorHAnsi" w:hAnsiTheme="majorHAnsi" w:cstheme="majorHAnsi"/>
          <w:sz w:val="28"/>
          <w:szCs w:val="28"/>
          <w:lang w:val="ro-MD"/>
        </w:rPr>
        <w:t>i</w:t>
      </w:r>
      <w:r w:rsidRPr="002751FC">
        <w:rPr>
          <w:rFonts w:asciiTheme="majorHAnsi" w:hAnsiTheme="majorHAnsi" w:cstheme="majorHAnsi"/>
          <w:sz w:val="28"/>
          <w:szCs w:val="28"/>
          <w:lang w:val="ro-MD"/>
        </w:rPr>
        <w:t xml:space="preserve">, în evidența ONVV (contabilitatea) sunt </w:t>
      </w:r>
      <w:r w:rsidRPr="002751FC">
        <w:rPr>
          <w:rFonts w:asciiTheme="majorHAnsi" w:hAnsiTheme="majorHAnsi" w:cstheme="majorHAnsi"/>
          <w:sz w:val="28"/>
          <w:szCs w:val="28"/>
          <w:lang w:val="ro-MD"/>
        </w:rPr>
        <w:lastRenderedPageBreak/>
        <w:t>înregistrați ca plă</w:t>
      </w:r>
      <w:r w:rsidR="00C20ACB" w:rsidRPr="002751FC">
        <w:rPr>
          <w:rFonts w:asciiTheme="majorHAnsi" w:hAnsiTheme="majorHAnsi" w:cstheme="majorHAnsi"/>
          <w:sz w:val="28"/>
          <w:szCs w:val="28"/>
          <w:lang w:val="ro-MD"/>
        </w:rPr>
        <w:t>t</w:t>
      </w:r>
      <w:r w:rsidRPr="002751FC">
        <w:rPr>
          <w:rFonts w:asciiTheme="majorHAnsi" w:hAnsiTheme="majorHAnsi" w:cstheme="majorHAnsi"/>
          <w:sz w:val="28"/>
          <w:szCs w:val="28"/>
          <w:lang w:val="ro-MD"/>
        </w:rPr>
        <w:t>itori 176 de contribuabili, iar conform datelor din RVV, în acesta s-au înregistrat ca unități vinicole 184 de contribuabili. În acest sens</w:t>
      </w:r>
      <w:r w:rsidR="004755BC" w:rsidRPr="002751FC">
        <w:rPr>
          <w:rFonts w:asciiTheme="majorHAnsi" w:hAnsiTheme="majorHAnsi" w:cstheme="majorHAnsi"/>
          <w:sz w:val="28"/>
          <w:szCs w:val="28"/>
          <w:lang w:val="ro-MD"/>
        </w:rPr>
        <w:t>, este</w:t>
      </w:r>
      <w:r w:rsidRPr="002751FC">
        <w:rPr>
          <w:rFonts w:asciiTheme="majorHAnsi" w:hAnsiTheme="majorHAnsi" w:cstheme="majorHAnsi"/>
          <w:sz w:val="28"/>
          <w:szCs w:val="28"/>
          <w:lang w:val="ro-MD"/>
        </w:rPr>
        <w:t xml:space="preserve"> evidentă ne</w:t>
      </w:r>
      <w:r w:rsidR="00C20ACB" w:rsidRPr="002751FC">
        <w:rPr>
          <w:rFonts w:asciiTheme="majorHAnsi" w:hAnsiTheme="majorHAnsi" w:cstheme="majorHAnsi"/>
          <w:sz w:val="28"/>
          <w:szCs w:val="28"/>
          <w:lang w:val="ro-MD"/>
        </w:rPr>
        <w:t>d</w:t>
      </w:r>
      <w:r w:rsidRPr="002751FC">
        <w:rPr>
          <w:rFonts w:asciiTheme="majorHAnsi" w:hAnsiTheme="majorHAnsi" w:cstheme="majorHAnsi"/>
          <w:sz w:val="28"/>
          <w:szCs w:val="28"/>
          <w:lang w:val="ro-MD"/>
        </w:rPr>
        <w:t>eclararea de către toți contribuabil</w:t>
      </w:r>
      <w:r w:rsidR="00C20ACB" w:rsidRPr="002751FC">
        <w:rPr>
          <w:rFonts w:asciiTheme="majorHAnsi" w:hAnsiTheme="majorHAnsi" w:cstheme="majorHAnsi"/>
          <w:sz w:val="28"/>
          <w:szCs w:val="28"/>
          <w:lang w:val="ro-MD"/>
        </w:rPr>
        <w:t>i</w:t>
      </w:r>
      <w:r w:rsidRPr="002751FC">
        <w:rPr>
          <w:rFonts w:asciiTheme="majorHAnsi" w:hAnsiTheme="majorHAnsi" w:cstheme="majorHAnsi"/>
          <w:sz w:val="28"/>
          <w:szCs w:val="28"/>
          <w:lang w:val="ro-MD"/>
        </w:rPr>
        <w:t>i a plăților în FVV.</w:t>
      </w:r>
    </w:p>
    <w:p w:rsidR="002B0C1F" w:rsidRPr="002751FC" w:rsidRDefault="002B0C1F" w:rsidP="00243401">
      <w:pPr>
        <w:pStyle w:val="cn"/>
        <w:jc w:val="both"/>
        <w:rPr>
          <w:rFonts w:asciiTheme="majorHAnsi" w:hAnsiTheme="majorHAnsi" w:cstheme="majorHAnsi"/>
          <w:sz w:val="28"/>
          <w:szCs w:val="28"/>
          <w:lang w:val="ro-MD"/>
        </w:rPr>
      </w:pPr>
    </w:p>
    <w:p w:rsidR="002B0C1F" w:rsidRPr="002751FC" w:rsidRDefault="002B0C1F" w:rsidP="00243401">
      <w:pPr>
        <w:pStyle w:val="cn"/>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De asemenea, </w:t>
      </w:r>
      <w:r w:rsidR="004755BC" w:rsidRPr="002751FC">
        <w:rPr>
          <w:rFonts w:asciiTheme="majorHAnsi" w:hAnsiTheme="majorHAnsi" w:cstheme="majorHAnsi"/>
          <w:sz w:val="28"/>
          <w:szCs w:val="28"/>
          <w:lang w:val="ro-MD"/>
        </w:rPr>
        <w:t xml:space="preserve">la </w:t>
      </w:r>
      <w:r w:rsidRPr="002751FC">
        <w:rPr>
          <w:rFonts w:asciiTheme="majorHAnsi" w:hAnsiTheme="majorHAnsi" w:cstheme="majorHAnsi"/>
          <w:sz w:val="28"/>
          <w:szCs w:val="28"/>
          <w:lang w:val="ro-MD"/>
        </w:rPr>
        <w:t xml:space="preserve">reconcilierea datelor declarate de contribuabili către SFS cu cele obținute de la </w:t>
      </w:r>
      <w:r w:rsidR="00C20ACB" w:rsidRPr="002751FC">
        <w:rPr>
          <w:rFonts w:asciiTheme="majorHAnsi" w:hAnsiTheme="majorHAnsi" w:cstheme="majorHAnsi"/>
          <w:sz w:val="28"/>
          <w:szCs w:val="28"/>
          <w:lang w:val="ro-MD"/>
        </w:rPr>
        <w:t>SV</w:t>
      </w:r>
      <w:r w:rsidRPr="002751FC">
        <w:rPr>
          <w:rFonts w:asciiTheme="majorHAnsi" w:hAnsiTheme="majorHAnsi" w:cstheme="majorHAnsi"/>
          <w:sz w:val="28"/>
          <w:szCs w:val="28"/>
          <w:lang w:val="ro-MD"/>
        </w:rPr>
        <w:t xml:space="preserve"> privind exportul vinurilor, </w:t>
      </w:r>
      <w:r w:rsidR="002646A1" w:rsidRPr="002751FC">
        <w:rPr>
          <w:rFonts w:asciiTheme="majorHAnsi" w:hAnsiTheme="majorHAnsi" w:cstheme="majorHAnsi"/>
          <w:sz w:val="28"/>
          <w:szCs w:val="28"/>
          <w:lang w:val="ro-MD"/>
        </w:rPr>
        <w:t>s-</w:t>
      </w:r>
      <w:r w:rsidRPr="002751FC">
        <w:rPr>
          <w:rFonts w:asciiTheme="majorHAnsi" w:hAnsiTheme="majorHAnsi" w:cstheme="majorHAnsi"/>
          <w:sz w:val="28"/>
          <w:szCs w:val="28"/>
          <w:lang w:val="ro-MD"/>
        </w:rPr>
        <w:t xml:space="preserve">a constatat că 9 contribuabili au declarat volume de vin comercializat mai mici față de cele real exportate, astfel calculele contribuțiilor în FVV fiind </w:t>
      </w:r>
      <w:r w:rsidR="00C20ACB" w:rsidRPr="002751FC">
        <w:rPr>
          <w:rFonts w:asciiTheme="majorHAnsi" w:hAnsiTheme="majorHAnsi" w:cstheme="majorHAnsi"/>
          <w:sz w:val="28"/>
          <w:szCs w:val="28"/>
          <w:lang w:val="ro-MD"/>
        </w:rPr>
        <w:t>diminuate</w:t>
      </w:r>
      <w:r w:rsidRPr="002751FC">
        <w:rPr>
          <w:rFonts w:asciiTheme="majorHAnsi" w:hAnsiTheme="majorHAnsi" w:cstheme="majorHAnsi"/>
          <w:sz w:val="28"/>
          <w:szCs w:val="28"/>
          <w:lang w:val="ro-MD"/>
        </w:rPr>
        <w:t xml:space="preserve"> cu</w:t>
      </w:r>
      <w:r w:rsidR="007C1B96" w:rsidRPr="002751FC">
        <w:rPr>
          <w:rFonts w:asciiTheme="majorHAnsi" w:hAnsiTheme="majorHAnsi" w:cstheme="majorHAnsi"/>
          <w:sz w:val="28"/>
          <w:szCs w:val="28"/>
          <w:lang w:val="ro-MD"/>
        </w:rPr>
        <w:t xml:space="preserve"> circa</w:t>
      </w:r>
      <w:r w:rsidRPr="002751FC">
        <w:rPr>
          <w:rFonts w:asciiTheme="majorHAnsi" w:hAnsiTheme="majorHAnsi" w:cstheme="majorHAnsi"/>
          <w:sz w:val="28"/>
          <w:szCs w:val="28"/>
          <w:lang w:val="ro-MD"/>
        </w:rPr>
        <w:t xml:space="preserve"> </w:t>
      </w:r>
      <w:r w:rsidRPr="002751FC">
        <w:rPr>
          <w:rFonts w:asciiTheme="majorHAnsi" w:hAnsiTheme="majorHAnsi" w:cstheme="majorHAnsi"/>
          <w:b/>
          <w:sz w:val="28"/>
          <w:szCs w:val="28"/>
          <w:lang w:val="ro-MD"/>
        </w:rPr>
        <w:t xml:space="preserve">2,1 </w:t>
      </w:r>
      <w:proofErr w:type="spellStart"/>
      <w:r w:rsidRPr="002751FC">
        <w:rPr>
          <w:rFonts w:asciiTheme="majorHAnsi" w:hAnsiTheme="majorHAnsi" w:cstheme="majorHAnsi"/>
          <w:b/>
          <w:sz w:val="28"/>
          <w:szCs w:val="28"/>
          <w:lang w:val="ro-MD"/>
        </w:rPr>
        <w:t>mil.MDL</w:t>
      </w:r>
      <w:proofErr w:type="spellEnd"/>
      <w:r w:rsidRPr="002751FC">
        <w:rPr>
          <w:rFonts w:asciiTheme="majorHAnsi" w:hAnsiTheme="majorHAnsi" w:cstheme="majorHAnsi"/>
          <w:b/>
          <w:sz w:val="28"/>
          <w:szCs w:val="28"/>
          <w:lang w:val="ro-MD"/>
        </w:rPr>
        <w:t>.</w:t>
      </w:r>
    </w:p>
    <w:p w:rsidR="002B0C1F" w:rsidRPr="002751FC" w:rsidRDefault="002B0C1F" w:rsidP="00243401">
      <w:pPr>
        <w:pStyle w:val="cn"/>
        <w:jc w:val="both"/>
        <w:rPr>
          <w:rFonts w:asciiTheme="majorHAnsi" w:hAnsiTheme="majorHAnsi" w:cstheme="majorHAnsi"/>
          <w:b/>
          <w:sz w:val="28"/>
          <w:szCs w:val="28"/>
          <w:lang w:val="ro-MD"/>
        </w:rPr>
      </w:pPr>
      <w:r w:rsidRPr="002751FC">
        <w:rPr>
          <w:rFonts w:asciiTheme="majorHAnsi" w:hAnsiTheme="majorHAnsi" w:cstheme="majorHAnsi"/>
          <w:sz w:val="28"/>
          <w:szCs w:val="28"/>
          <w:lang w:val="ro-MD"/>
        </w:rPr>
        <w:br/>
        <w:t>În cadrul verific</w:t>
      </w:r>
      <w:r w:rsidR="00C20ACB" w:rsidRPr="002751FC">
        <w:rPr>
          <w:rFonts w:asciiTheme="majorHAnsi" w:hAnsiTheme="majorHAnsi" w:cstheme="majorHAnsi"/>
          <w:sz w:val="28"/>
          <w:szCs w:val="28"/>
          <w:lang w:val="ro-MD"/>
        </w:rPr>
        <w:t>ărilor au mai fost constatați 40 de</w:t>
      </w:r>
      <w:r w:rsidRPr="002751FC">
        <w:rPr>
          <w:rFonts w:asciiTheme="majorHAnsi" w:hAnsiTheme="majorHAnsi" w:cstheme="majorHAnsi"/>
          <w:sz w:val="28"/>
          <w:szCs w:val="28"/>
          <w:lang w:val="ro-MD"/>
        </w:rPr>
        <w:t xml:space="preserve"> exportatori care nu au prezentat </w:t>
      </w:r>
      <w:r w:rsidR="002646A1" w:rsidRPr="002751FC">
        <w:rPr>
          <w:rFonts w:asciiTheme="majorHAnsi" w:hAnsiTheme="majorHAnsi" w:cstheme="majorHAnsi"/>
          <w:sz w:val="28"/>
          <w:szCs w:val="28"/>
          <w:lang w:val="ro-MD"/>
        </w:rPr>
        <w:t>d</w:t>
      </w:r>
      <w:r w:rsidR="00C20ACB" w:rsidRPr="002751FC">
        <w:rPr>
          <w:rFonts w:asciiTheme="majorHAnsi" w:hAnsiTheme="majorHAnsi" w:cstheme="majorHAnsi"/>
          <w:sz w:val="28"/>
          <w:szCs w:val="28"/>
          <w:lang w:val="ro-MD"/>
        </w:rPr>
        <w:t>ările</w:t>
      </w:r>
      <w:r w:rsidRPr="002751FC">
        <w:rPr>
          <w:rFonts w:asciiTheme="majorHAnsi" w:hAnsiTheme="majorHAnsi" w:cstheme="majorHAnsi"/>
          <w:sz w:val="28"/>
          <w:szCs w:val="28"/>
          <w:lang w:val="ro-MD"/>
        </w:rPr>
        <w:t xml:space="preserve"> de seamă SFS, </w:t>
      </w:r>
      <w:r w:rsidR="00C20ACB" w:rsidRPr="002751FC">
        <w:rPr>
          <w:rFonts w:asciiTheme="majorHAnsi" w:hAnsiTheme="majorHAnsi" w:cstheme="majorHAnsi"/>
          <w:sz w:val="28"/>
          <w:szCs w:val="28"/>
          <w:lang w:val="ro-MD"/>
        </w:rPr>
        <w:t>valoarea</w:t>
      </w:r>
      <w:r w:rsidRPr="002751FC">
        <w:rPr>
          <w:rFonts w:asciiTheme="majorHAnsi" w:hAnsiTheme="majorHAnsi" w:cstheme="majorHAnsi"/>
          <w:sz w:val="28"/>
          <w:szCs w:val="28"/>
          <w:lang w:val="ro-MD"/>
        </w:rPr>
        <w:t xml:space="preserve"> contribuțiilor nedeclarate constituind </w:t>
      </w:r>
      <w:r w:rsidR="007C1B96" w:rsidRPr="002751FC">
        <w:rPr>
          <w:rFonts w:asciiTheme="majorHAnsi" w:hAnsiTheme="majorHAnsi" w:cstheme="majorHAnsi"/>
          <w:sz w:val="28"/>
          <w:szCs w:val="28"/>
          <w:lang w:val="ro-MD"/>
        </w:rPr>
        <w:t>circa</w:t>
      </w:r>
      <w:r w:rsidR="007C1B96" w:rsidRPr="002751FC">
        <w:rPr>
          <w:rFonts w:asciiTheme="majorHAnsi" w:hAnsiTheme="majorHAnsi" w:cstheme="majorHAnsi"/>
          <w:b/>
          <w:sz w:val="28"/>
          <w:szCs w:val="28"/>
          <w:lang w:val="ro-MD"/>
        </w:rPr>
        <w:t xml:space="preserve"> </w:t>
      </w:r>
      <w:r w:rsidRPr="002751FC">
        <w:rPr>
          <w:rFonts w:asciiTheme="majorHAnsi" w:hAnsiTheme="majorHAnsi" w:cstheme="majorHAnsi"/>
          <w:b/>
          <w:sz w:val="28"/>
          <w:szCs w:val="28"/>
          <w:lang w:val="ro-MD"/>
        </w:rPr>
        <w:t xml:space="preserve">4,2 </w:t>
      </w:r>
      <w:proofErr w:type="spellStart"/>
      <w:r w:rsidRPr="002751FC">
        <w:rPr>
          <w:rFonts w:asciiTheme="majorHAnsi" w:hAnsiTheme="majorHAnsi" w:cstheme="majorHAnsi"/>
          <w:b/>
          <w:sz w:val="28"/>
          <w:szCs w:val="28"/>
          <w:lang w:val="ro-MD"/>
        </w:rPr>
        <w:t>mil.MDL</w:t>
      </w:r>
      <w:proofErr w:type="spellEnd"/>
      <w:r w:rsidRPr="002751FC">
        <w:rPr>
          <w:rFonts w:asciiTheme="majorHAnsi" w:hAnsiTheme="majorHAnsi" w:cstheme="majorHAnsi"/>
          <w:b/>
          <w:sz w:val="28"/>
          <w:szCs w:val="28"/>
          <w:lang w:val="ro-MD"/>
        </w:rPr>
        <w:t>.</w:t>
      </w:r>
    </w:p>
    <w:p w:rsidR="002B0C1F" w:rsidRPr="002751FC" w:rsidRDefault="002B0C1F" w:rsidP="00243401">
      <w:pPr>
        <w:pStyle w:val="cn"/>
        <w:jc w:val="both"/>
        <w:rPr>
          <w:rFonts w:asciiTheme="majorHAnsi" w:hAnsiTheme="majorHAnsi" w:cstheme="majorHAnsi"/>
          <w:b/>
          <w:sz w:val="28"/>
          <w:szCs w:val="28"/>
          <w:lang w:val="ro-MD"/>
        </w:rPr>
      </w:pPr>
    </w:p>
    <w:p w:rsidR="002B0C1F" w:rsidRPr="002751FC" w:rsidRDefault="002B0C1F" w:rsidP="00243401">
      <w:pPr>
        <w:pStyle w:val="cn"/>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Astfel, nici SFS</w:t>
      </w:r>
      <w:r w:rsidR="00C20ACB"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nici ONVV nu dispun de date complete privind numărul unităților vinicole din țară, care urmează </w:t>
      </w:r>
      <w:r w:rsidR="00C20ACB" w:rsidRPr="002751FC">
        <w:rPr>
          <w:rFonts w:asciiTheme="majorHAnsi" w:hAnsiTheme="majorHAnsi" w:cstheme="majorHAnsi"/>
          <w:sz w:val="28"/>
          <w:szCs w:val="28"/>
          <w:lang w:val="ro-MD"/>
        </w:rPr>
        <w:t>să</w:t>
      </w:r>
      <w:r w:rsidRPr="002751FC">
        <w:rPr>
          <w:rFonts w:asciiTheme="majorHAnsi" w:hAnsiTheme="majorHAnsi" w:cstheme="majorHAnsi"/>
          <w:sz w:val="28"/>
          <w:szCs w:val="28"/>
          <w:lang w:val="ro-MD"/>
        </w:rPr>
        <w:t xml:space="preserve"> prezinte dările de seamă privind calculul contribuțiilor în FVV, cazurile constatate în cadrul reconcilierii cu datele SV </w:t>
      </w:r>
      <w:r w:rsidR="00C20ACB" w:rsidRPr="002751FC">
        <w:rPr>
          <w:rFonts w:asciiTheme="majorHAnsi" w:hAnsiTheme="majorHAnsi" w:cstheme="majorHAnsi"/>
          <w:sz w:val="28"/>
          <w:szCs w:val="28"/>
          <w:lang w:val="ro-MD"/>
        </w:rPr>
        <w:t>reprezentând</w:t>
      </w:r>
      <w:r w:rsidRPr="002751FC">
        <w:rPr>
          <w:rFonts w:asciiTheme="majorHAnsi" w:hAnsiTheme="majorHAnsi" w:cstheme="majorHAnsi"/>
          <w:sz w:val="28"/>
          <w:szCs w:val="28"/>
          <w:lang w:val="ro-MD"/>
        </w:rPr>
        <w:t xml:space="preserve"> evaziune fiscală</w:t>
      </w:r>
      <w:r w:rsidR="003E710E" w:rsidRPr="002751FC">
        <w:rPr>
          <w:rFonts w:asciiTheme="majorHAnsi" w:hAnsiTheme="majorHAnsi" w:cstheme="majorHAnsi"/>
          <w:sz w:val="28"/>
          <w:szCs w:val="28"/>
          <w:lang w:val="ro-MD"/>
        </w:rPr>
        <w:t xml:space="preserve"> de la plata </w:t>
      </w:r>
      <w:proofErr w:type="spellStart"/>
      <w:r w:rsidR="003E710E" w:rsidRPr="002751FC">
        <w:rPr>
          <w:rFonts w:asciiTheme="majorHAnsi" w:hAnsiTheme="majorHAnsi" w:cstheme="majorHAnsi"/>
          <w:sz w:val="28"/>
          <w:szCs w:val="28"/>
          <w:lang w:val="ro-MD"/>
        </w:rPr>
        <w:t>contribuţiilor</w:t>
      </w:r>
      <w:proofErr w:type="spellEnd"/>
      <w:r w:rsidRPr="002751FC">
        <w:rPr>
          <w:rFonts w:asciiTheme="majorHAnsi" w:hAnsiTheme="majorHAnsi" w:cstheme="majorHAnsi"/>
          <w:sz w:val="28"/>
          <w:szCs w:val="28"/>
          <w:lang w:val="ro-MD"/>
        </w:rPr>
        <w:t xml:space="preserve">. </w:t>
      </w:r>
    </w:p>
    <w:p w:rsidR="008D6B58" w:rsidRPr="002751FC" w:rsidRDefault="008D6B58" w:rsidP="00243401">
      <w:pPr>
        <w:pStyle w:val="cn"/>
        <w:jc w:val="both"/>
        <w:rPr>
          <w:rFonts w:asciiTheme="majorHAnsi" w:hAnsiTheme="majorHAnsi" w:cstheme="majorHAnsi"/>
          <w:sz w:val="28"/>
          <w:szCs w:val="28"/>
          <w:lang w:val="ro-MD"/>
        </w:rPr>
      </w:pPr>
    </w:p>
    <w:p w:rsidR="008D6B58" w:rsidRPr="002751FC" w:rsidRDefault="008D6B58" w:rsidP="008D6B58">
      <w:pPr>
        <w:pStyle w:val="cn"/>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Pentru a exclude influența asupra divergențelor a exportului vinurilor procurate pentru </w:t>
      </w:r>
      <w:r w:rsidR="00F86DD8" w:rsidRPr="002751FC">
        <w:rPr>
          <w:rFonts w:asciiTheme="majorHAnsi" w:hAnsiTheme="majorHAnsi" w:cstheme="majorHAnsi"/>
          <w:sz w:val="28"/>
          <w:szCs w:val="28"/>
          <w:lang w:val="ro-MD"/>
        </w:rPr>
        <w:t>revânzare</w:t>
      </w:r>
      <w:r w:rsidRPr="002751FC">
        <w:rPr>
          <w:rFonts w:asciiTheme="majorHAnsi" w:hAnsiTheme="majorHAnsi" w:cstheme="majorHAnsi"/>
          <w:sz w:val="28"/>
          <w:szCs w:val="28"/>
          <w:lang w:val="ro-MD"/>
        </w:rPr>
        <w:t xml:space="preserve">, </w:t>
      </w:r>
      <w:r w:rsidR="006524F2">
        <w:rPr>
          <w:rFonts w:asciiTheme="majorHAnsi" w:hAnsiTheme="majorHAnsi" w:cstheme="majorHAnsi"/>
          <w:sz w:val="28"/>
          <w:szCs w:val="28"/>
          <w:lang w:val="ro-MD"/>
        </w:rPr>
        <w:t xml:space="preserve">al căror </w:t>
      </w:r>
      <w:r w:rsidRPr="002751FC">
        <w:rPr>
          <w:rFonts w:asciiTheme="majorHAnsi" w:hAnsiTheme="majorHAnsi" w:cstheme="majorHAnsi"/>
          <w:sz w:val="28"/>
          <w:szCs w:val="28"/>
          <w:lang w:val="ro-MD"/>
        </w:rPr>
        <w:t>volum nu face parte din plata contribuțiilor, SFS urmează să efectueze controale fiscale la agenți</w:t>
      </w:r>
      <w:r w:rsidR="006524F2">
        <w:rPr>
          <w:rFonts w:asciiTheme="majorHAnsi" w:hAnsiTheme="majorHAnsi" w:cstheme="majorHAnsi"/>
          <w:sz w:val="28"/>
          <w:szCs w:val="28"/>
          <w:lang w:val="ro-MD"/>
        </w:rPr>
        <w:t>i</w:t>
      </w:r>
      <w:r w:rsidRPr="002751FC">
        <w:rPr>
          <w:rFonts w:asciiTheme="majorHAnsi" w:hAnsiTheme="majorHAnsi" w:cstheme="majorHAnsi"/>
          <w:sz w:val="28"/>
          <w:szCs w:val="28"/>
          <w:lang w:val="ro-MD"/>
        </w:rPr>
        <w:t xml:space="preserve"> economici la care au fost constatate divergențe. </w:t>
      </w:r>
    </w:p>
    <w:p w:rsidR="008D6B58" w:rsidRPr="002751FC" w:rsidRDefault="008D6B58" w:rsidP="00243401">
      <w:pPr>
        <w:pStyle w:val="cn"/>
        <w:jc w:val="both"/>
        <w:rPr>
          <w:rFonts w:asciiTheme="majorHAnsi" w:hAnsiTheme="majorHAnsi" w:cstheme="majorHAnsi"/>
          <w:sz w:val="28"/>
          <w:szCs w:val="28"/>
          <w:lang w:val="ro-MD"/>
        </w:rPr>
      </w:pPr>
    </w:p>
    <w:p w:rsidR="002B0C1F" w:rsidRPr="002751FC" w:rsidRDefault="002B0C1F" w:rsidP="00243401">
      <w:pPr>
        <w:spacing w:after="0"/>
        <w:jc w:val="both"/>
        <w:rPr>
          <w:rFonts w:asciiTheme="majorHAnsi" w:eastAsia="Times New Roman" w:hAnsiTheme="majorHAnsi" w:cstheme="majorHAnsi"/>
          <w:sz w:val="28"/>
          <w:szCs w:val="28"/>
          <w:lang w:val="ro-MD"/>
        </w:rPr>
      </w:pPr>
      <w:r w:rsidRPr="002751FC">
        <w:rPr>
          <w:rFonts w:asciiTheme="majorHAnsi" w:hAnsiTheme="majorHAnsi" w:cstheme="majorHAnsi"/>
          <w:bCs/>
          <w:sz w:val="28"/>
          <w:szCs w:val="28"/>
          <w:lang w:val="ro-MD"/>
        </w:rPr>
        <w:t xml:space="preserve">De asemenea, probele de audit au relevat că nu au fost respectate prevederile pct.8 din Regulamentul privind modul de </w:t>
      </w:r>
      <w:proofErr w:type="spellStart"/>
      <w:r w:rsidRPr="002751FC">
        <w:rPr>
          <w:rFonts w:asciiTheme="majorHAnsi" w:hAnsiTheme="majorHAnsi" w:cstheme="majorHAnsi"/>
          <w:bCs/>
          <w:sz w:val="28"/>
          <w:szCs w:val="28"/>
          <w:lang w:val="ro-MD"/>
        </w:rPr>
        <w:t>ţinere</w:t>
      </w:r>
      <w:proofErr w:type="spellEnd"/>
      <w:r w:rsidRPr="002751FC">
        <w:rPr>
          <w:rFonts w:asciiTheme="majorHAnsi" w:hAnsiTheme="majorHAnsi" w:cstheme="majorHAnsi"/>
          <w:bCs/>
          <w:sz w:val="28"/>
          <w:szCs w:val="28"/>
          <w:lang w:val="ro-MD"/>
        </w:rPr>
        <w:t xml:space="preserve"> a Registrului vitivinico</w:t>
      </w:r>
      <w:r w:rsidR="006524F2">
        <w:rPr>
          <w:rFonts w:asciiTheme="majorHAnsi" w:hAnsiTheme="majorHAnsi" w:cstheme="majorHAnsi"/>
          <w:bCs/>
          <w:sz w:val="28"/>
          <w:szCs w:val="28"/>
          <w:lang w:val="ro-MD"/>
        </w:rPr>
        <w:t>l</w:t>
      </w:r>
      <w:r w:rsidRPr="002751FC">
        <w:rPr>
          <w:rStyle w:val="ab"/>
          <w:rFonts w:asciiTheme="majorHAnsi" w:hAnsiTheme="majorHAnsi" w:cstheme="majorHAnsi"/>
          <w:bCs/>
          <w:sz w:val="28"/>
          <w:szCs w:val="28"/>
          <w:lang w:val="ro-MD"/>
        </w:rPr>
        <w:footnoteReference w:id="115"/>
      </w:r>
      <w:r w:rsidRPr="002751FC">
        <w:rPr>
          <w:rFonts w:asciiTheme="majorHAnsi" w:hAnsiTheme="majorHAnsi" w:cstheme="majorHAnsi"/>
          <w:bCs/>
          <w:sz w:val="28"/>
          <w:szCs w:val="28"/>
          <w:lang w:val="ro-MD"/>
        </w:rPr>
        <w:t>.</w:t>
      </w:r>
      <w:r w:rsidRPr="002751FC">
        <w:rPr>
          <w:rFonts w:asciiTheme="majorHAnsi" w:hAnsiTheme="majorHAnsi" w:cstheme="majorHAnsi"/>
          <w:b/>
          <w:bCs/>
          <w:sz w:val="28"/>
          <w:szCs w:val="28"/>
          <w:lang w:val="ro-MD"/>
        </w:rPr>
        <w:t xml:space="preserve"> </w:t>
      </w:r>
      <w:r w:rsidRPr="002751FC">
        <w:rPr>
          <w:rFonts w:asciiTheme="majorHAnsi" w:hAnsiTheme="majorHAnsi" w:cstheme="majorHAnsi"/>
          <w:bCs/>
          <w:sz w:val="28"/>
          <w:szCs w:val="28"/>
          <w:lang w:val="ro-MD"/>
        </w:rPr>
        <w:t>Astfel,</w:t>
      </w:r>
      <w:r w:rsidRPr="002751FC">
        <w:rPr>
          <w:rFonts w:asciiTheme="majorHAnsi" w:hAnsiTheme="majorHAnsi" w:cstheme="majorHAnsi"/>
          <w:b/>
          <w:bCs/>
          <w:sz w:val="28"/>
          <w:szCs w:val="28"/>
          <w:lang w:val="ro-MD"/>
        </w:rPr>
        <w:t xml:space="preserve"> </w:t>
      </w:r>
      <w:r w:rsidRPr="002751FC">
        <w:rPr>
          <w:rFonts w:asciiTheme="majorHAnsi" w:eastAsia="Times New Roman" w:hAnsiTheme="majorHAnsi" w:cstheme="majorHAnsi"/>
          <w:sz w:val="28"/>
          <w:szCs w:val="28"/>
          <w:lang w:val="ro-MD"/>
        </w:rPr>
        <w:t xml:space="preserve">MADRM, în calitate de posesor al SIA RVV, </w:t>
      </w:r>
      <w:r w:rsidR="003E710E" w:rsidRPr="002751FC">
        <w:rPr>
          <w:rFonts w:asciiTheme="majorHAnsi" w:eastAsia="Times New Roman" w:hAnsiTheme="majorHAnsi" w:cstheme="majorHAnsi"/>
          <w:sz w:val="28"/>
          <w:szCs w:val="28"/>
          <w:lang w:val="ro-MD"/>
        </w:rPr>
        <w:t xml:space="preserve">nu a </w:t>
      </w:r>
      <w:r w:rsidRPr="002751FC">
        <w:rPr>
          <w:rFonts w:asciiTheme="majorHAnsi" w:eastAsia="Times New Roman" w:hAnsiTheme="majorHAnsi" w:cstheme="majorHAnsi"/>
          <w:sz w:val="28"/>
          <w:szCs w:val="28"/>
          <w:lang w:val="ro-MD"/>
        </w:rPr>
        <w:t xml:space="preserve">delegat </w:t>
      </w:r>
      <w:r w:rsidR="003E710E" w:rsidRPr="002751FC">
        <w:rPr>
          <w:rFonts w:asciiTheme="majorHAnsi" w:eastAsia="Times New Roman" w:hAnsiTheme="majorHAnsi" w:cstheme="majorHAnsi"/>
          <w:sz w:val="28"/>
          <w:szCs w:val="28"/>
          <w:lang w:val="ro-MD"/>
        </w:rPr>
        <w:t>atribuțiile</w:t>
      </w:r>
      <w:r w:rsidRPr="002751FC">
        <w:rPr>
          <w:rFonts w:asciiTheme="majorHAnsi" w:eastAsia="Times New Roman" w:hAnsiTheme="majorHAnsi" w:cstheme="majorHAnsi"/>
          <w:sz w:val="28"/>
          <w:szCs w:val="28"/>
          <w:lang w:val="ro-MD"/>
        </w:rPr>
        <w:t xml:space="preserve"> corespunzătoare în conformitate cu contractul încheiat între </w:t>
      </w:r>
      <w:r w:rsidR="003E710E" w:rsidRPr="002751FC">
        <w:rPr>
          <w:rFonts w:asciiTheme="majorHAnsi" w:eastAsia="Times New Roman" w:hAnsiTheme="majorHAnsi" w:cstheme="majorHAnsi"/>
          <w:sz w:val="28"/>
          <w:szCs w:val="28"/>
          <w:lang w:val="ro-MD"/>
        </w:rPr>
        <w:t>Părți</w:t>
      </w:r>
      <w:r w:rsidRPr="002751FC">
        <w:rPr>
          <w:rFonts w:asciiTheme="majorHAnsi" w:eastAsia="Times New Roman" w:hAnsiTheme="majorHAnsi" w:cstheme="majorHAnsi"/>
          <w:sz w:val="28"/>
          <w:szCs w:val="28"/>
          <w:lang w:val="ro-MD"/>
        </w:rPr>
        <w:t xml:space="preserve"> (</w:t>
      </w:r>
      <w:r w:rsidR="003E710E" w:rsidRPr="002751FC">
        <w:rPr>
          <w:rFonts w:asciiTheme="majorHAnsi" w:eastAsia="Times New Roman" w:hAnsiTheme="majorHAnsi" w:cstheme="majorHAnsi"/>
          <w:sz w:val="28"/>
          <w:szCs w:val="28"/>
          <w:lang w:val="ro-MD"/>
        </w:rPr>
        <w:t>atribuții</w:t>
      </w:r>
      <w:r w:rsidRPr="002751FC">
        <w:rPr>
          <w:rFonts w:asciiTheme="majorHAnsi" w:eastAsia="Times New Roman" w:hAnsiTheme="majorHAnsi" w:cstheme="majorHAnsi"/>
          <w:sz w:val="28"/>
          <w:szCs w:val="28"/>
          <w:lang w:val="ro-MD"/>
        </w:rPr>
        <w:t xml:space="preserve"> de înregistrare, actualizare, modificare a datelor din Registru, precum şi de asigurare a </w:t>
      </w:r>
      <w:r w:rsidR="003E710E" w:rsidRPr="002751FC">
        <w:rPr>
          <w:rFonts w:asciiTheme="majorHAnsi" w:eastAsia="Times New Roman" w:hAnsiTheme="majorHAnsi" w:cstheme="majorHAnsi"/>
          <w:sz w:val="28"/>
          <w:szCs w:val="28"/>
          <w:lang w:val="ro-MD"/>
        </w:rPr>
        <w:t>securității</w:t>
      </w:r>
      <w:r w:rsidRPr="002751FC">
        <w:rPr>
          <w:rFonts w:asciiTheme="majorHAnsi" w:eastAsia="Times New Roman" w:hAnsiTheme="majorHAnsi" w:cstheme="majorHAnsi"/>
          <w:sz w:val="28"/>
          <w:szCs w:val="28"/>
          <w:lang w:val="ro-MD"/>
        </w:rPr>
        <w:t xml:space="preserve">, </w:t>
      </w:r>
      <w:r w:rsidR="003E710E" w:rsidRPr="002751FC">
        <w:rPr>
          <w:rFonts w:asciiTheme="majorHAnsi" w:eastAsia="Times New Roman" w:hAnsiTheme="majorHAnsi" w:cstheme="majorHAnsi"/>
          <w:sz w:val="28"/>
          <w:szCs w:val="28"/>
          <w:lang w:val="ro-MD"/>
        </w:rPr>
        <w:t>protecției</w:t>
      </w:r>
      <w:r w:rsidRPr="002751FC">
        <w:rPr>
          <w:rFonts w:asciiTheme="majorHAnsi" w:eastAsia="Times New Roman" w:hAnsiTheme="majorHAnsi" w:cstheme="majorHAnsi"/>
          <w:sz w:val="28"/>
          <w:szCs w:val="28"/>
          <w:lang w:val="ro-MD"/>
        </w:rPr>
        <w:t xml:space="preserve"> şi </w:t>
      </w:r>
      <w:r w:rsidR="003E710E" w:rsidRPr="002751FC">
        <w:rPr>
          <w:rFonts w:asciiTheme="majorHAnsi" w:eastAsia="Times New Roman" w:hAnsiTheme="majorHAnsi" w:cstheme="majorHAnsi"/>
          <w:sz w:val="28"/>
          <w:szCs w:val="28"/>
          <w:lang w:val="ro-MD"/>
        </w:rPr>
        <w:t>integrității</w:t>
      </w:r>
      <w:r w:rsidRPr="002751FC">
        <w:rPr>
          <w:rFonts w:asciiTheme="majorHAnsi" w:eastAsia="Times New Roman" w:hAnsiTheme="majorHAnsi" w:cstheme="majorHAnsi"/>
          <w:sz w:val="28"/>
          <w:szCs w:val="28"/>
          <w:lang w:val="ro-MD"/>
        </w:rPr>
        <w:t xml:space="preserve"> datelor etc.). Urmare a acestui fapt, SIA RVV este înregistrat în evidența contabilă a ONVV la </w:t>
      </w:r>
      <w:r w:rsidR="002646A1" w:rsidRPr="002751FC">
        <w:rPr>
          <w:rFonts w:asciiTheme="majorHAnsi" w:eastAsia="Times New Roman" w:hAnsiTheme="majorHAnsi" w:cstheme="majorHAnsi"/>
          <w:sz w:val="28"/>
          <w:szCs w:val="28"/>
          <w:lang w:val="ro-MD"/>
        </w:rPr>
        <w:t>„A</w:t>
      </w:r>
      <w:r w:rsidRPr="002751FC">
        <w:rPr>
          <w:rFonts w:asciiTheme="majorHAnsi" w:eastAsia="Times New Roman" w:hAnsiTheme="majorHAnsi" w:cstheme="majorHAnsi"/>
          <w:sz w:val="28"/>
          <w:szCs w:val="28"/>
          <w:lang w:val="ro-MD"/>
        </w:rPr>
        <w:t>ctive necorporale</w:t>
      </w:r>
      <w:r w:rsidR="002646A1"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w:t>
      </w:r>
      <w:r w:rsidR="003E710E" w:rsidRPr="002751FC">
        <w:rPr>
          <w:rFonts w:asciiTheme="majorHAnsi" w:eastAsia="Times New Roman" w:hAnsiTheme="majorHAnsi" w:cstheme="majorHAnsi"/>
          <w:sz w:val="28"/>
          <w:szCs w:val="28"/>
          <w:lang w:val="ro-MD"/>
        </w:rPr>
        <w:t>devenind</w:t>
      </w:r>
      <w:r w:rsidRPr="002751FC">
        <w:rPr>
          <w:rFonts w:asciiTheme="majorHAnsi" w:eastAsia="Times New Roman" w:hAnsiTheme="majorHAnsi" w:cstheme="majorHAnsi"/>
          <w:sz w:val="28"/>
          <w:szCs w:val="28"/>
          <w:lang w:val="ro-MD"/>
        </w:rPr>
        <w:t xml:space="preserve"> posesor al RVV), pe când regulamentar SIA RVV urma să fie reflectat la MADRM ca „Active nemateriale” și ca </w:t>
      </w:r>
      <w:r w:rsidR="002646A1"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Investiții în părți legate și nelegate”, iar ONVV să le reflecte ca „Active necorporale prima</w:t>
      </w:r>
      <w:r w:rsidR="006524F2">
        <w:rPr>
          <w:rFonts w:asciiTheme="majorHAnsi" w:eastAsia="Times New Roman" w:hAnsiTheme="majorHAnsi" w:cstheme="majorHAnsi"/>
          <w:sz w:val="28"/>
          <w:szCs w:val="28"/>
          <w:lang w:val="ro-MD"/>
        </w:rPr>
        <w:t>r</w:t>
      </w:r>
      <w:r w:rsidRPr="002751FC">
        <w:rPr>
          <w:rFonts w:asciiTheme="majorHAnsi" w:eastAsia="Times New Roman" w:hAnsiTheme="majorHAnsi" w:cstheme="majorHAnsi"/>
          <w:sz w:val="28"/>
          <w:szCs w:val="28"/>
          <w:lang w:val="ro-MD"/>
        </w:rPr>
        <w:t>e în gestiune economică”.</w:t>
      </w:r>
    </w:p>
    <w:p w:rsidR="002B0C1F" w:rsidRPr="002751FC" w:rsidRDefault="002B0C1F" w:rsidP="00243401">
      <w:pPr>
        <w:spacing w:after="0"/>
        <w:rPr>
          <w:rFonts w:asciiTheme="majorHAnsi" w:hAnsiTheme="majorHAnsi" w:cstheme="majorHAnsi"/>
          <w:b/>
          <w:szCs w:val="28"/>
          <w:lang w:val="ro-MD"/>
        </w:rPr>
      </w:pPr>
    </w:p>
    <w:p w:rsidR="00CE2761" w:rsidRPr="002751FC" w:rsidRDefault="003E710E" w:rsidP="00243401">
      <w:pPr>
        <w:pStyle w:val="1"/>
        <w:numPr>
          <w:ilvl w:val="1"/>
          <w:numId w:val="24"/>
        </w:numPr>
        <w:spacing w:before="0"/>
        <w:ind w:left="0" w:firstLine="0"/>
        <w:jc w:val="both"/>
        <w:rPr>
          <w:rFonts w:cstheme="majorHAnsi"/>
          <w:b/>
          <w:bCs/>
          <w:iCs/>
          <w:color w:val="auto"/>
          <w:sz w:val="28"/>
          <w:szCs w:val="28"/>
          <w:lang w:val="ro-MD"/>
        </w:rPr>
      </w:pPr>
      <w:bookmarkStart w:id="57" w:name="_Toc23259120"/>
      <w:r w:rsidRPr="002751FC">
        <w:rPr>
          <w:rFonts w:eastAsia="Calibri" w:cstheme="majorHAnsi"/>
          <w:b/>
          <w:color w:val="auto"/>
          <w:sz w:val="28"/>
          <w:szCs w:val="28"/>
          <w:lang w:val="ro-MD"/>
        </w:rPr>
        <w:lastRenderedPageBreak/>
        <w:t>Deși</w:t>
      </w:r>
      <w:r w:rsidR="002B0C1F" w:rsidRPr="002751FC">
        <w:rPr>
          <w:rFonts w:eastAsia="Calibri" w:cstheme="majorHAnsi"/>
          <w:b/>
          <w:i/>
          <w:color w:val="auto"/>
          <w:sz w:val="28"/>
          <w:szCs w:val="28"/>
          <w:lang w:val="ro-MD"/>
        </w:rPr>
        <w:t xml:space="preserve"> </w:t>
      </w:r>
      <w:r w:rsidR="002B0C1F" w:rsidRPr="002751FC">
        <w:rPr>
          <w:rFonts w:cstheme="majorHAnsi"/>
          <w:b/>
          <w:color w:val="auto"/>
          <w:sz w:val="28"/>
          <w:szCs w:val="28"/>
          <w:lang w:val="ro-MD"/>
        </w:rPr>
        <w:t>ONVV</w:t>
      </w:r>
      <w:r w:rsidR="002B0C1F" w:rsidRPr="002751FC">
        <w:rPr>
          <w:rFonts w:cstheme="majorHAnsi"/>
          <w:b/>
          <w:bCs/>
          <w:iCs/>
          <w:color w:val="auto"/>
          <w:sz w:val="28"/>
          <w:szCs w:val="28"/>
          <w:lang w:val="ro-MD"/>
        </w:rPr>
        <w:t xml:space="preserve"> a desfășurat </w:t>
      </w:r>
      <w:r w:rsidR="002B0C1F" w:rsidRPr="002751FC">
        <w:rPr>
          <w:rFonts w:eastAsia="Calibri" w:cstheme="majorHAnsi"/>
          <w:b/>
          <w:color w:val="auto"/>
          <w:sz w:val="28"/>
          <w:szCs w:val="28"/>
          <w:lang w:val="ro-MD"/>
        </w:rPr>
        <w:t>a</w:t>
      </w:r>
      <w:r w:rsidR="00662E00" w:rsidRPr="002751FC">
        <w:rPr>
          <w:rFonts w:cstheme="majorHAnsi"/>
          <w:b/>
          <w:bCs/>
          <w:iCs/>
          <w:color w:val="auto"/>
          <w:sz w:val="28"/>
          <w:szCs w:val="28"/>
          <w:lang w:val="ro-MD"/>
        </w:rPr>
        <w:t>ctivități</w:t>
      </w:r>
      <w:r w:rsidR="002B0C1F" w:rsidRPr="002751FC">
        <w:rPr>
          <w:rFonts w:cstheme="majorHAnsi"/>
          <w:b/>
          <w:bCs/>
          <w:iCs/>
          <w:color w:val="auto"/>
          <w:sz w:val="28"/>
          <w:szCs w:val="28"/>
          <w:lang w:val="ro-MD"/>
        </w:rPr>
        <w:t xml:space="preserve"> în vederea sporirii promovării imaginii produselor vinicole autohtone şi </w:t>
      </w:r>
      <w:r w:rsidR="00662E00" w:rsidRPr="002751FC">
        <w:rPr>
          <w:rFonts w:cstheme="majorHAnsi"/>
          <w:b/>
          <w:bCs/>
          <w:iCs/>
          <w:color w:val="auto"/>
          <w:sz w:val="28"/>
          <w:szCs w:val="28"/>
          <w:lang w:val="ro-MD"/>
        </w:rPr>
        <w:t>creșterii</w:t>
      </w:r>
      <w:r w:rsidR="002B0C1F" w:rsidRPr="002751FC">
        <w:rPr>
          <w:rFonts w:cstheme="majorHAnsi"/>
          <w:b/>
          <w:bCs/>
          <w:iCs/>
          <w:color w:val="auto"/>
          <w:sz w:val="28"/>
          <w:szCs w:val="28"/>
          <w:lang w:val="ro-MD"/>
        </w:rPr>
        <w:t xml:space="preserve"> </w:t>
      </w:r>
      <w:r w:rsidR="00662E00" w:rsidRPr="002751FC">
        <w:rPr>
          <w:rFonts w:cstheme="majorHAnsi"/>
          <w:b/>
          <w:bCs/>
          <w:iCs/>
          <w:color w:val="auto"/>
          <w:sz w:val="28"/>
          <w:szCs w:val="28"/>
          <w:lang w:val="ro-MD"/>
        </w:rPr>
        <w:t>competitivității</w:t>
      </w:r>
      <w:r w:rsidR="002B0C1F" w:rsidRPr="002751FC">
        <w:rPr>
          <w:rFonts w:cstheme="majorHAnsi"/>
          <w:b/>
          <w:bCs/>
          <w:iCs/>
          <w:color w:val="auto"/>
          <w:sz w:val="28"/>
          <w:szCs w:val="28"/>
          <w:lang w:val="ro-MD"/>
        </w:rPr>
        <w:t xml:space="preserve"> acestora atât pe </w:t>
      </w:r>
      <w:r w:rsidR="00662E00" w:rsidRPr="002751FC">
        <w:rPr>
          <w:rFonts w:cstheme="majorHAnsi"/>
          <w:b/>
          <w:bCs/>
          <w:iCs/>
          <w:color w:val="auto"/>
          <w:sz w:val="28"/>
          <w:szCs w:val="28"/>
          <w:lang w:val="ro-MD"/>
        </w:rPr>
        <w:t>piața</w:t>
      </w:r>
      <w:r w:rsidR="002B0C1F" w:rsidRPr="002751FC">
        <w:rPr>
          <w:rFonts w:cstheme="majorHAnsi"/>
          <w:b/>
          <w:bCs/>
          <w:iCs/>
          <w:color w:val="auto"/>
          <w:sz w:val="28"/>
          <w:szCs w:val="28"/>
          <w:lang w:val="ro-MD"/>
        </w:rPr>
        <w:t xml:space="preserve"> internă</w:t>
      </w:r>
      <w:r w:rsidR="002646A1" w:rsidRPr="002751FC">
        <w:rPr>
          <w:rFonts w:cstheme="majorHAnsi"/>
          <w:b/>
          <w:bCs/>
          <w:iCs/>
          <w:color w:val="auto"/>
          <w:sz w:val="28"/>
          <w:szCs w:val="28"/>
          <w:lang w:val="ro-MD"/>
        </w:rPr>
        <w:t>,</w:t>
      </w:r>
      <w:r w:rsidR="002B0C1F" w:rsidRPr="002751FC">
        <w:rPr>
          <w:rFonts w:cstheme="majorHAnsi"/>
          <w:b/>
          <w:bCs/>
          <w:iCs/>
          <w:color w:val="auto"/>
          <w:sz w:val="28"/>
          <w:szCs w:val="28"/>
          <w:lang w:val="ro-MD"/>
        </w:rPr>
        <w:t xml:space="preserve"> cât şi </w:t>
      </w:r>
      <w:r w:rsidR="002646A1" w:rsidRPr="002751FC">
        <w:rPr>
          <w:rFonts w:cstheme="majorHAnsi"/>
          <w:b/>
          <w:bCs/>
          <w:iCs/>
          <w:color w:val="auto"/>
          <w:sz w:val="28"/>
          <w:szCs w:val="28"/>
          <w:lang w:val="ro-MD"/>
        </w:rPr>
        <w:t xml:space="preserve">pe </w:t>
      </w:r>
      <w:r w:rsidR="002B0C1F" w:rsidRPr="002751FC">
        <w:rPr>
          <w:rFonts w:cstheme="majorHAnsi"/>
          <w:b/>
          <w:bCs/>
          <w:iCs/>
          <w:color w:val="auto"/>
          <w:sz w:val="28"/>
          <w:szCs w:val="28"/>
          <w:lang w:val="ro-MD"/>
        </w:rPr>
        <w:t>cea externă</w:t>
      </w:r>
      <w:r w:rsidR="00662E00" w:rsidRPr="002751FC">
        <w:rPr>
          <w:rFonts w:cstheme="majorHAnsi"/>
          <w:b/>
          <w:bCs/>
          <w:iCs/>
          <w:color w:val="auto"/>
          <w:sz w:val="28"/>
          <w:szCs w:val="28"/>
          <w:lang w:val="ro-MD"/>
        </w:rPr>
        <w:t>, acestea</w:t>
      </w:r>
      <w:r w:rsidR="002B0C1F" w:rsidRPr="002751FC">
        <w:rPr>
          <w:rFonts w:cstheme="majorHAnsi"/>
          <w:b/>
          <w:bCs/>
          <w:iCs/>
          <w:color w:val="auto"/>
          <w:sz w:val="28"/>
          <w:szCs w:val="28"/>
          <w:lang w:val="ro-MD"/>
        </w:rPr>
        <w:t xml:space="preserve"> nu au atins rezultatele scontate, fiind necesară </w:t>
      </w:r>
      <w:r w:rsidR="00662E00" w:rsidRPr="002751FC">
        <w:rPr>
          <w:rFonts w:cstheme="majorHAnsi"/>
          <w:b/>
          <w:bCs/>
          <w:iCs/>
          <w:color w:val="auto"/>
          <w:sz w:val="28"/>
          <w:szCs w:val="28"/>
          <w:lang w:val="ro-MD"/>
        </w:rPr>
        <w:t>fortificarea</w:t>
      </w:r>
      <w:r w:rsidR="002B0C1F" w:rsidRPr="002751FC">
        <w:rPr>
          <w:rFonts w:cstheme="majorHAnsi"/>
          <w:b/>
          <w:bCs/>
          <w:iCs/>
          <w:color w:val="auto"/>
          <w:sz w:val="28"/>
          <w:szCs w:val="28"/>
          <w:lang w:val="ro-MD"/>
        </w:rPr>
        <w:t xml:space="preserve"> activităților în acest domeniu</w:t>
      </w:r>
      <w:bookmarkEnd w:id="57"/>
    </w:p>
    <w:p w:rsidR="002B0C1F" w:rsidRPr="002751FC" w:rsidRDefault="002B0C1F" w:rsidP="0048102A">
      <w:pPr>
        <w:pStyle w:val="1"/>
        <w:spacing w:before="0"/>
        <w:jc w:val="both"/>
        <w:rPr>
          <w:rFonts w:cstheme="majorHAnsi"/>
          <w:b/>
          <w:bCs/>
          <w:iCs/>
          <w:color w:val="auto"/>
          <w:sz w:val="28"/>
          <w:szCs w:val="28"/>
          <w:lang w:val="ro-MD"/>
        </w:rPr>
      </w:pPr>
    </w:p>
    <w:p w:rsidR="002B0C1F" w:rsidRPr="002751FC" w:rsidRDefault="002B0C1F" w:rsidP="00243401">
      <w:pPr>
        <w:spacing w:after="0"/>
        <w:jc w:val="both"/>
        <w:rPr>
          <w:rFonts w:asciiTheme="majorHAnsi" w:hAnsiTheme="majorHAnsi" w:cstheme="majorHAnsi"/>
          <w:bCs/>
          <w:i/>
          <w:iCs/>
          <w:sz w:val="28"/>
          <w:szCs w:val="28"/>
          <w:lang w:val="ro-MD"/>
        </w:rPr>
      </w:pPr>
      <w:r w:rsidRPr="002751FC">
        <w:rPr>
          <w:rFonts w:asciiTheme="majorHAnsi" w:hAnsiTheme="majorHAnsi" w:cstheme="majorHAnsi"/>
          <w:color w:val="000000"/>
          <w:sz w:val="28"/>
          <w:szCs w:val="28"/>
          <w:lang w:val="ro-MD"/>
        </w:rPr>
        <w:t>Unul din scopuri</w:t>
      </w:r>
      <w:r w:rsidR="00662E00" w:rsidRPr="002751FC">
        <w:rPr>
          <w:rFonts w:asciiTheme="majorHAnsi" w:hAnsiTheme="majorHAnsi" w:cstheme="majorHAnsi"/>
          <w:color w:val="000000"/>
          <w:sz w:val="28"/>
          <w:szCs w:val="28"/>
          <w:lang w:val="ro-MD"/>
        </w:rPr>
        <w:t>le</w:t>
      </w:r>
      <w:r w:rsidRPr="002751FC">
        <w:rPr>
          <w:rFonts w:asciiTheme="majorHAnsi" w:hAnsiTheme="majorHAnsi" w:cstheme="majorHAnsi"/>
          <w:color w:val="000000"/>
          <w:sz w:val="28"/>
          <w:szCs w:val="28"/>
          <w:lang w:val="ro-MD"/>
        </w:rPr>
        <w:t xml:space="preserve"> </w:t>
      </w:r>
      <w:r w:rsidR="00266025" w:rsidRPr="002751FC">
        <w:rPr>
          <w:rFonts w:asciiTheme="majorHAnsi" w:hAnsiTheme="majorHAnsi" w:cstheme="majorHAnsi"/>
          <w:color w:val="000000"/>
          <w:sz w:val="28"/>
          <w:szCs w:val="28"/>
          <w:lang w:val="ro-MD"/>
        </w:rPr>
        <w:t>Legii viei şi vinului</w:t>
      </w:r>
      <w:r w:rsidRPr="002751FC">
        <w:rPr>
          <w:rFonts w:asciiTheme="majorHAnsi" w:hAnsiTheme="majorHAnsi" w:cstheme="majorHAnsi"/>
          <w:color w:val="000000"/>
          <w:sz w:val="28"/>
          <w:szCs w:val="28"/>
          <w:lang w:val="ro-MD"/>
        </w:rPr>
        <w:t xml:space="preserve"> este consolidarea imaginii Republicii Moldova ca </w:t>
      </w:r>
      <w:r w:rsidR="002646A1" w:rsidRPr="002751FC">
        <w:rPr>
          <w:rFonts w:asciiTheme="majorHAnsi" w:hAnsiTheme="majorHAnsi" w:cstheme="majorHAnsi"/>
          <w:color w:val="000000"/>
          <w:sz w:val="28"/>
          <w:szCs w:val="28"/>
          <w:lang w:val="ro-MD"/>
        </w:rPr>
        <w:t>țară</w:t>
      </w:r>
      <w:r w:rsidRPr="002751FC">
        <w:rPr>
          <w:rFonts w:asciiTheme="majorHAnsi" w:hAnsiTheme="majorHAnsi" w:cstheme="majorHAnsi"/>
          <w:color w:val="000000"/>
          <w:sz w:val="28"/>
          <w:szCs w:val="28"/>
          <w:lang w:val="ro-MD"/>
        </w:rPr>
        <w:t xml:space="preserve"> cu </w:t>
      </w:r>
      <w:r w:rsidR="00256243" w:rsidRPr="002751FC">
        <w:rPr>
          <w:rFonts w:asciiTheme="majorHAnsi" w:hAnsiTheme="majorHAnsi" w:cstheme="majorHAnsi"/>
          <w:color w:val="000000"/>
          <w:sz w:val="28"/>
          <w:szCs w:val="28"/>
          <w:lang w:val="ro-MD"/>
        </w:rPr>
        <w:t>tradiții</w:t>
      </w:r>
      <w:r w:rsidRPr="002751FC">
        <w:rPr>
          <w:rFonts w:asciiTheme="majorHAnsi" w:hAnsiTheme="majorHAnsi" w:cstheme="majorHAnsi"/>
          <w:color w:val="000000"/>
          <w:sz w:val="28"/>
          <w:szCs w:val="28"/>
          <w:lang w:val="ro-MD"/>
        </w:rPr>
        <w:t xml:space="preserve"> vitivinicole, </w:t>
      </w:r>
      <w:r w:rsidR="008228A9" w:rsidRPr="002751FC">
        <w:rPr>
          <w:rFonts w:asciiTheme="majorHAnsi" w:hAnsiTheme="majorHAnsi" w:cstheme="majorHAnsi"/>
          <w:color w:val="000000"/>
          <w:sz w:val="28"/>
          <w:szCs w:val="28"/>
          <w:lang w:val="ro-MD"/>
        </w:rPr>
        <w:t xml:space="preserve">cu impact asupra </w:t>
      </w:r>
      <w:r w:rsidRPr="002751FC">
        <w:rPr>
          <w:rFonts w:asciiTheme="majorHAnsi" w:hAnsiTheme="majorHAnsi" w:cstheme="majorHAnsi"/>
          <w:color w:val="000000"/>
          <w:sz w:val="28"/>
          <w:szCs w:val="28"/>
          <w:lang w:val="ro-MD"/>
        </w:rPr>
        <w:t>sporir</w:t>
      </w:r>
      <w:r w:rsidR="008228A9" w:rsidRPr="002751FC">
        <w:rPr>
          <w:rFonts w:asciiTheme="majorHAnsi" w:hAnsiTheme="majorHAnsi" w:cstheme="majorHAnsi"/>
          <w:color w:val="000000"/>
          <w:sz w:val="28"/>
          <w:szCs w:val="28"/>
          <w:lang w:val="ro-MD"/>
        </w:rPr>
        <w:t>ii</w:t>
      </w:r>
      <w:r w:rsidRPr="002751FC">
        <w:rPr>
          <w:rFonts w:asciiTheme="majorHAnsi" w:hAnsiTheme="majorHAnsi" w:cstheme="majorHAnsi"/>
          <w:color w:val="000000"/>
          <w:sz w:val="28"/>
          <w:szCs w:val="28"/>
          <w:lang w:val="ro-MD"/>
        </w:rPr>
        <w:t xml:space="preserve"> exportului de vinuri calitative. În acest </w:t>
      </w:r>
      <w:r w:rsidR="008228A9" w:rsidRPr="002751FC">
        <w:rPr>
          <w:rFonts w:asciiTheme="majorHAnsi" w:hAnsiTheme="majorHAnsi" w:cstheme="majorHAnsi"/>
          <w:color w:val="000000"/>
          <w:sz w:val="28"/>
          <w:szCs w:val="28"/>
          <w:lang w:val="ro-MD"/>
        </w:rPr>
        <w:t>sens,</w:t>
      </w:r>
      <w:r w:rsidRPr="002751FC">
        <w:rPr>
          <w:rFonts w:asciiTheme="majorHAnsi" w:hAnsiTheme="majorHAnsi" w:cstheme="majorHAnsi"/>
          <w:color w:val="000000"/>
          <w:sz w:val="28"/>
          <w:szCs w:val="28"/>
          <w:lang w:val="ro-MD"/>
        </w:rPr>
        <w:t xml:space="preserve"> ONVV </w:t>
      </w:r>
      <w:r w:rsidR="00266025" w:rsidRPr="002751FC">
        <w:rPr>
          <w:rFonts w:asciiTheme="majorHAnsi" w:hAnsiTheme="majorHAnsi" w:cstheme="majorHAnsi"/>
          <w:color w:val="000000"/>
          <w:sz w:val="28"/>
          <w:szCs w:val="28"/>
          <w:lang w:val="ro-MD"/>
        </w:rPr>
        <w:t xml:space="preserve">a întreprins unele măsuri care </w:t>
      </w:r>
      <w:r w:rsidRPr="002751FC">
        <w:rPr>
          <w:rFonts w:asciiTheme="majorHAnsi" w:hAnsiTheme="majorHAnsi" w:cstheme="majorHAnsi"/>
          <w:color w:val="000000"/>
          <w:sz w:val="28"/>
          <w:szCs w:val="28"/>
          <w:lang w:val="ro-MD"/>
        </w:rPr>
        <w:t xml:space="preserve">au </w:t>
      </w:r>
      <w:r w:rsidR="008228A9" w:rsidRPr="002751FC">
        <w:rPr>
          <w:rFonts w:asciiTheme="majorHAnsi" w:hAnsiTheme="majorHAnsi" w:cstheme="majorHAnsi"/>
          <w:color w:val="000000"/>
          <w:sz w:val="28"/>
          <w:szCs w:val="28"/>
          <w:lang w:val="ro-MD"/>
        </w:rPr>
        <w:t>determinat</w:t>
      </w:r>
      <w:r w:rsidR="00266025" w:rsidRPr="002751FC">
        <w:rPr>
          <w:rFonts w:asciiTheme="majorHAnsi" w:hAnsiTheme="majorHAnsi" w:cstheme="majorHAnsi"/>
          <w:color w:val="000000"/>
          <w:sz w:val="28"/>
          <w:szCs w:val="28"/>
          <w:lang w:val="ro-MD"/>
        </w:rPr>
        <w:t xml:space="preserve"> creșterea exporturilor de vin</w:t>
      </w:r>
      <w:r w:rsidR="009B16FB" w:rsidRPr="002751FC">
        <w:rPr>
          <w:rFonts w:asciiTheme="majorHAnsi" w:hAnsiTheme="majorHAnsi" w:cstheme="majorHAnsi"/>
          <w:color w:val="000000"/>
          <w:sz w:val="28"/>
          <w:szCs w:val="28"/>
          <w:lang w:val="ro-MD"/>
        </w:rPr>
        <w:t>uri. Astfel, evol</w:t>
      </w:r>
      <w:r w:rsidRPr="002751FC">
        <w:rPr>
          <w:rFonts w:asciiTheme="majorHAnsi" w:hAnsiTheme="majorHAnsi" w:cstheme="majorHAnsi"/>
          <w:color w:val="000000"/>
          <w:sz w:val="28"/>
          <w:szCs w:val="28"/>
          <w:lang w:val="ro-MD"/>
        </w:rPr>
        <w:t xml:space="preserve">uția exporturilor de vinuri, în perioada 2015-2018, a înregistrat un trend </w:t>
      </w:r>
      <w:r w:rsidR="009B16FB" w:rsidRPr="002751FC">
        <w:rPr>
          <w:rFonts w:asciiTheme="majorHAnsi" w:hAnsiTheme="majorHAnsi" w:cstheme="majorHAnsi"/>
          <w:color w:val="000000"/>
          <w:sz w:val="28"/>
          <w:szCs w:val="28"/>
          <w:lang w:val="ro-MD"/>
        </w:rPr>
        <w:t>ascendent</w:t>
      </w:r>
      <w:r w:rsidRPr="002751FC">
        <w:rPr>
          <w:rFonts w:asciiTheme="majorHAnsi" w:hAnsiTheme="majorHAnsi" w:cstheme="majorHAnsi"/>
          <w:color w:val="000000"/>
          <w:sz w:val="28"/>
          <w:szCs w:val="28"/>
          <w:lang w:val="ro-MD"/>
        </w:rPr>
        <w:t xml:space="preserve"> </w:t>
      </w:r>
      <w:r w:rsidR="009B16FB" w:rsidRPr="002751FC">
        <w:rPr>
          <w:rFonts w:asciiTheme="majorHAnsi" w:hAnsiTheme="majorHAnsi" w:cstheme="majorHAnsi"/>
          <w:color w:val="000000"/>
          <w:sz w:val="28"/>
          <w:szCs w:val="28"/>
          <w:lang w:val="ro-MD"/>
        </w:rPr>
        <w:t>atât</w:t>
      </w:r>
      <w:r w:rsidRPr="002751FC">
        <w:rPr>
          <w:rFonts w:asciiTheme="majorHAnsi" w:hAnsiTheme="majorHAnsi" w:cstheme="majorHAnsi"/>
          <w:color w:val="000000"/>
          <w:sz w:val="28"/>
          <w:szCs w:val="28"/>
          <w:lang w:val="ro-MD"/>
        </w:rPr>
        <w:t xml:space="preserve"> cantitativ</w:t>
      </w:r>
      <w:r w:rsidR="008228A9" w:rsidRPr="002751FC">
        <w:rPr>
          <w:rFonts w:asciiTheme="majorHAnsi" w:hAnsiTheme="majorHAnsi" w:cstheme="majorHAnsi"/>
          <w:color w:val="000000"/>
          <w:sz w:val="28"/>
          <w:szCs w:val="28"/>
          <w:lang w:val="ro-MD"/>
        </w:rPr>
        <w:t>,</w:t>
      </w:r>
      <w:r w:rsidRPr="002751FC">
        <w:rPr>
          <w:rFonts w:asciiTheme="majorHAnsi" w:hAnsiTheme="majorHAnsi" w:cstheme="majorHAnsi"/>
          <w:color w:val="000000"/>
          <w:sz w:val="28"/>
          <w:szCs w:val="28"/>
          <w:lang w:val="ro-MD"/>
        </w:rPr>
        <w:t xml:space="preserve"> </w:t>
      </w:r>
      <w:r w:rsidR="009B16FB" w:rsidRPr="002751FC">
        <w:rPr>
          <w:rFonts w:asciiTheme="majorHAnsi" w:hAnsiTheme="majorHAnsi" w:cstheme="majorHAnsi"/>
          <w:color w:val="000000"/>
          <w:sz w:val="28"/>
          <w:szCs w:val="28"/>
          <w:lang w:val="ro-MD"/>
        </w:rPr>
        <w:t>cât</w:t>
      </w:r>
      <w:r w:rsidRPr="002751FC">
        <w:rPr>
          <w:rFonts w:asciiTheme="majorHAnsi" w:hAnsiTheme="majorHAnsi" w:cstheme="majorHAnsi"/>
          <w:color w:val="000000"/>
          <w:sz w:val="28"/>
          <w:szCs w:val="28"/>
          <w:lang w:val="ro-MD"/>
        </w:rPr>
        <w:t xml:space="preserve"> și valoric. În unități cantitative acesta a crescut de la 118,2 </w:t>
      </w:r>
      <w:proofErr w:type="spellStart"/>
      <w:r w:rsidRPr="002751FC">
        <w:rPr>
          <w:rFonts w:asciiTheme="majorHAnsi" w:hAnsiTheme="majorHAnsi" w:cstheme="majorHAnsi"/>
          <w:color w:val="000000"/>
          <w:sz w:val="28"/>
          <w:szCs w:val="28"/>
          <w:lang w:val="ro-MD"/>
        </w:rPr>
        <w:t>mil.litri</w:t>
      </w:r>
      <w:proofErr w:type="spellEnd"/>
      <w:r w:rsidRPr="002751FC">
        <w:rPr>
          <w:rFonts w:asciiTheme="majorHAnsi" w:hAnsiTheme="majorHAnsi" w:cstheme="majorHAnsi"/>
          <w:color w:val="000000"/>
          <w:sz w:val="28"/>
          <w:szCs w:val="28"/>
          <w:lang w:val="ro-MD"/>
        </w:rPr>
        <w:t xml:space="preserve"> de vin în 2015 până</w:t>
      </w:r>
      <w:r w:rsidR="009B16FB" w:rsidRPr="002751FC">
        <w:rPr>
          <w:rFonts w:asciiTheme="majorHAnsi" w:hAnsiTheme="majorHAnsi" w:cstheme="majorHAnsi"/>
          <w:color w:val="000000"/>
          <w:sz w:val="28"/>
          <w:szCs w:val="28"/>
          <w:lang w:val="ro-MD"/>
        </w:rPr>
        <w:t xml:space="preserve"> la 143,7 </w:t>
      </w:r>
      <w:proofErr w:type="spellStart"/>
      <w:r w:rsidR="009B16FB" w:rsidRPr="002751FC">
        <w:rPr>
          <w:rFonts w:asciiTheme="majorHAnsi" w:hAnsiTheme="majorHAnsi" w:cstheme="majorHAnsi"/>
          <w:color w:val="000000"/>
          <w:sz w:val="28"/>
          <w:szCs w:val="28"/>
          <w:lang w:val="ro-MD"/>
        </w:rPr>
        <w:t>mil.litri</w:t>
      </w:r>
      <w:proofErr w:type="spellEnd"/>
      <w:r w:rsidR="009B16FB" w:rsidRPr="002751FC">
        <w:rPr>
          <w:rFonts w:asciiTheme="majorHAnsi" w:hAnsiTheme="majorHAnsi" w:cstheme="majorHAnsi"/>
          <w:color w:val="000000"/>
          <w:sz w:val="28"/>
          <w:szCs w:val="28"/>
          <w:lang w:val="ro-MD"/>
        </w:rPr>
        <w:t xml:space="preserve"> în anul</w:t>
      </w:r>
      <w:r w:rsidRPr="002751FC">
        <w:rPr>
          <w:rFonts w:asciiTheme="majorHAnsi" w:hAnsiTheme="majorHAnsi" w:cstheme="majorHAnsi"/>
          <w:color w:val="000000"/>
          <w:sz w:val="28"/>
          <w:szCs w:val="28"/>
          <w:lang w:val="ro-MD"/>
        </w:rPr>
        <w:t xml:space="preserve"> 2018 (+25,5 </w:t>
      </w:r>
      <w:proofErr w:type="spellStart"/>
      <w:r w:rsidRPr="002751FC">
        <w:rPr>
          <w:rFonts w:asciiTheme="majorHAnsi" w:hAnsiTheme="majorHAnsi" w:cstheme="majorHAnsi"/>
          <w:color w:val="000000"/>
          <w:sz w:val="28"/>
          <w:szCs w:val="28"/>
          <w:lang w:val="ro-MD"/>
        </w:rPr>
        <w:t>mil.litri</w:t>
      </w:r>
      <w:proofErr w:type="spellEnd"/>
      <w:r w:rsidRPr="002751FC">
        <w:rPr>
          <w:rFonts w:asciiTheme="majorHAnsi" w:hAnsiTheme="majorHAnsi" w:cstheme="majorHAnsi"/>
          <w:color w:val="000000"/>
          <w:sz w:val="28"/>
          <w:szCs w:val="28"/>
          <w:lang w:val="ro-MD"/>
        </w:rPr>
        <w:t>/+21,6%), iar în unități valorice</w:t>
      </w:r>
      <w:r w:rsidR="008228A9" w:rsidRPr="002751FC">
        <w:rPr>
          <w:rFonts w:asciiTheme="majorHAnsi" w:hAnsiTheme="majorHAnsi" w:cstheme="majorHAnsi"/>
          <w:color w:val="000000"/>
          <w:sz w:val="28"/>
          <w:szCs w:val="28"/>
          <w:lang w:val="ro-MD"/>
        </w:rPr>
        <w:t>,</w:t>
      </w:r>
      <w:r w:rsidRPr="002751FC">
        <w:rPr>
          <w:rFonts w:asciiTheme="majorHAnsi" w:hAnsiTheme="majorHAnsi" w:cstheme="majorHAnsi"/>
          <w:color w:val="000000"/>
          <w:sz w:val="28"/>
          <w:szCs w:val="28"/>
          <w:lang w:val="ro-MD"/>
        </w:rPr>
        <w:t xml:space="preserve"> de la 2 323,5 </w:t>
      </w:r>
      <w:proofErr w:type="spellStart"/>
      <w:r w:rsidRPr="002751FC">
        <w:rPr>
          <w:rFonts w:asciiTheme="majorHAnsi" w:hAnsiTheme="majorHAnsi" w:cstheme="majorHAnsi"/>
          <w:color w:val="000000"/>
          <w:sz w:val="28"/>
          <w:szCs w:val="28"/>
          <w:lang w:val="ro-MD"/>
        </w:rPr>
        <w:t>mil.MDL</w:t>
      </w:r>
      <w:proofErr w:type="spellEnd"/>
      <w:r w:rsidRPr="002751FC">
        <w:rPr>
          <w:rFonts w:asciiTheme="majorHAnsi" w:hAnsiTheme="majorHAnsi" w:cstheme="majorHAnsi"/>
          <w:color w:val="000000"/>
          <w:sz w:val="28"/>
          <w:szCs w:val="28"/>
          <w:lang w:val="ro-MD"/>
        </w:rPr>
        <w:t xml:space="preserve"> în 2015 până la 2 826,4 </w:t>
      </w:r>
      <w:proofErr w:type="spellStart"/>
      <w:r w:rsidRPr="002751FC">
        <w:rPr>
          <w:rFonts w:asciiTheme="majorHAnsi" w:hAnsiTheme="majorHAnsi" w:cstheme="majorHAnsi"/>
          <w:color w:val="000000"/>
          <w:sz w:val="28"/>
          <w:szCs w:val="28"/>
          <w:lang w:val="ro-MD"/>
        </w:rPr>
        <w:t>mil.MDL</w:t>
      </w:r>
      <w:proofErr w:type="spellEnd"/>
      <w:r w:rsidRPr="002751FC">
        <w:rPr>
          <w:rFonts w:asciiTheme="majorHAnsi" w:hAnsiTheme="majorHAnsi" w:cstheme="majorHAnsi"/>
          <w:color w:val="000000"/>
          <w:sz w:val="28"/>
          <w:szCs w:val="28"/>
          <w:lang w:val="ro-MD"/>
        </w:rPr>
        <w:t xml:space="preserve"> în 2018</w:t>
      </w:r>
      <w:r w:rsidR="008228A9" w:rsidRPr="002751FC">
        <w:rPr>
          <w:rFonts w:asciiTheme="majorHAnsi" w:hAnsiTheme="majorHAnsi" w:cstheme="majorHAnsi"/>
          <w:color w:val="000000"/>
          <w:sz w:val="28"/>
          <w:szCs w:val="28"/>
          <w:lang w:val="ro-MD"/>
        </w:rPr>
        <w:t>,</w:t>
      </w:r>
      <w:r w:rsidRPr="002751FC">
        <w:rPr>
          <w:rFonts w:asciiTheme="majorHAnsi" w:hAnsiTheme="majorHAnsi" w:cstheme="majorHAnsi"/>
          <w:color w:val="000000"/>
          <w:sz w:val="28"/>
          <w:szCs w:val="28"/>
          <w:lang w:val="ro-MD"/>
        </w:rPr>
        <w:t xml:space="preserve"> sau cu 21,6% (+302,9 </w:t>
      </w:r>
      <w:proofErr w:type="spellStart"/>
      <w:r w:rsidRPr="002751FC">
        <w:rPr>
          <w:rFonts w:asciiTheme="majorHAnsi" w:hAnsiTheme="majorHAnsi" w:cstheme="majorHAnsi"/>
          <w:color w:val="000000"/>
          <w:sz w:val="28"/>
          <w:szCs w:val="28"/>
          <w:lang w:val="ro-MD"/>
        </w:rPr>
        <w:t>mil.MDL</w:t>
      </w:r>
      <w:proofErr w:type="spellEnd"/>
      <w:r w:rsidRPr="002751FC">
        <w:rPr>
          <w:rFonts w:asciiTheme="majorHAnsi" w:hAnsiTheme="majorHAnsi" w:cstheme="majorHAnsi"/>
          <w:color w:val="000000"/>
          <w:sz w:val="28"/>
          <w:szCs w:val="28"/>
          <w:lang w:val="ro-MD"/>
        </w:rPr>
        <w:t>). Principalele piețe de export a vinurilor (top 10) sunt Belarus, Georgia, Rusia, Rom</w:t>
      </w:r>
      <w:r w:rsidR="008228A9" w:rsidRPr="002751FC">
        <w:rPr>
          <w:rFonts w:asciiTheme="majorHAnsi" w:hAnsiTheme="majorHAnsi" w:cstheme="majorHAnsi"/>
          <w:color w:val="000000"/>
          <w:sz w:val="28"/>
          <w:szCs w:val="28"/>
          <w:lang w:val="ro-MD"/>
        </w:rPr>
        <w:t>â</w:t>
      </w:r>
      <w:r w:rsidRPr="002751FC">
        <w:rPr>
          <w:rFonts w:asciiTheme="majorHAnsi" w:hAnsiTheme="majorHAnsi" w:cstheme="majorHAnsi"/>
          <w:color w:val="000000"/>
          <w:sz w:val="28"/>
          <w:szCs w:val="28"/>
          <w:lang w:val="ro-MD"/>
        </w:rPr>
        <w:t>nia, Republica Ceh</w:t>
      </w:r>
      <w:r w:rsidR="008228A9" w:rsidRPr="002751FC">
        <w:rPr>
          <w:rFonts w:asciiTheme="majorHAnsi" w:hAnsiTheme="majorHAnsi" w:cstheme="majorHAnsi"/>
          <w:color w:val="000000"/>
          <w:sz w:val="28"/>
          <w:szCs w:val="28"/>
          <w:lang w:val="ro-MD"/>
        </w:rPr>
        <w:t>ă</w:t>
      </w:r>
      <w:r w:rsidRPr="002751FC">
        <w:rPr>
          <w:rFonts w:asciiTheme="majorHAnsi" w:hAnsiTheme="majorHAnsi" w:cstheme="majorHAnsi"/>
          <w:color w:val="000000"/>
          <w:sz w:val="28"/>
          <w:szCs w:val="28"/>
          <w:lang w:val="ro-MD"/>
        </w:rPr>
        <w:t xml:space="preserve">, Ucraina, Polonia, China, Germania </w:t>
      </w:r>
      <w:r w:rsidR="009B16FB" w:rsidRPr="002751FC">
        <w:rPr>
          <w:rFonts w:asciiTheme="majorHAnsi" w:hAnsiTheme="majorHAnsi" w:cstheme="majorHAnsi"/>
          <w:color w:val="000000"/>
          <w:sz w:val="28"/>
          <w:szCs w:val="28"/>
          <w:lang w:val="ro-MD"/>
        </w:rPr>
        <w:t>şi Marea Britanie</w:t>
      </w:r>
      <w:r w:rsidRPr="002751FC">
        <w:rPr>
          <w:rFonts w:asciiTheme="majorHAnsi" w:hAnsiTheme="majorHAnsi" w:cstheme="majorHAnsi"/>
          <w:color w:val="000000"/>
          <w:sz w:val="28"/>
          <w:szCs w:val="28"/>
          <w:lang w:val="ro-MD"/>
        </w:rPr>
        <w:t xml:space="preserve">. </w:t>
      </w:r>
      <w:r w:rsidRPr="002751FC">
        <w:rPr>
          <w:rFonts w:asciiTheme="majorHAnsi" w:hAnsiTheme="majorHAnsi" w:cstheme="majorHAnsi"/>
          <w:i/>
          <w:color w:val="000000"/>
          <w:sz w:val="28"/>
          <w:szCs w:val="28"/>
          <w:lang w:val="ro-MD"/>
        </w:rPr>
        <w:t>Sinteza exporturilor de vi</w:t>
      </w:r>
      <w:r w:rsidR="009B16FB" w:rsidRPr="002751FC">
        <w:rPr>
          <w:rFonts w:asciiTheme="majorHAnsi" w:hAnsiTheme="majorHAnsi" w:cstheme="majorHAnsi"/>
          <w:i/>
          <w:color w:val="000000"/>
          <w:sz w:val="28"/>
          <w:szCs w:val="28"/>
          <w:lang w:val="ro-MD"/>
        </w:rPr>
        <w:t>n</w:t>
      </w:r>
      <w:r w:rsidRPr="002751FC">
        <w:rPr>
          <w:rFonts w:asciiTheme="majorHAnsi" w:hAnsiTheme="majorHAnsi" w:cstheme="majorHAnsi"/>
          <w:i/>
          <w:color w:val="000000"/>
          <w:sz w:val="28"/>
          <w:szCs w:val="28"/>
          <w:lang w:val="ro-MD"/>
        </w:rPr>
        <w:t>uri se prezintă în Tabelul de mai jos.</w:t>
      </w:r>
    </w:p>
    <w:p w:rsidR="0048102A" w:rsidRPr="002751FC" w:rsidRDefault="009B16FB" w:rsidP="0048102A">
      <w:pPr>
        <w:spacing w:after="0"/>
        <w:jc w:val="right"/>
        <w:rPr>
          <w:rFonts w:asciiTheme="majorHAnsi" w:hAnsiTheme="majorHAnsi" w:cstheme="majorHAnsi"/>
          <w:b/>
          <w:color w:val="000000"/>
          <w:sz w:val="20"/>
          <w:szCs w:val="20"/>
          <w:lang w:val="ro-MD"/>
        </w:rPr>
      </w:pPr>
      <w:r w:rsidRPr="002751FC">
        <w:rPr>
          <w:rFonts w:asciiTheme="majorHAnsi" w:hAnsiTheme="majorHAnsi" w:cstheme="majorHAnsi"/>
          <w:b/>
          <w:color w:val="000000"/>
          <w:sz w:val="20"/>
          <w:szCs w:val="20"/>
          <w:lang w:val="ro-MD"/>
        </w:rPr>
        <w:t>Tabelul nr.</w:t>
      </w:r>
      <w:r w:rsidR="002B0C1F" w:rsidRPr="002751FC">
        <w:rPr>
          <w:rFonts w:asciiTheme="majorHAnsi" w:hAnsiTheme="majorHAnsi" w:cstheme="majorHAnsi"/>
          <w:b/>
          <w:color w:val="000000"/>
          <w:sz w:val="20"/>
          <w:szCs w:val="20"/>
          <w:lang w:val="ro-MD"/>
        </w:rPr>
        <w:t>14</w:t>
      </w:r>
    </w:p>
    <w:p w:rsidR="002B0C1F" w:rsidRPr="002751FC" w:rsidRDefault="009B16FB" w:rsidP="0018358D">
      <w:pPr>
        <w:spacing w:after="0"/>
        <w:jc w:val="center"/>
        <w:rPr>
          <w:rFonts w:asciiTheme="majorHAnsi" w:hAnsiTheme="majorHAnsi" w:cstheme="majorHAnsi"/>
          <w:b/>
          <w:sz w:val="20"/>
          <w:szCs w:val="20"/>
          <w:lang w:val="ro-MD"/>
        </w:rPr>
      </w:pPr>
      <w:r w:rsidRPr="002751FC">
        <w:rPr>
          <w:rFonts w:asciiTheme="majorHAnsi" w:hAnsiTheme="majorHAnsi" w:cstheme="majorHAnsi"/>
          <w:b/>
          <w:color w:val="000000"/>
          <w:sz w:val="20"/>
          <w:szCs w:val="20"/>
          <w:lang w:val="ro-MD"/>
        </w:rPr>
        <w:t>Sinteza exporturilor de vin</w:t>
      </w:r>
      <w:r w:rsidR="002B0C1F" w:rsidRPr="002751FC">
        <w:rPr>
          <w:rFonts w:asciiTheme="majorHAnsi" w:hAnsiTheme="majorHAnsi" w:cstheme="majorHAnsi"/>
          <w:b/>
          <w:color w:val="000000"/>
          <w:sz w:val="20"/>
          <w:szCs w:val="20"/>
          <w:lang w:val="ro-MD"/>
        </w:rPr>
        <w:t>uri în anii 2015-2018</w:t>
      </w:r>
    </w:p>
    <w:tbl>
      <w:tblPr>
        <w:tblStyle w:val="ae"/>
        <w:tblW w:w="10441" w:type="dxa"/>
        <w:tblInd w:w="-743" w:type="dxa"/>
        <w:tblLook w:val="04A0" w:firstRow="1" w:lastRow="0" w:firstColumn="1" w:lastColumn="0" w:noHBand="0" w:noVBand="1"/>
      </w:tblPr>
      <w:tblGrid>
        <w:gridCol w:w="622"/>
        <w:gridCol w:w="849"/>
        <w:gridCol w:w="849"/>
        <w:gridCol w:w="849"/>
        <w:gridCol w:w="849"/>
        <w:gridCol w:w="849"/>
        <w:gridCol w:w="849"/>
        <w:gridCol w:w="849"/>
        <w:gridCol w:w="849"/>
        <w:gridCol w:w="849"/>
        <w:gridCol w:w="849"/>
        <w:gridCol w:w="849"/>
        <w:gridCol w:w="950"/>
      </w:tblGrid>
      <w:tr w:rsidR="002B0C1F" w:rsidRPr="002751FC" w:rsidTr="00294903">
        <w:trPr>
          <w:cantSplit/>
          <w:trHeight w:val="876"/>
        </w:trPr>
        <w:tc>
          <w:tcPr>
            <w:tcW w:w="597" w:type="dxa"/>
            <w:shd w:val="clear" w:color="auto" w:fill="DEEAF6" w:themeFill="accent1" w:themeFillTint="33"/>
            <w:vAlign w:val="center"/>
          </w:tcPr>
          <w:p w:rsidR="002B0C1F" w:rsidRPr="002751FC" w:rsidRDefault="002B0C1F" w:rsidP="00294903">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Anii</w:t>
            </w:r>
          </w:p>
        </w:tc>
        <w:tc>
          <w:tcPr>
            <w:tcW w:w="821" w:type="dxa"/>
            <w:shd w:val="clear" w:color="auto" w:fill="DEEAF6" w:themeFill="accent1" w:themeFillTint="33"/>
            <w:textDirection w:val="btLr"/>
            <w:vAlign w:val="center"/>
          </w:tcPr>
          <w:p w:rsidR="002B0C1F" w:rsidRPr="002751FC" w:rsidRDefault="002B0C1F" w:rsidP="00294903">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Belarus</w:t>
            </w:r>
          </w:p>
        </w:tc>
        <w:tc>
          <w:tcPr>
            <w:tcW w:w="822" w:type="dxa"/>
            <w:shd w:val="clear" w:color="auto" w:fill="DEEAF6" w:themeFill="accent1" w:themeFillTint="33"/>
            <w:textDirection w:val="btLr"/>
            <w:vAlign w:val="center"/>
          </w:tcPr>
          <w:p w:rsidR="002B0C1F" w:rsidRPr="002751FC" w:rsidRDefault="002B0C1F" w:rsidP="00294903">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Georgia</w:t>
            </w:r>
          </w:p>
        </w:tc>
        <w:tc>
          <w:tcPr>
            <w:tcW w:w="823" w:type="dxa"/>
            <w:shd w:val="clear" w:color="auto" w:fill="DEEAF6" w:themeFill="accent1" w:themeFillTint="33"/>
            <w:textDirection w:val="btLr"/>
            <w:vAlign w:val="center"/>
          </w:tcPr>
          <w:p w:rsidR="002B0C1F" w:rsidRPr="002751FC" w:rsidRDefault="002B0C1F" w:rsidP="00294903">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Rusia</w:t>
            </w:r>
          </w:p>
        </w:tc>
        <w:tc>
          <w:tcPr>
            <w:tcW w:w="823" w:type="dxa"/>
            <w:shd w:val="clear" w:color="auto" w:fill="DEEAF6" w:themeFill="accent1" w:themeFillTint="33"/>
            <w:textDirection w:val="btLr"/>
            <w:vAlign w:val="center"/>
          </w:tcPr>
          <w:p w:rsidR="002B0C1F" w:rsidRPr="002751FC" w:rsidRDefault="002B0C1F" w:rsidP="00294903">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Rom</w:t>
            </w:r>
            <w:r w:rsidR="008228A9" w:rsidRPr="002751FC">
              <w:rPr>
                <w:rFonts w:asciiTheme="majorHAnsi" w:hAnsiTheme="majorHAnsi" w:cstheme="majorHAnsi"/>
                <w:b/>
                <w:sz w:val="20"/>
                <w:szCs w:val="20"/>
                <w:lang w:val="ro-MD"/>
              </w:rPr>
              <w:t>â</w:t>
            </w:r>
            <w:r w:rsidRPr="002751FC">
              <w:rPr>
                <w:rFonts w:asciiTheme="majorHAnsi" w:hAnsiTheme="majorHAnsi" w:cstheme="majorHAnsi"/>
                <w:b/>
                <w:sz w:val="20"/>
                <w:szCs w:val="20"/>
                <w:lang w:val="ro-MD"/>
              </w:rPr>
              <w:t>nia</w:t>
            </w:r>
          </w:p>
        </w:tc>
        <w:tc>
          <w:tcPr>
            <w:tcW w:w="823" w:type="dxa"/>
            <w:shd w:val="clear" w:color="auto" w:fill="DEEAF6" w:themeFill="accent1" w:themeFillTint="33"/>
            <w:textDirection w:val="btLr"/>
            <w:vAlign w:val="center"/>
          </w:tcPr>
          <w:p w:rsidR="002B0C1F" w:rsidRPr="002751FC" w:rsidRDefault="002B0C1F" w:rsidP="00294903">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Cehia</w:t>
            </w:r>
          </w:p>
        </w:tc>
        <w:tc>
          <w:tcPr>
            <w:tcW w:w="823" w:type="dxa"/>
            <w:shd w:val="clear" w:color="auto" w:fill="DEEAF6" w:themeFill="accent1" w:themeFillTint="33"/>
            <w:textDirection w:val="btLr"/>
            <w:vAlign w:val="center"/>
          </w:tcPr>
          <w:p w:rsidR="002B0C1F" w:rsidRPr="002751FC" w:rsidRDefault="002B0C1F" w:rsidP="00294903">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Ucraina</w:t>
            </w:r>
          </w:p>
        </w:tc>
        <w:tc>
          <w:tcPr>
            <w:tcW w:w="823" w:type="dxa"/>
            <w:shd w:val="clear" w:color="auto" w:fill="DEEAF6" w:themeFill="accent1" w:themeFillTint="33"/>
            <w:textDirection w:val="btLr"/>
            <w:vAlign w:val="center"/>
          </w:tcPr>
          <w:p w:rsidR="002B0C1F" w:rsidRPr="002751FC" w:rsidRDefault="002B0C1F" w:rsidP="00294903">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Polonia</w:t>
            </w:r>
          </w:p>
        </w:tc>
        <w:tc>
          <w:tcPr>
            <w:tcW w:w="823" w:type="dxa"/>
            <w:shd w:val="clear" w:color="auto" w:fill="DEEAF6" w:themeFill="accent1" w:themeFillTint="33"/>
            <w:textDirection w:val="btLr"/>
            <w:vAlign w:val="center"/>
          </w:tcPr>
          <w:p w:rsidR="002B0C1F" w:rsidRPr="002751FC" w:rsidRDefault="002B0C1F" w:rsidP="00294903">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China</w:t>
            </w:r>
          </w:p>
        </w:tc>
        <w:tc>
          <w:tcPr>
            <w:tcW w:w="781" w:type="dxa"/>
            <w:shd w:val="clear" w:color="auto" w:fill="DEEAF6" w:themeFill="accent1" w:themeFillTint="33"/>
            <w:textDirection w:val="btLr"/>
            <w:vAlign w:val="center"/>
          </w:tcPr>
          <w:p w:rsidR="002B0C1F" w:rsidRPr="002751FC" w:rsidRDefault="00687BAB" w:rsidP="00294903">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Germania</w:t>
            </w:r>
          </w:p>
        </w:tc>
        <w:tc>
          <w:tcPr>
            <w:tcW w:w="781" w:type="dxa"/>
            <w:shd w:val="clear" w:color="auto" w:fill="DEEAF6" w:themeFill="accent1" w:themeFillTint="33"/>
            <w:textDirection w:val="btLr"/>
            <w:vAlign w:val="center"/>
          </w:tcPr>
          <w:p w:rsidR="002B0C1F" w:rsidRPr="002751FC" w:rsidRDefault="002B0C1F" w:rsidP="00294903">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Marea Britanie</w:t>
            </w:r>
          </w:p>
        </w:tc>
        <w:tc>
          <w:tcPr>
            <w:tcW w:w="823" w:type="dxa"/>
            <w:shd w:val="clear" w:color="auto" w:fill="DEEAF6" w:themeFill="accent1" w:themeFillTint="33"/>
            <w:textDirection w:val="btLr"/>
            <w:vAlign w:val="center"/>
          </w:tcPr>
          <w:p w:rsidR="002B0C1F" w:rsidRPr="002751FC" w:rsidRDefault="002B0C1F" w:rsidP="00294903">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Alte</w:t>
            </w:r>
          </w:p>
        </w:tc>
        <w:tc>
          <w:tcPr>
            <w:tcW w:w="875" w:type="dxa"/>
            <w:shd w:val="clear" w:color="auto" w:fill="DEEAF6" w:themeFill="accent1" w:themeFillTint="33"/>
            <w:textDirection w:val="btLr"/>
            <w:vAlign w:val="center"/>
          </w:tcPr>
          <w:p w:rsidR="002B0C1F" w:rsidRPr="002751FC" w:rsidRDefault="009B16FB" w:rsidP="00294903">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To</w:t>
            </w:r>
            <w:r w:rsidR="002B0C1F" w:rsidRPr="002751FC">
              <w:rPr>
                <w:rFonts w:asciiTheme="majorHAnsi" w:hAnsiTheme="majorHAnsi" w:cstheme="majorHAnsi"/>
                <w:b/>
                <w:sz w:val="20"/>
                <w:szCs w:val="20"/>
                <w:lang w:val="ro-MD"/>
              </w:rPr>
              <w:t>tal</w:t>
            </w:r>
          </w:p>
        </w:tc>
      </w:tr>
      <w:tr w:rsidR="002B0C1F" w:rsidRPr="002751FC" w:rsidTr="00A44ED0">
        <w:trPr>
          <w:trHeight w:val="241"/>
        </w:trPr>
        <w:tc>
          <w:tcPr>
            <w:tcW w:w="9565" w:type="dxa"/>
            <w:gridSpan w:val="12"/>
          </w:tcPr>
          <w:p w:rsidR="002B0C1F" w:rsidRPr="00C347EB" w:rsidRDefault="002B0C1F" w:rsidP="00C347EB">
            <w:pPr>
              <w:pStyle w:val="ac"/>
              <w:numPr>
                <w:ilvl w:val="0"/>
                <w:numId w:val="45"/>
              </w:numPr>
              <w:jc w:val="center"/>
              <w:rPr>
                <w:rFonts w:asciiTheme="majorHAnsi" w:hAnsiTheme="majorHAnsi" w:cstheme="majorHAnsi"/>
                <w:b/>
                <w:sz w:val="20"/>
                <w:szCs w:val="20"/>
                <w:lang w:val="ro-MD"/>
              </w:rPr>
            </w:pPr>
            <w:r w:rsidRPr="00C347EB">
              <w:rPr>
                <w:rFonts w:asciiTheme="majorHAnsi" w:hAnsiTheme="majorHAnsi" w:cstheme="majorHAnsi"/>
                <w:b/>
                <w:sz w:val="20"/>
                <w:szCs w:val="20"/>
                <w:lang w:val="ro-MD"/>
              </w:rPr>
              <w:t xml:space="preserve">Evoluția exporturilor de vinuri, </w:t>
            </w:r>
            <w:proofErr w:type="spellStart"/>
            <w:r w:rsidRPr="00C347EB">
              <w:rPr>
                <w:rFonts w:asciiTheme="majorHAnsi" w:hAnsiTheme="majorHAnsi" w:cstheme="majorHAnsi"/>
                <w:b/>
                <w:sz w:val="20"/>
                <w:szCs w:val="20"/>
                <w:lang w:val="ro-MD"/>
              </w:rPr>
              <w:t>mil.litri</w:t>
            </w:r>
            <w:proofErr w:type="spellEnd"/>
          </w:p>
        </w:tc>
        <w:tc>
          <w:tcPr>
            <w:tcW w:w="875" w:type="dxa"/>
          </w:tcPr>
          <w:p w:rsidR="002B0C1F" w:rsidRPr="002751FC" w:rsidRDefault="002B0C1F" w:rsidP="0018358D">
            <w:pPr>
              <w:pStyle w:val="ac"/>
              <w:numPr>
                <w:ilvl w:val="0"/>
                <w:numId w:val="16"/>
              </w:numPr>
              <w:ind w:left="0"/>
              <w:rPr>
                <w:rFonts w:asciiTheme="majorHAnsi" w:hAnsiTheme="majorHAnsi" w:cstheme="majorHAnsi"/>
                <w:b/>
                <w:sz w:val="20"/>
                <w:szCs w:val="20"/>
                <w:lang w:val="ro-MD"/>
              </w:rPr>
            </w:pPr>
          </w:p>
        </w:tc>
      </w:tr>
      <w:tr w:rsidR="002B0C1F" w:rsidRPr="002751FC" w:rsidTr="00A44ED0">
        <w:trPr>
          <w:trHeight w:val="269"/>
        </w:trPr>
        <w:tc>
          <w:tcPr>
            <w:tcW w:w="597"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2015</w:t>
            </w:r>
          </w:p>
        </w:tc>
        <w:tc>
          <w:tcPr>
            <w:tcW w:w="82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44,2</w:t>
            </w:r>
          </w:p>
        </w:tc>
        <w:tc>
          <w:tcPr>
            <w:tcW w:w="822"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12,2</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11,5</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8,0</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7,3</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11,0</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4,9</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2,6</w:t>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3,0</w:t>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0,5</w:t>
            </w:r>
          </w:p>
        </w:tc>
        <w:tc>
          <w:tcPr>
            <w:tcW w:w="823" w:type="dxa"/>
          </w:tcPr>
          <w:p w:rsidR="002B0C1F" w:rsidRPr="002751FC" w:rsidRDefault="002B0C1F" w:rsidP="0018358D">
            <w:pPr>
              <w:jc w:val="both"/>
              <w:rPr>
                <w:rFonts w:asciiTheme="majorHAnsi" w:hAnsiTheme="majorHAnsi" w:cstheme="majorHAnsi"/>
                <w:sz w:val="20"/>
                <w:szCs w:val="20"/>
                <w:lang w:val="ro-MD"/>
              </w:rPr>
            </w:pPr>
            <w:r w:rsidRPr="002751FC">
              <w:rPr>
                <w:rFonts w:asciiTheme="majorHAnsi" w:hAnsiTheme="majorHAnsi" w:cstheme="majorHAnsi"/>
                <w:sz w:val="20"/>
                <w:szCs w:val="20"/>
                <w:lang w:val="ro-MD"/>
              </w:rPr>
              <w:t>13,0</w:t>
            </w:r>
          </w:p>
        </w:tc>
        <w:tc>
          <w:tcPr>
            <w:tcW w:w="875" w:type="dxa"/>
          </w:tcPr>
          <w:p w:rsidR="002B0C1F" w:rsidRPr="002751FC" w:rsidRDefault="002B0C1F" w:rsidP="0018358D">
            <w:pPr>
              <w:jc w:val="both"/>
              <w:rPr>
                <w:rFonts w:asciiTheme="majorHAnsi" w:hAnsiTheme="majorHAnsi" w:cstheme="majorHAnsi"/>
                <w:sz w:val="20"/>
                <w:szCs w:val="20"/>
                <w:lang w:val="ro-MD"/>
              </w:rPr>
            </w:pPr>
            <w:r w:rsidRPr="002751FC">
              <w:rPr>
                <w:rFonts w:asciiTheme="majorHAnsi" w:hAnsiTheme="majorHAnsi" w:cstheme="majorHAnsi"/>
                <w:sz w:val="20"/>
                <w:szCs w:val="20"/>
                <w:lang w:val="ro-MD"/>
              </w:rPr>
              <w:t>118,2</w:t>
            </w:r>
          </w:p>
        </w:tc>
      </w:tr>
      <w:tr w:rsidR="002B0C1F" w:rsidRPr="002751FC" w:rsidTr="00A44ED0">
        <w:trPr>
          <w:trHeight w:val="290"/>
        </w:trPr>
        <w:tc>
          <w:tcPr>
            <w:tcW w:w="597"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2016</w:t>
            </w:r>
          </w:p>
        </w:tc>
        <w:tc>
          <w:tcPr>
            <w:tcW w:w="82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41,8</w:t>
            </w:r>
            <w:r w:rsidRPr="002751FC">
              <w:rPr>
                <w:rFonts w:asciiTheme="majorHAnsi" w:hAnsiTheme="majorHAnsi" w:cstheme="majorHAnsi"/>
                <w:color w:val="FF0000"/>
                <w:sz w:val="20"/>
                <w:szCs w:val="20"/>
                <w:lang w:val="ro-MD"/>
              </w:rPr>
              <w:sym w:font="Wingdings" w:char="F0EA"/>
            </w:r>
          </w:p>
        </w:tc>
        <w:tc>
          <w:tcPr>
            <w:tcW w:w="822"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14,1</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16,2</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9,9</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7,7</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22,7</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5,5</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3,8</w:t>
            </w:r>
            <w:r w:rsidRPr="002751FC">
              <w:rPr>
                <w:rFonts w:asciiTheme="majorHAnsi" w:hAnsiTheme="majorHAnsi" w:cstheme="majorHAnsi"/>
                <w:color w:val="00B050"/>
                <w:sz w:val="20"/>
                <w:szCs w:val="20"/>
                <w:lang w:val="ro-MD"/>
              </w:rPr>
              <w:sym w:font="Wingdings" w:char="F0E9"/>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2,8</w:t>
            </w:r>
            <w:r w:rsidRPr="002751FC">
              <w:rPr>
                <w:rFonts w:asciiTheme="majorHAnsi" w:hAnsiTheme="majorHAnsi" w:cstheme="majorHAnsi"/>
                <w:color w:val="FF0000"/>
                <w:sz w:val="20"/>
                <w:szCs w:val="20"/>
                <w:lang w:val="ro-MD"/>
              </w:rPr>
              <w:sym w:font="Wingdings" w:char="F0EA"/>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1,9</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10,6</w:t>
            </w:r>
            <w:r w:rsidRPr="002751FC">
              <w:rPr>
                <w:rFonts w:asciiTheme="majorHAnsi" w:hAnsiTheme="majorHAnsi" w:cstheme="majorHAnsi"/>
                <w:color w:val="FF0000"/>
                <w:sz w:val="20"/>
                <w:szCs w:val="20"/>
                <w:lang w:val="ro-MD"/>
              </w:rPr>
              <w:sym w:font="Wingdings" w:char="F0EA"/>
            </w:r>
          </w:p>
        </w:tc>
        <w:tc>
          <w:tcPr>
            <w:tcW w:w="875"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136,9</w:t>
            </w:r>
            <w:r w:rsidRPr="002751FC">
              <w:rPr>
                <w:rFonts w:asciiTheme="majorHAnsi" w:hAnsiTheme="majorHAnsi" w:cstheme="majorHAnsi"/>
                <w:color w:val="00B050"/>
                <w:sz w:val="20"/>
                <w:szCs w:val="20"/>
                <w:lang w:val="ro-MD"/>
              </w:rPr>
              <w:sym w:font="Wingdings" w:char="F0E9"/>
            </w:r>
          </w:p>
        </w:tc>
      </w:tr>
      <w:tr w:rsidR="002B0C1F" w:rsidRPr="002751FC" w:rsidTr="00A44ED0">
        <w:trPr>
          <w:trHeight w:val="290"/>
        </w:trPr>
        <w:tc>
          <w:tcPr>
            <w:tcW w:w="597"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2017</w:t>
            </w:r>
          </w:p>
        </w:tc>
        <w:tc>
          <w:tcPr>
            <w:tcW w:w="82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47,2</w:t>
            </w:r>
            <w:r w:rsidRPr="002751FC">
              <w:rPr>
                <w:rFonts w:asciiTheme="majorHAnsi" w:hAnsiTheme="majorHAnsi" w:cstheme="majorHAnsi"/>
                <w:color w:val="00B050"/>
                <w:sz w:val="20"/>
                <w:szCs w:val="20"/>
                <w:lang w:val="ro-MD"/>
              </w:rPr>
              <w:sym w:font="Wingdings" w:char="F0E9"/>
            </w:r>
          </w:p>
        </w:tc>
        <w:tc>
          <w:tcPr>
            <w:tcW w:w="822"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15,4</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19,4</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12,2</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7,8</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11,0</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6,0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5,5</w:t>
            </w:r>
            <w:r w:rsidRPr="002751FC">
              <w:rPr>
                <w:rFonts w:asciiTheme="majorHAnsi" w:hAnsiTheme="majorHAnsi" w:cstheme="majorHAnsi"/>
                <w:color w:val="00B050"/>
                <w:sz w:val="20"/>
                <w:szCs w:val="20"/>
                <w:lang w:val="ro-MD"/>
              </w:rPr>
              <w:sym w:font="Wingdings" w:char="F0E9"/>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3,3</w:t>
            </w:r>
            <w:r w:rsidRPr="002751FC">
              <w:rPr>
                <w:rFonts w:asciiTheme="majorHAnsi" w:hAnsiTheme="majorHAnsi" w:cstheme="majorHAnsi"/>
                <w:color w:val="00B050"/>
                <w:sz w:val="20"/>
                <w:szCs w:val="20"/>
                <w:lang w:val="ro-MD"/>
              </w:rPr>
              <w:sym w:font="Wingdings" w:char="F0E9"/>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3,0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13,3</w:t>
            </w:r>
            <w:r w:rsidRPr="002751FC">
              <w:rPr>
                <w:rFonts w:asciiTheme="majorHAnsi" w:hAnsiTheme="majorHAnsi" w:cstheme="majorHAnsi"/>
                <w:color w:val="00B050"/>
                <w:sz w:val="20"/>
                <w:szCs w:val="20"/>
                <w:lang w:val="ro-MD"/>
              </w:rPr>
              <w:sym w:font="Wingdings" w:char="F0E9"/>
            </w:r>
          </w:p>
        </w:tc>
        <w:tc>
          <w:tcPr>
            <w:tcW w:w="875"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144,1</w:t>
            </w:r>
            <w:r w:rsidRPr="002751FC">
              <w:rPr>
                <w:rFonts w:asciiTheme="majorHAnsi" w:hAnsiTheme="majorHAnsi" w:cstheme="majorHAnsi"/>
                <w:color w:val="00B050"/>
                <w:sz w:val="20"/>
                <w:szCs w:val="20"/>
                <w:lang w:val="ro-MD"/>
              </w:rPr>
              <w:sym w:font="Wingdings" w:char="F0E9"/>
            </w:r>
          </w:p>
        </w:tc>
      </w:tr>
      <w:tr w:rsidR="002B0C1F" w:rsidRPr="002751FC" w:rsidTr="00A44ED0">
        <w:trPr>
          <w:trHeight w:val="290"/>
        </w:trPr>
        <w:tc>
          <w:tcPr>
            <w:tcW w:w="597"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2018</w:t>
            </w:r>
          </w:p>
        </w:tc>
        <w:tc>
          <w:tcPr>
            <w:tcW w:w="82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49,1</w:t>
            </w:r>
            <w:r w:rsidRPr="002751FC">
              <w:rPr>
                <w:rFonts w:asciiTheme="majorHAnsi" w:hAnsiTheme="majorHAnsi" w:cstheme="majorHAnsi"/>
                <w:color w:val="00B050"/>
                <w:sz w:val="20"/>
                <w:szCs w:val="20"/>
                <w:lang w:val="ro-MD"/>
              </w:rPr>
              <w:sym w:font="Wingdings" w:char="F0E9"/>
            </w:r>
          </w:p>
        </w:tc>
        <w:tc>
          <w:tcPr>
            <w:tcW w:w="822"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15,0</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13,2</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12,0</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9,9</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8,0</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6,1</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6,0</w:t>
            </w:r>
            <w:r w:rsidRPr="002751FC">
              <w:rPr>
                <w:rFonts w:asciiTheme="majorHAnsi" w:hAnsiTheme="majorHAnsi" w:cstheme="majorHAnsi"/>
                <w:color w:val="00B050"/>
                <w:sz w:val="20"/>
                <w:szCs w:val="20"/>
                <w:lang w:val="ro-MD"/>
              </w:rPr>
              <w:sym w:font="Wingdings" w:char="F0E9"/>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5,5</w:t>
            </w:r>
            <w:r w:rsidRPr="002751FC">
              <w:rPr>
                <w:rFonts w:asciiTheme="majorHAnsi" w:hAnsiTheme="majorHAnsi" w:cstheme="majorHAnsi"/>
                <w:color w:val="00B050"/>
                <w:sz w:val="20"/>
                <w:szCs w:val="20"/>
                <w:lang w:val="ro-MD"/>
              </w:rPr>
              <w:sym w:font="Wingdings" w:char="F0E9"/>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4,0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15,1</w:t>
            </w:r>
            <w:r w:rsidRPr="002751FC">
              <w:rPr>
                <w:rFonts w:asciiTheme="majorHAnsi" w:hAnsiTheme="majorHAnsi" w:cstheme="majorHAnsi"/>
                <w:color w:val="00B050"/>
                <w:sz w:val="20"/>
                <w:szCs w:val="20"/>
                <w:lang w:val="ro-MD"/>
              </w:rPr>
              <w:sym w:font="Wingdings" w:char="F0E9"/>
            </w:r>
          </w:p>
        </w:tc>
        <w:tc>
          <w:tcPr>
            <w:tcW w:w="875"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143,7</w:t>
            </w:r>
            <w:r w:rsidRPr="002751FC">
              <w:rPr>
                <w:rFonts w:asciiTheme="majorHAnsi" w:hAnsiTheme="majorHAnsi" w:cstheme="majorHAnsi"/>
                <w:color w:val="FF0000"/>
                <w:sz w:val="20"/>
                <w:szCs w:val="20"/>
                <w:lang w:val="ro-MD"/>
              </w:rPr>
              <w:sym w:font="Wingdings" w:char="F0EA"/>
            </w:r>
          </w:p>
        </w:tc>
      </w:tr>
      <w:tr w:rsidR="002B0C1F" w:rsidRPr="002751FC" w:rsidTr="00A44ED0">
        <w:trPr>
          <w:trHeight w:val="241"/>
        </w:trPr>
        <w:tc>
          <w:tcPr>
            <w:tcW w:w="9565" w:type="dxa"/>
            <w:gridSpan w:val="12"/>
          </w:tcPr>
          <w:p w:rsidR="002B0C1F" w:rsidRPr="002751FC" w:rsidRDefault="002B0C1F" w:rsidP="0018358D">
            <w:pPr>
              <w:pStyle w:val="ac"/>
              <w:numPr>
                <w:ilvl w:val="0"/>
                <w:numId w:val="16"/>
              </w:num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 xml:space="preserve">Evoluția exporturilor de vinuri, </w:t>
            </w:r>
            <w:proofErr w:type="spellStart"/>
            <w:r w:rsidRPr="002751FC">
              <w:rPr>
                <w:rFonts w:asciiTheme="majorHAnsi" w:hAnsiTheme="majorHAnsi" w:cstheme="majorHAnsi"/>
                <w:b/>
                <w:sz w:val="20"/>
                <w:szCs w:val="20"/>
                <w:lang w:val="ro-MD"/>
              </w:rPr>
              <w:t>mil.MDL</w:t>
            </w:r>
            <w:proofErr w:type="spellEnd"/>
          </w:p>
        </w:tc>
        <w:tc>
          <w:tcPr>
            <w:tcW w:w="875" w:type="dxa"/>
          </w:tcPr>
          <w:p w:rsidR="002B0C1F" w:rsidRPr="002751FC" w:rsidRDefault="002B0C1F" w:rsidP="0018358D">
            <w:pPr>
              <w:pStyle w:val="ac"/>
              <w:numPr>
                <w:ilvl w:val="0"/>
                <w:numId w:val="16"/>
              </w:numPr>
              <w:ind w:left="0"/>
              <w:rPr>
                <w:rFonts w:asciiTheme="majorHAnsi" w:hAnsiTheme="majorHAnsi" w:cstheme="majorHAnsi"/>
                <w:b/>
                <w:sz w:val="20"/>
                <w:szCs w:val="20"/>
                <w:lang w:val="ro-MD"/>
              </w:rPr>
            </w:pPr>
          </w:p>
        </w:tc>
      </w:tr>
      <w:tr w:rsidR="002B0C1F" w:rsidRPr="002751FC" w:rsidTr="00A44ED0">
        <w:trPr>
          <w:trHeight w:val="290"/>
        </w:trPr>
        <w:tc>
          <w:tcPr>
            <w:tcW w:w="597"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2015</w:t>
            </w:r>
          </w:p>
        </w:tc>
        <w:tc>
          <w:tcPr>
            <w:tcW w:w="82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689,0</w:t>
            </w:r>
          </w:p>
        </w:tc>
        <w:tc>
          <w:tcPr>
            <w:tcW w:w="822"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132,0</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189,0</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115,0</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152,0</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247,0</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143,0</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114,0</w:t>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50,0</w:t>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14,0</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478,0</w:t>
            </w:r>
          </w:p>
        </w:tc>
        <w:tc>
          <w:tcPr>
            <w:tcW w:w="875"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2323,5</w:t>
            </w:r>
          </w:p>
        </w:tc>
      </w:tr>
      <w:tr w:rsidR="002B0C1F" w:rsidRPr="002751FC" w:rsidTr="00A44ED0">
        <w:trPr>
          <w:trHeight w:val="437"/>
        </w:trPr>
        <w:tc>
          <w:tcPr>
            <w:tcW w:w="597"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2016</w:t>
            </w:r>
          </w:p>
        </w:tc>
        <w:tc>
          <w:tcPr>
            <w:tcW w:w="82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657,0</w:t>
            </w:r>
            <w:r w:rsidRPr="002751FC">
              <w:rPr>
                <w:rFonts w:asciiTheme="majorHAnsi" w:hAnsiTheme="majorHAnsi" w:cstheme="majorHAnsi"/>
                <w:color w:val="FF0000"/>
                <w:sz w:val="20"/>
                <w:szCs w:val="20"/>
                <w:lang w:val="ro-MD"/>
              </w:rPr>
              <w:sym w:font="Wingdings" w:char="F0EA"/>
            </w:r>
          </w:p>
        </w:tc>
        <w:tc>
          <w:tcPr>
            <w:tcW w:w="822"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154,0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225,0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176,0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180,0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311,0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169,0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178,0</w:t>
            </w:r>
            <w:r w:rsidRPr="002751FC">
              <w:rPr>
                <w:rFonts w:asciiTheme="majorHAnsi" w:hAnsiTheme="majorHAnsi" w:cstheme="majorHAnsi"/>
                <w:color w:val="00B050"/>
                <w:sz w:val="20"/>
                <w:szCs w:val="20"/>
                <w:lang w:val="ro-MD"/>
              </w:rPr>
              <w:sym w:font="Wingdings" w:char="F0E9"/>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46,0</w:t>
            </w:r>
            <w:r w:rsidRPr="002751FC">
              <w:rPr>
                <w:rFonts w:asciiTheme="majorHAnsi" w:hAnsiTheme="majorHAnsi" w:cstheme="majorHAnsi"/>
                <w:color w:val="FF0000"/>
                <w:sz w:val="20"/>
                <w:szCs w:val="20"/>
                <w:lang w:val="ro-MD"/>
              </w:rPr>
              <w:sym w:font="Wingdings" w:char="F0EA"/>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38,0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402,0</w:t>
            </w:r>
            <w:r w:rsidRPr="002751FC">
              <w:rPr>
                <w:rFonts w:asciiTheme="majorHAnsi" w:hAnsiTheme="majorHAnsi" w:cstheme="majorHAnsi"/>
                <w:color w:val="FF0000"/>
                <w:sz w:val="20"/>
                <w:szCs w:val="20"/>
                <w:lang w:val="ro-MD"/>
              </w:rPr>
              <w:sym w:font="Wingdings" w:char="F0EA"/>
            </w:r>
          </w:p>
        </w:tc>
        <w:tc>
          <w:tcPr>
            <w:tcW w:w="875"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2535,9</w:t>
            </w:r>
            <w:r w:rsidRPr="002751FC">
              <w:rPr>
                <w:rFonts w:asciiTheme="majorHAnsi" w:hAnsiTheme="majorHAnsi" w:cstheme="majorHAnsi"/>
                <w:color w:val="00B050"/>
                <w:sz w:val="20"/>
                <w:szCs w:val="20"/>
                <w:lang w:val="ro-MD"/>
              </w:rPr>
              <w:sym w:font="Wingdings" w:char="F0E9"/>
            </w:r>
          </w:p>
        </w:tc>
      </w:tr>
      <w:tr w:rsidR="002B0C1F" w:rsidRPr="002751FC" w:rsidTr="00A44ED0">
        <w:trPr>
          <w:trHeight w:val="290"/>
        </w:trPr>
        <w:tc>
          <w:tcPr>
            <w:tcW w:w="597"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2017</w:t>
            </w:r>
          </w:p>
        </w:tc>
        <w:tc>
          <w:tcPr>
            <w:tcW w:w="82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702,0</w:t>
            </w:r>
            <w:r w:rsidRPr="002751FC">
              <w:rPr>
                <w:rFonts w:asciiTheme="majorHAnsi" w:hAnsiTheme="majorHAnsi" w:cstheme="majorHAnsi"/>
                <w:color w:val="00B050"/>
                <w:sz w:val="20"/>
                <w:szCs w:val="20"/>
                <w:lang w:val="ro-MD"/>
              </w:rPr>
              <w:sym w:font="Wingdings" w:char="F0E9"/>
            </w:r>
          </w:p>
        </w:tc>
        <w:tc>
          <w:tcPr>
            <w:tcW w:w="822"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153,0</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333,0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243,0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175,0</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203,0</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177,0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227,0</w:t>
            </w:r>
            <w:r w:rsidRPr="002751FC">
              <w:rPr>
                <w:rFonts w:asciiTheme="majorHAnsi" w:hAnsiTheme="majorHAnsi" w:cstheme="majorHAnsi"/>
                <w:color w:val="00B050"/>
                <w:sz w:val="20"/>
                <w:szCs w:val="20"/>
                <w:lang w:val="ro-MD"/>
              </w:rPr>
              <w:sym w:font="Wingdings" w:char="F0E9"/>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50,0</w:t>
            </w:r>
            <w:r w:rsidRPr="002751FC">
              <w:rPr>
                <w:rFonts w:asciiTheme="majorHAnsi" w:hAnsiTheme="majorHAnsi" w:cstheme="majorHAnsi"/>
                <w:color w:val="00B050"/>
                <w:sz w:val="20"/>
                <w:szCs w:val="20"/>
                <w:lang w:val="ro-MD"/>
              </w:rPr>
              <w:sym w:font="Wingdings" w:char="F0E9"/>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55,0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485,0</w:t>
            </w:r>
            <w:r w:rsidRPr="002751FC">
              <w:rPr>
                <w:rFonts w:asciiTheme="majorHAnsi" w:hAnsiTheme="majorHAnsi" w:cstheme="majorHAnsi"/>
                <w:color w:val="00B050"/>
                <w:sz w:val="20"/>
                <w:szCs w:val="20"/>
                <w:lang w:val="ro-MD"/>
              </w:rPr>
              <w:sym w:font="Wingdings" w:char="F0E9"/>
            </w:r>
          </w:p>
        </w:tc>
        <w:tc>
          <w:tcPr>
            <w:tcW w:w="875"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2802,6</w:t>
            </w:r>
            <w:r w:rsidRPr="002751FC">
              <w:rPr>
                <w:rFonts w:asciiTheme="majorHAnsi" w:hAnsiTheme="majorHAnsi" w:cstheme="majorHAnsi"/>
                <w:color w:val="00B050"/>
                <w:sz w:val="20"/>
                <w:szCs w:val="20"/>
                <w:lang w:val="ro-MD"/>
              </w:rPr>
              <w:sym w:font="Wingdings" w:char="F0E9"/>
            </w:r>
          </w:p>
        </w:tc>
      </w:tr>
      <w:tr w:rsidR="002B0C1F" w:rsidRPr="002751FC" w:rsidTr="00A44ED0">
        <w:trPr>
          <w:trHeight w:val="305"/>
        </w:trPr>
        <w:tc>
          <w:tcPr>
            <w:tcW w:w="597"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2018</w:t>
            </w:r>
          </w:p>
        </w:tc>
        <w:tc>
          <w:tcPr>
            <w:tcW w:w="82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653,0</w:t>
            </w:r>
            <w:r w:rsidRPr="002751FC">
              <w:rPr>
                <w:rFonts w:asciiTheme="majorHAnsi" w:hAnsiTheme="majorHAnsi" w:cstheme="majorHAnsi"/>
                <w:color w:val="FF0000"/>
                <w:sz w:val="20"/>
                <w:szCs w:val="20"/>
                <w:lang w:val="ro-MD"/>
              </w:rPr>
              <w:sym w:font="Wingdings" w:char="F0EA"/>
            </w:r>
          </w:p>
        </w:tc>
        <w:tc>
          <w:tcPr>
            <w:tcW w:w="822"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163,0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257,0</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277,0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218,0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212,0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171,0</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197,0</w:t>
            </w:r>
            <w:r w:rsidRPr="002751FC">
              <w:rPr>
                <w:rFonts w:asciiTheme="majorHAnsi" w:hAnsiTheme="majorHAnsi" w:cstheme="majorHAnsi"/>
                <w:color w:val="FF0000"/>
                <w:sz w:val="20"/>
                <w:szCs w:val="20"/>
                <w:lang w:val="ro-MD"/>
              </w:rPr>
              <w:sym w:font="Wingdings" w:char="F0EA"/>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81,0</w:t>
            </w:r>
            <w:r w:rsidRPr="002751FC">
              <w:rPr>
                <w:rFonts w:asciiTheme="majorHAnsi" w:hAnsiTheme="majorHAnsi" w:cstheme="majorHAnsi"/>
                <w:color w:val="00B050"/>
                <w:sz w:val="20"/>
                <w:szCs w:val="20"/>
                <w:lang w:val="ro-MD"/>
              </w:rPr>
              <w:sym w:font="Wingdings" w:char="F0E9"/>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67,0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530,0</w:t>
            </w:r>
            <w:r w:rsidRPr="002751FC">
              <w:rPr>
                <w:rFonts w:asciiTheme="majorHAnsi" w:hAnsiTheme="majorHAnsi" w:cstheme="majorHAnsi"/>
                <w:color w:val="00B050"/>
                <w:sz w:val="20"/>
                <w:szCs w:val="20"/>
                <w:lang w:val="ro-MD"/>
              </w:rPr>
              <w:sym w:font="Wingdings" w:char="F0E9"/>
            </w:r>
          </w:p>
        </w:tc>
        <w:tc>
          <w:tcPr>
            <w:tcW w:w="875"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2826,4</w:t>
            </w:r>
            <w:r w:rsidRPr="002751FC">
              <w:rPr>
                <w:rFonts w:asciiTheme="majorHAnsi" w:hAnsiTheme="majorHAnsi" w:cstheme="majorHAnsi"/>
                <w:color w:val="00B050"/>
                <w:sz w:val="20"/>
                <w:szCs w:val="20"/>
                <w:lang w:val="ro-MD"/>
              </w:rPr>
              <w:sym w:font="Wingdings" w:char="F0E9"/>
            </w:r>
          </w:p>
        </w:tc>
      </w:tr>
      <w:tr w:rsidR="002B0C1F" w:rsidRPr="002751FC" w:rsidTr="00A44ED0">
        <w:trPr>
          <w:trHeight w:val="305"/>
        </w:trPr>
        <w:tc>
          <w:tcPr>
            <w:tcW w:w="10441" w:type="dxa"/>
            <w:gridSpan w:val="13"/>
          </w:tcPr>
          <w:p w:rsidR="002B0C1F" w:rsidRPr="002751FC" w:rsidRDefault="006524F2" w:rsidP="00C347EB">
            <w:pPr>
              <w:pStyle w:val="ac"/>
              <w:jc w:val="center"/>
              <w:rPr>
                <w:rFonts w:asciiTheme="majorHAnsi" w:hAnsiTheme="majorHAnsi" w:cstheme="majorHAnsi"/>
                <w:b/>
                <w:sz w:val="20"/>
                <w:szCs w:val="20"/>
                <w:lang w:val="ro-MD"/>
              </w:rPr>
            </w:pPr>
            <w:r>
              <w:rPr>
                <w:rFonts w:asciiTheme="majorHAnsi" w:hAnsiTheme="majorHAnsi" w:cstheme="majorHAnsi"/>
                <w:b/>
                <w:sz w:val="20"/>
                <w:szCs w:val="20"/>
                <w:lang w:val="ro-MD"/>
              </w:rPr>
              <w:t xml:space="preserve">3. </w:t>
            </w:r>
            <w:r w:rsidR="002B0C1F" w:rsidRPr="002751FC">
              <w:rPr>
                <w:rFonts w:asciiTheme="majorHAnsi" w:hAnsiTheme="majorHAnsi" w:cstheme="majorHAnsi"/>
                <w:b/>
                <w:sz w:val="20"/>
                <w:szCs w:val="20"/>
                <w:lang w:val="ro-MD"/>
              </w:rPr>
              <w:t>Prețul mediu pentru 1 litru, MDL</w:t>
            </w:r>
          </w:p>
        </w:tc>
      </w:tr>
      <w:tr w:rsidR="002B0C1F" w:rsidRPr="002751FC" w:rsidTr="00A44ED0">
        <w:trPr>
          <w:trHeight w:val="305"/>
        </w:trPr>
        <w:tc>
          <w:tcPr>
            <w:tcW w:w="597"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2015</w:t>
            </w:r>
          </w:p>
        </w:tc>
        <w:tc>
          <w:tcPr>
            <w:tcW w:w="82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15,58</w:t>
            </w:r>
          </w:p>
        </w:tc>
        <w:tc>
          <w:tcPr>
            <w:tcW w:w="822"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10,82</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16,43</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14,37</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20,82</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33,83</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29,18</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43,85</w:t>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16,67</w:t>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28,00</w:t>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36,76</w:t>
            </w:r>
          </w:p>
        </w:tc>
        <w:tc>
          <w:tcPr>
            <w:tcW w:w="875"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X</w:t>
            </w:r>
          </w:p>
        </w:tc>
      </w:tr>
      <w:tr w:rsidR="002B0C1F" w:rsidRPr="002751FC" w:rsidTr="00A44ED0">
        <w:trPr>
          <w:trHeight w:val="305"/>
        </w:trPr>
        <w:tc>
          <w:tcPr>
            <w:tcW w:w="597"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2016</w:t>
            </w:r>
          </w:p>
        </w:tc>
        <w:tc>
          <w:tcPr>
            <w:tcW w:w="82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15,72</w:t>
            </w:r>
            <w:r w:rsidRPr="002751FC">
              <w:rPr>
                <w:rFonts w:asciiTheme="majorHAnsi" w:hAnsiTheme="majorHAnsi" w:cstheme="majorHAnsi"/>
                <w:color w:val="00B050"/>
                <w:sz w:val="20"/>
                <w:szCs w:val="20"/>
                <w:lang w:val="ro-MD"/>
              </w:rPr>
              <w:sym w:font="Wingdings" w:char="F0E9"/>
            </w:r>
          </w:p>
        </w:tc>
        <w:tc>
          <w:tcPr>
            <w:tcW w:w="822"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10,92</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13,89</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17,77</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23,27</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13,70</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30,72</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46,84</w:t>
            </w:r>
            <w:r w:rsidRPr="002751FC">
              <w:rPr>
                <w:rFonts w:asciiTheme="majorHAnsi" w:hAnsiTheme="majorHAnsi" w:cstheme="majorHAnsi"/>
                <w:color w:val="00B050"/>
                <w:sz w:val="20"/>
                <w:szCs w:val="20"/>
                <w:lang w:val="ro-MD"/>
              </w:rPr>
              <w:sym w:font="Wingdings" w:char="F0E9"/>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16,43</w:t>
            </w:r>
            <w:r w:rsidRPr="002751FC">
              <w:rPr>
                <w:rFonts w:asciiTheme="majorHAnsi" w:hAnsiTheme="majorHAnsi" w:cstheme="majorHAnsi"/>
                <w:color w:val="FF0000"/>
                <w:sz w:val="20"/>
                <w:szCs w:val="20"/>
                <w:lang w:val="ro-MD"/>
              </w:rPr>
              <w:sym w:font="Wingdings" w:char="F0EA"/>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20,00</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37,92</w:t>
            </w:r>
            <w:r w:rsidRPr="002751FC">
              <w:rPr>
                <w:rFonts w:asciiTheme="majorHAnsi" w:hAnsiTheme="majorHAnsi" w:cstheme="majorHAnsi"/>
                <w:color w:val="00B050"/>
                <w:sz w:val="20"/>
                <w:szCs w:val="20"/>
                <w:lang w:val="ro-MD"/>
              </w:rPr>
              <w:sym w:font="Wingdings" w:char="F0E9"/>
            </w:r>
          </w:p>
        </w:tc>
        <w:tc>
          <w:tcPr>
            <w:tcW w:w="875"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X</w:t>
            </w:r>
          </w:p>
        </w:tc>
      </w:tr>
      <w:tr w:rsidR="002B0C1F" w:rsidRPr="002751FC" w:rsidTr="00A44ED0">
        <w:trPr>
          <w:trHeight w:val="305"/>
        </w:trPr>
        <w:tc>
          <w:tcPr>
            <w:tcW w:w="597"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2017</w:t>
            </w:r>
          </w:p>
        </w:tc>
        <w:tc>
          <w:tcPr>
            <w:tcW w:w="82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14,87</w:t>
            </w:r>
            <w:r w:rsidRPr="002751FC">
              <w:rPr>
                <w:rFonts w:asciiTheme="majorHAnsi" w:hAnsiTheme="majorHAnsi" w:cstheme="majorHAnsi"/>
                <w:color w:val="FF0000"/>
                <w:sz w:val="20"/>
                <w:szCs w:val="20"/>
                <w:lang w:val="ro-MD"/>
              </w:rPr>
              <w:sym w:font="Wingdings" w:char="F0EA"/>
            </w:r>
          </w:p>
        </w:tc>
        <w:tc>
          <w:tcPr>
            <w:tcW w:w="822"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9,94</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17,16</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19,91</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22,44</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18,45</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29,50</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41,27</w:t>
            </w:r>
            <w:r w:rsidRPr="002751FC">
              <w:rPr>
                <w:rFonts w:asciiTheme="majorHAnsi" w:hAnsiTheme="majorHAnsi" w:cstheme="majorHAnsi"/>
                <w:color w:val="FF0000"/>
                <w:sz w:val="20"/>
                <w:szCs w:val="20"/>
                <w:lang w:val="ro-MD"/>
              </w:rPr>
              <w:sym w:font="Wingdings" w:char="F0EA"/>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15,15</w:t>
            </w:r>
            <w:r w:rsidRPr="002751FC">
              <w:rPr>
                <w:rFonts w:asciiTheme="majorHAnsi" w:hAnsiTheme="majorHAnsi" w:cstheme="majorHAnsi"/>
                <w:color w:val="FF0000"/>
                <w:sz w:val="20"/>
                <w:szCs w:val="20"/>
                <w:lang w:val="ro-MD"/>
              </w:rPr>
              <w:sym w:font="Wingdings" w:char="F0EA"/>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18,33</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36,47</w:t>
            </w:r>
            <w:r w:rsidRPr="002751FC">
              <w:rPr>
                <w:rFonts w:asciiTheme="majorHAnsi" w:hAnsiTheme="majorHAnsi" w:cstheme="majorHAnsi"/>
                <w:color w:val="FF0000"/>
                <w:sz w:val="20"/>
                <w:szCs w:val="20"/>
                <w:lang w:val="ro-MD"/>
              </w:rPr>
              <w:sym w:font="Wingdings" w:char="F0EA"/>
            </w:r>
          </w:p>
        </w:tc>
        <w:tc>
          <w:tcPr>
            <w:tcW w:w="875"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X</w:t>
            </w:r>
          </w:p>
        </w:tc>
      </w:tr>
      <w:tr w:rsidR="002B0C1F" w:rsidRPr="002751FC" w:rsidTr="00A44ED0">
        <w:trPr>
          <w:trHeight w:val="305"/>
        </w:trPr>
        <w:tc>
          <w:tcPr>
            <w:tcW w:w="597"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2018</w:t>
            </w:r>
          </w:p>
        </w:tc>
        <w:tc>
          <w:tcPr>
            <w:tcW w:w="82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13,30</w:t>
            </w:r>
            <w:r w:rsidRPr="002751FC">
              <w:rPr>
                <w:rFonts w:asciiTheme="majorHAnsi" w:hAnsiTheme="majorHAnsi" w:cstheme="majorHAnsi"/>
                <w:color w:val="FF0000"/>
                <w:sz w:val="20"/>
                <w:szCs w:val="20"/>
                <w:lang w:val="ro-MD"/>
              </w:rPr>
              <w:sym w:font="Wingdings" w:char="F0EA"/>
            </w:r>
          </w:p>
        </w:tc>
        <w:tc>
          <w:tcPr>
            <w:tcW w:w="822"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10,87</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19,47</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23,08</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22,02</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26,50</w:t>
            </w:r>
            <w:r w:rsidRPr="002751FC">
              <w:rPr>
                <w:rFonts w:asciiTheme="majorHAnsi" w:hAnsiTheme="majorHAnsi" w:cstheme="majorHAnsi"/>
                <w:color w:val="00B050"/>
                <w:sz w:val="20"/>
                <w:szCs w:val="20"/>
                <w:lang w:val="ro-MD"/>
              </w:rPr>
              <w:sym w:font="Wingdings" w:char="F0E9"/>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28,03</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32,83</w:t>
            </w:r>
            <w:r w:rsidRPr="002751FC">
              <w:rPr>
                <w:rFonts w:asciiTheme="majorHAnsi" w:hAnsiTheme="majorHAnsi" w:cstheme="majorHAnsi"/>
                <w:color w:val="FF0000"/>
                <w:sz w:val="20"/>
                <w:szCs w:val="20"/>
                <w:lang w:val="ro-MD"/>
              </w:rPr>
              <w:sym w:font="Wingdings" w:char="F0EA"/>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14,73</w:t>
            </w:r>
            <w:r w:rsidRPr="002751FC">
              <w:rPr>
                <w:rFonts w:asciiTheme="majorHAnsi" w:hAnsiTheme="majorHAnsi" w:cstheme="majorHAnsi"/>
                <w:color w:val="FF0000"/>
                <w:sz w:val="20"/>
                <w:szCs w:val="20"/>
                <w:lang w:val="ro-MD"/>
              </w:rPr>
              <w:sym w:font="Wingdings" w:char="F0EA"/>
            </w:r>
          </w:p>
        </w:tc>
        <w:tc>
          <w:tcPr>
            <w:tcW w:w="781"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16,75</w:t>
            </w:r>
            <w:r w:rsidRPr="002751FC">
              <w:rPr>
                <w:rFonts w:asciiTheme="majorHAnsi" w:hAnsiTheme="majorHAnsi" w:cstheme="majorHAnsi"/>
                <w:color w:val="FF0000"/>
                <w:sz w:val="20"/>
                <w:szCs w:val="20"/>
                <w:lang w:val="ro-MD"/>
              </w:rPr>
              <w:sym w:font="Wingdings" w:char="F0EA"/>
            </w:r>
          </w:p>
        </w:tc>
        <w:tc>
          <w:tcPr>
            <w:tcW w:w="823"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35,10</w:t>
            </w:r>
            <w:r w:rsidRPr="002751FC">
              <w:rPr>
                <w:rFonts w:asciiTheme="majorHAnsi" w:hAnsiTheme="majorHAnsi" w:cstheme="majorHAnsi"/>
                <w:color w:val="FF0000"/>
                <w:sz w:val="20"/>
                <w:szCs w:val="20"/>
                <w:lang w:val="ro-MD"/>
              </w:rPr>
              <w:sym w:font="Wingdings" w:char="F0EA"/>
            </w:r>
          </w:p>
        </w:tc>
        <w:tc>
          <w:tcPr>
            <w:tcW w:w="875" w:type="dxa"/>
          </w:tcPr>
          <w:p w:rsidR="002B0C1F" w:rsidRPr="002751FC" w:rsidRDefault="002B0C1F" w:rsidP="0018358D">
            <w:pPr>
              <w:rPr>
                <w:rFonts w:asciiTheme="majorHAnsi" w:hAnsiTheme="majorHAnsi" w:cstheme="majorHAnsi"/>
                <w:sz w:val="20"/>
                <w:szCs w:val="20"/>
                <w:lang w:val="ro-MD"/>
              </w:rPr>
            </w:pPr>
            <w:r w:rsidRPr="002751FC">
              <w:rPr>
                <w:rFonts w:asciiTheme="majorHAnsi" w:hAnsiTheme="majorHAnsi" w:cstheme="majorHAnsi"/>
                <w:sz w:val="20"/>
                <w:szCs w:val="20"/>
                <w:lang w:val="ro-MD"/>
              </w:rPr>
              <w:t>X</w:t>
            </w:r>
          </w:p>
        </w:tc>
      </w:tr>
    </w:tbl>
    <w:p w:rsidR="002B0C1F" w:rsidRPr="002751FC" w:rsidRDefault="002B0C1F" w:rsidP="00243401">
      <w:pPr>
        <w:spacing w:after="0"/>
        <w:rPr>
          <w:rFonts w:asciiTheme="majorHAnsi" w:hAnsiTheme="majorHAnsi" w:cstheme="majorHAnsi"/>
          <w:lang w:val="ro-MD"/>
        </w:rPr>
      </w:pPr>
      <w:r w:rsidRPr="002751FC">
        <w:rPr>
          <w:rFonts w:asciiTheme="majorHAnsi" w:hAnsiTheme="majorHAnsi" w:cstheme="majorHAnsi"/>
          <w:b/>
          <w:lang w:val="ro-MD"/>
        </w:rPr>
        <w:t>Sursa:</w:t>
      </w:r>
      <w:r w:rsidRPr="002751FC">
        <w:rPr>
          <w:rFonts w:asciiTheme="majorHAnsi" w:hAnsiTheme="majorHAnsi" w:cstheme="majorHAnsi"/>
          <w:lang w:val="ro-MD"/>
        </w:rPr>
        <w:t xml:space="preserve"> Datele SV și ONVV</w:t>
      </w:r>
      <w:r w:rsidR="00000574" w:rsidRPr="002751FC">
        <w:rPr>
          <w:rFonts w:asciiTheme="majorHAnsi" w:hAnsiTheme="majorHAnsi" w:cstheme="majorHAnsi"/>
          <w:lang w:val="ro-MD"/>
        </w:rPr>
        <w:t>.</w:t>
      </w:r>
    </w:p>
    <w:p w:rsidR="0048102A" w:rsidRPr="002751FC" w:rsidRDefault="0048102A" w:rsidP="00243401">
      <w:pPr>
        <w:spacing w:after="0"/>
        <w:rPr>
          <w:rFonts w:asciiTheme="majorHAnsi" w:hAnsiTheme="majorHAnsi" w:cstheme="majorHAnsi"/>
          <w:lang w:val="ro-MD"/>
        </w:rPr>
      </w:pP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Analiza volumelor de ex</w:t>
      </w:r>
      <w:r w:rsidR="002642E2" w:rsidRPr="002751FC">
        <w:rPr>
          <w:rFonts w:asciiTheme="majorHAnsi" w:hAnsiTheme="majorHAnsi" w:cstheme="majorHAnsi"/>
          <w:sz w:val="28"/>
          <w:szCs w:val="28"/>
          <w:lang w:val="ro-MD"/>
        </w:rPr>
        <w:t xml:space="preserve">porturi (cantitativ) denotă că evoluția </w:t>
      </w:r>
      <w:r w:rsidRPr="002751FC">
        <w:rPr>
          <w:rFonts w:asciiTheme="majorHAnsi" w:hAnsiTheme="majorHAnsi" w:cstheme="majorHAnsi"/>
          <w:sz w:val="28"/>
          <w:szCs w:val="28"/>
          <w:lang w:val="ro-MD"/>
        </w:rPr>
        <w:t xml:space="preserve">pe piețele de export este una neuniformă (Belarus, </w:t>
      </w:r>
      <w:r w:rsidR="002642E2" w:rsidRPr="002751FC">
        <w:rPr>
          <w:rFonts w:asciiTheme="majorHAnsi" w:hAnsiTheme="majorHAnsi" w:cstheme="majorHAnsi"/>
          <w:sz w:val="28"/>
          <w:szCs w:val="28"/>
          <w:lang w:val="ro-MD"/>
        </w:rPr>
        <w:t>Germania</w:t>
      </w:r>
      <w:r w:rsidRPr="002751FC">
        <w:rPr>
          <w:rFonts w:asciiTheme="majorHAnsi" w:hAnsiTheme="majorHAnsi" w:cstheme="majorHAnsi"/>
          <w:sz w:val="28"/>
          <w:szCs w:val="28"/>
          <w:lang w:val="ro-MD"/>
        </w:rPr>
        <w:t>, alte) sau chiar descendentă pentru ultimul a</w:t>
      </w:r>
      <w:r w:rsidR="002642E2" w:rsidRPr="002751FC">
        <w:rPr>
          <w:rFonts w:asciiTheme="majorHAnsi" w:hAnsiTheme="majorHAnsi" w:cstheme="majorHAnsi"/>
          <w:sz w:val="28"/>
          <w:szCs w:val="28"/>
          <w:lang w:val="ro-MD"/>
        </w:rPr>
        <w:t xml:space="preserve">n </w:t>
      </w:r>
      <w:r w:rsidR="002642E2" w:rsidRPr="002751FC">
        <w:rPr>
          <w:rFonts w:asciiTheme="majorHAnsi" w:hAnsiTheme="majorHAnsi" w:cstheme="majorHAnsi"/>
          <w:sz w:val="28"/>
          <w:szCs w:val="28"/>
          <w:lang w:val="ro-MD"/>
        </w:rPr>
        <w:lastRenderedPageBreak/>
        <w:t>(Georgia, Rom</w:t>
      </w:r>
      <w:r w:rsidR="008228A9" w:rsidRPr="002751FC">
        <w:rPr>
          <w:rFonts w:asciiTheme="majorHAnsi" w:hAnsiTheme="majorHAnsi" w:cstheme="majorHAnsi"/>
          <w:sz w:val="28"/>
          <w:szCs w:val="28"/>
          <w:lang w:val="ro-MD"/>
        </w:rPr>
        <w:t>â</w:t>
      </w:r>
      <w:r w:rsidR="002642E2" w:rsidRPr="002751FC">
        <w:rPr>
          <w:rFonts w:asciiTheme="majorHAnsi" w:hAnsiTheme="majorHAnsi" w:cstheme="majorHAnsi"/>
          <w:sz w:val="28"/>
          <w:szCs w:val="28"/>
          <w:lang w:val="ro-MD"/>
        </w:rPr>
        <w:t xml:space="preserve">nia, Ucraina), </w:t>
      </w:r>
      <w:r w:rsidRPr="002751FC">
        <w:rPr>
          <w:rFonts w:asciiTheme="majorHAnsi" w:hAnsiTheme="majorHAnsi" w:cstheme="majorHAnsi"/>
          <w:sz w:val="28"/>
          <w:szCs w:val="28"/>
          <w:lang w:val="ro-MD"/>
        </w:rPr>
        <w:t>ceea ce a influența</w:t>
      </w:r>
      <w:r w:rsidR="00256243" w:rsidRPr="002751FC">
        <w:rPr>
          <w:rFonts w:asciiTheme="majorHAnsi" w:hAnsiTheme="majorHAnsi" w:cstheme="majorHAnsi"/>
          <w:sz w:val="28"/>
          <w:szCs w:val="28"/>
          <w:lang w:val="ro-MD"/>
        </w:rPr>
        <w:t>t</w:t>
      </w:r>
      <w:r w:rsidRPr="002751FC">
        <w:rPr>
          <w:rFonts w:asciiTheme="majorHAnsi" w:hAnsiTheme="majorHAnsi" w:cstheme="majorHAnsi"/>
          <w:sz w:val="28"/>
          <w:szCs w:val="28"/>
          <w:lang w:val="ro-MD"/>
        </w:rPr>
        <w:t xml:space="preserve"> și diminuarea per total a cantităților de vin</w:t>
      </w:r>
      <w:r w:rsidR="008228A9" w:rsidRPr="002751FC">
        <w:rPr>
          <w:rFonts w:asciiTheme="majorHAnsi" w:hAnsiTheme="majorHAnsi" w:cstheme="majorHAnsi"/>
          <w:sz w:val="28"/>
          <w:szCs w:val="28"/>
          <w:lang w:val="ro-MD"/>
        </w:rPr>
        <w:t>uri</w:t>
      </w:r>
      <w:r w:rsidRPr="002751FC">
        <w:rPr>
          <w:rFonts w:asciiTheme="majorHAnsi" w:hAnsiTheme="majorHAnsi" w:cstheme="majorHAnsi"/>
          <w:sz w:val="28"/>
          <w:szCs w:val="28"/>
          <w:lang w:val="ro-MD"/>
        </w:rPr>
        <w:t xml:space="preserve"> exportate </w:t>
      </w:r>
      <w:r w:rsidR="002642E2" w:rsidRPr="002751FC">
        <w:rPr>
          <w:rFonts w:asciiTheme="majorHAnsi" w:hAnsiTheme="majorHAnsi" w:cstheme="majorHAnsi"/>
          <w:sz w:val="28"/>
          <w:szCs w:val="28"/>
          <w:lang w:val="ro-MD"/>
        </w:rPr>
        <w:t xml:space="preserve">în anul 2018 față de anul 2017 </w:t>
      </w:r>
      <w:r w:rsidRPr="002751FC">
        <w:rPr>
          <w:rFonts w:asciiTheme="majorHAnsi" w:hAnsiTheme="majorHAnsi" w:cstheme="majorHAnsi"/>
          <w:sz w:val="28"/>
          <w:szCs w:val="28"/>
          <w:lang w:val="ro-MD"/>
        </w:rPr>
        <w:t xml:space="preserve">cu 0,4 </w:t>
      </w:r>
      <w:proofErr w:type="spellStart"/>
      <w:r w:rsidRPr="002751FC">
        <w:rPr>
          <w:rFonts w:asciiTheme="majorHAnsi" w:hAnsiTheme="majorHAnsi" w:cstheme="majorHAnsi"/>
          <w:sz w:val="28"/>
          <w:szCs w:val="28"/>
          <w:lang w:val="ro-MD"/>
        </w:rPr>
        <w:t>mil.litri</w:t>
      </w:r>
      <w:proofErr w:type="spellEnd"/>
      <w:r w:rsidR="008228A9"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sau cu 0,3%. Diminuarea </w:t>
      </w:r>
      <w:r w:rsidR="005D4584" w:rsidRPr="002751FC">
        <w:rPr>
          <w:rFonts w:asciiTheme="majorHAnsi" w:hAnsiTheme="majorHAnsi" w:cstheme="majorHAnsi"/>
          <w:sz w:val="28"/>
          <w:szCs w:val="28"/>
          <w:lang w:val="ro-MD"/>
        </w:rPr>
        <w:t>cantității</w:t>
      </w:r>
      <w:r w:rsidRPr="002751FC">
        <w:rPr>
          <w:rFonts w:asciiTheme="majorHAnsi" w:hAnsiTheme="majorHAnsi" w:cstheme="majorHAnsi"/>
          <w:sz w:val="28"/>
          <w:szCs w:val="28"/>
          <w:lang w:val="ro-MD"/>
        </w:rPr>
        <w:t xml:space="preserve"> vinurilor exportate nu a influențat per total volumul valoric al exporturilor, acesta </w:t>
      </w:r>
      <w:r w:rsidR="002642E2" w:rsidRPr="002751FC">
        <w:rPr>
          <w:rFonts w:asciiTheme="majorHAnsi" w:hAnsiTheme="majorHAnsi" w:cstheme="majorHAnsi"/>
          <w:sz w:val="28"/>
          <w:szCs w:val="28"/>
          <w:lang w:val="ro-MD"/>
        </w:rPr>
        <w:t>înregistrând</w:t>
      </w:r>
      <w:r w:rsidRPr="002751FC">
        <w:rPr>
          <w:rFonts w:asciiTheme="majorHAnsi" w:hAnsiTheme="majorHAnsi" w:cstheme="majorHAnsi"/>
          <w:sz w:val="28"/>
          <w:szCs w:val="28"/>
          <w:lang w:val="ro-MD"/>
        </w:rPr>
        <w:t xml:space="preserve"> față de anul 2017 o creștere de 23,8 </w:t>
      </w:r>
      <w:proofErr w:type="spellStart"/>
      <w:r w:rsidRPr="002751FC">
        <w:rPr>
          <w:rFonts w:asciiTheme="majorHAnsi" w:hAnsiTheme="majorHAnsi" w:cstheme="majorHAnsi"/>
          <w:sz w:val="28"/>
          <w:szCs w:val="28"/>
          <w:lang w:val="ro-MD"/>
        </w:rPr>
        <w:t>mil.MDL</w:t>
      </w:r>
      <w:proofErr w:type="spellEnd"/>
      <w:r w:rsidR="008228A9"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sau cu 0,8%. </w:t>
      </w:r>
    </w:p>
    <w:p w:rsidR="0048102A" w:rsidRPr="002751FC" w:rsidRDefault="0048102A" w:rsidP="00243401">
      <w:pPr>
        <w:spacing w:after="0"/>
        <w:jc w:val="both"/>
        <w:rPr>
          <w:rFonts w:asciiTheme="majorHAnsi" w:hAnsiTheme="majorHAnsi" w:cstheme="majorHAnsi"/>
          <w:sz w:val="28"/>
          <w:szCs w:val="28"/>
          <w:lang w:val="ro-MD"/>
        </w:rPr>
      </w:pPr>
    </w:p>
    <w:p w:rsidR="0048102A" w:rsidRPr="002751FC" w:rsidRDefault="002B0C1F" w:rsidP="00243401">
      <w:pPr>
        <w:spacing w:after="0"/>
        <w:jc w:val="both"/>
        <w:rPr>
          <w:rFonts w:asciiTheme="majorHAnsi" w:hAnsiTheme="majorHAnsi" w:cstheme="majorHAnsi"/>
          <w:i/>
          <w:sz w:val="28"/>
          <w:szCs w:val="28"/>
          <w:lang w:val="ro-MD"/>
        </w:rPr>
      </w:pPr>
      <w:r w:rsidRPr="002751FC">
        <w:rPr>
          <w:rFonts w:asciiTheme="majorHAnsi" w:hAnsiTheme="majorHAnsi" w:cstheme="majorHAnsi"/>
          <w:sz w:val="28"/>
          <w:szCs w:val="28"/>
          <w:lang w:val="ro-MD"/>
        </w:rPr>
        <w:t xml:space="preserve">Evoluția exportului vinurilor </w:t>
      </w:r>
      <w:r w:rsidR="002642E2" w:rsidRPr="002751FC">
        <w:rPr>
          <w:rFonts w:asciiTheme="majorHAnsi" w:hAnsiTheme="majorHAnsi" w:cstheme="majorHAnsi"/>
          <w:sz w:val="28"/>
          <w:szCs w:val="28"/>
          <w:lang w:val="ro-MD"/>
        </w:rPr>
        <w:t>îmbuteliat</w:t>
      </w:r>
      <w:r w:rsidR="00256243" w:rsidRPr="002751FC">
        <w:rPr>
          <w:rFonts w:asciiTheme="majorHAnsi" w:hAnsiTheme="majorHAnsi" w:cstheme="majorHAnsi"/>
          <w:sz w:val="28"/>
          <w:szCs w:val="28"/>
          <w:lang w:val="ro-MD"/>
        </w:rPr>
        <w:t>e</w:t>
      </w:r>
      <w:r w:rsidRPr="002751FC">
        <w:rPr>
          <w:rFonts w:asciiTheme="majorHAnsi" w:hAnsiTheme="majorHAnsi" w:cstheme="majorHAnsi"/>
          <w:sz w:val="28"/>
          <w:szCs w:val="28"/>
          <w:lang w:val="ro-MD"/>
        </w:rPr>
        <w:t xml:space="preserve"> și </w:t>
      </w:r>
      <w:r w:rsidR="00256243" w:rsidRPr="002751FC">
        <w:rPr>
          <w:rFonts w:asciiTheme="majorHAnsi" w:hAnsiTheme="majorHAnsi" w:cstheme="majorHAnsi"/>
          <w:sz w:val="28"/>
          <w:szCs w:val="28"/>
          <w:lang w:val="ro-MD"/>
        </w:rPr>
        <w:t xml:space="preserve">în </w:t>
      </w:r>
      <w:r w:rsidRPr="002751FC">
        <w:rPr>
          <w:rFonts w:asciiTheme="majorHAnsi" w:hAnsiTheme="majorHAnsi" w:cstheme="majorHAnsi"/>
          <w:sz w:val="28"/>
          <w:szCs w:val="28"/>
          <w:lang w:val="ro-MD"/>
        </w:rPr>
        <w:t>vra</w:t>
      </w:r>
      <w:r w:rsidR="002642E2" w:rsidRPr="002751FC">
        <w:rPr>
          <w:rFonts w:asciiTheme="majorHAnsi" w:hAnsiTheme="majorHAnsi" w:cstheme="majorHAnsi"/>
          <w:sz w:val="28"/>
          <w:szCs w:val="28"/>
          <w:lang w:val="ro-MD"/>
        </w:rPr>
        <w:t>c</w:t>
      </w:r>
      <w:r w:rsidRPr="002751FC">
        <w:rPr>
          <w:rFonts w:asciiTheme="majorHAnsi" w:hAnsiTheme="majorHAnsi" w:cstheme="majorHAnsi"/>
          <w:sz w:val="28"/>
          <w:szCs w:val="28"/>
          <w:lang w:val="ro-MD"/>
        </w:rPr>
        <w:t xml:space="preserve"> denotă că ponderea majoră în </w:t>
      </w:r>
      <w:proofErr w:type="spellStart"/>
      <w:r w:rsidRPr="002751FC">
        <w:rPr>
          <w:rFonts w:asciiTheme="majorHAnsi" w:hAnsiTheme="majorHAnsi" w:cstheme="majorHAnsi"/>
          <w:sz w:val="28"/>
          <w:szCs w:val="28"/>
          <w:lang w:val="ro-MD"/>
        </w:rPr>
        <w:t>mil.litri</w:t>
      </w:r>
      <w:proofErr w:type="spellEnd"/>
      <w:r w:rsidRPr="002751FC">
        <w:rPr>
          <w:rFonts w:asciiTheme="majorHAnsi" w:hAnsiTheme="majorHAnsi" w:cstheme="majorHAnsi"/>
          <w:sz w:val="28"/>
          <w:szCs w:val="28"/>
          <w:lang w:val="ro-MD"/>
        </w:rPr>
        <w:t xml:space="preserve"> revine celor exportate în vra</w:t>
      </w:r>
      <w:r w:rsidR="002642E2" w:rsidRPr="002751FC">
        <w:rPr>
          <w:rFonts w:asciiTheme="majorHAnsi" w:hAnsiTheme="majorHAnsi" w:cstheme="majorHAnsi"/>
          <w:sz w:val="28"/>
          <w:szCs w:val="28"/>
          <w:lang w:val="ro-MD"/>
        </w:rPr>
        <w:t>c</w:t>
      </w:r>
      <w:r w:rsidRPr="002751FC">
        <w:rPr>
          <w:rFonts w:asciiTheme="majorHAnsi" w:hAnsiTheme="majorHAnsi" w:cstheme="majorHAnsi"/>
          <w:sz w:val="28"/>
          <w:szCs w:val="28"/>
          <w:lang w:val="ro-MD"/>
        </w:rPr>
        <w:t>, care în anul 2018 a constituit pentru v</w:t>
      </w:r>
      <w:r w:rsidR="002642E2" w:rsidRPr="002751FC">
        <w:rPr>
          <w:rFonts w:asciiTheme="majorHAnsi" w:hAnsiTheme="majorHAnsi" w:cstheme="majorHAnsi"/>
          <w:sz w:val="28"/>
          <w:szCs w:val="28"/>
          <w:lang w:val="ro-MD"/>
        </w:rPr>
        <w:t>i</w:t>
      </w:r>
      <w:r w:rsidRPr="002751FC">
        <w:rPr>
          <w:rFonts w:asciiTheme="majorHAnsi" w:hAnsiTheme="majorHAnsi" w:cstheme="majorHAnsi"/>
          <w:sz w:val="28"/>
          <w:szCs w:val="28"/>
          <w:lang w:val="ro-MD"/>
        </w:rPr>
        <w:t>nuri</w:t>
      </w:r>
      <w:r w:rsidR="008228A9" w:rsidRPr="002751FC">
        <w:rPr>
          <w:rFonts w:asciiTheme="majorHAnsi" w:hAnsiTheme="majorHAnsi" w:cstheme="majorHAnsi"/>
          <w:sz w:val="28"/>
          <w:szCs w:val="28"/>
          <w:lang w:val="ro-MD"/>
        </w:rPr>
        <w:t>le</w:t>
      </w:r>
      <w:r w:rsidRPr="002751FC">
        <w:rPr>
          <w:rFonts w:asciiTheme="majorHAnsi" w:hAnsiTheme="majorHAnsi" w:cstheme="majorHAnsi"/>
          <w:sz w:val="28"/>
          <w:szCs w:val="28"/>
          <w:lang w:val="ro-MD"/>
        </w:rPr>
        <w:t xml:space="preserve"> cu BY</w:t>
      </w:r>
      <w:r w:rsidRPr="002751FC">
        <w:rPr>
          <w:rStyle w:val="ab"/>
          <w:rFonts w:asciiTheme="majorHAnsi" w:hAnsiTheme="majorHAnsi" w:cstheme="majorHAnsi"/>
          <w:sz w:val="28"/>
          <w:szCs w:val="28"/>
          <w:lang w:val="ro-MD"/>
        </w:rPr>
        <w:footnoteReference w:id="116"/>
      </w:r>
      <w:r w:rsidRPr="002751FC">
        <w:rPr>
          <w:rFonts w:asciiTheme="majorHAnsi" w:hAnsiTheme="majorHAnsi" w:cstheme="majorHAnsi"/>
          <w:sz w:val="28"/>
          <w:szCs w:val="28"/>
          <w:lang w:val="ro-MD"/>
        </w:rPr>
        <w:t xml:space="preserve"> – 67%, iar pentru vinuri</w:t>
      </w:r>
      <w:r w:rsidR="006524F2">
        <w:rPr>
          <w:rFonts w:asciiTheme="majorHAnsi" w:hAnsiTheme="majorHAnsi" w:cstheme="majorHAnsi"/>
          <w:sz w:val="28"/>
          <w:szCs w:val="28"/>
          <w:lang w:val="ro-MD"/>
        </w:rPr>
        <w:t>le</w:t>
      </w:r>
      <w:r w:rsidRPr="002751FC">
        <w:rPr>
          <w:rFonts w:asciiTheme="majorHAnsi" w:hAnsiTheme="majorHAnsi" w:cstheme="majorHAnsi"/>
          <w:sz w:val="28"/>
          <w:szCs w:val="28"/>
          <w:lang w:val="ro-MD"/>
        </w:rPr>
        <w:t xml:space="preserve"> fără BY – 55%. </w:t>
      </w:r>
      <w:r w:rsidRPr="002751FC">
        <w:rPr>
          <w:rFonts w:asciiTheme="majorHAnsi" w:hAnsiTheme="majorHAnsi" w:cstheme="majorHAnsi"/>
          <w:i/>
          <w:sz w:val="28"/>
          <w:szCs w:val="28"/>
          <w:lang w:val="ro-MD"/>
        </w:rPr>
        <w:t xml:space="preserve">Dinamica exporturilor </w:t>
      </w:r>
      <w:r w:rsidR="006524F2">
        <w:rPr>
          <w:rFonts w:asciiTheme="majorHAnsi" w:hAnsiTheme="majorHAnsi" w:cstheme="majorHAnsi"/>
          <w:i/>
          <w:sz w:val="28"/>
          <w:szCs w:val="28"/>
          <w:lang w:val="ro-MD"/>
        </w:rPr>
        <w:t xml:space="preserve">de </w:t>
      </w:r>
      <w:r w:rsidRPr="002751FC">
        <w:rPr>
          <w:rFonts w:asciiTheme="majorHAnsi" w:hAnsiTheme="majorHAnsi" w:cstheme="majorHAnsi"/>
          <w:i/>
          <w:sz w:val="28"/>
          <w:szCs w:val="28"/>
          <w:lang w:val="ro-MD"/>
        </w:rPr>
        <w:t>vinuri îmbuteliat</w:t>
      </w:r>
      <w:r w:rsidR="008228A9" w:rsidRPr="002751FC">
        <w:rPr>
          <w:rFonts w:asciiTheme="majorHAnsi" w:hAnsiTheme="majorHAnsi" w:cstheme="majorHAnsi"/>
          <w:i/>
          <w:sz w:val="28"/>
          <w:szCs w:val="28"/>
          <w:lang w:val="ro-MD"/>
        </w:rPr>
        <w:t>e</w:t>
      </w:r>
      <w:r w:rsidRPr="002751FC">
        <w:rPr>
          <w:rFonts w:asciiTheme="majorHAnsi" w:hAnsiTheme="majorHAnsi" w:cstheme="majorHAnsi"/>
          <w:i/>
          <w:sz w:val="28"/>
          <w:szCs w:val="28"/>
          <w:lang w:val="ro-MD"/>
        </w:rPr>
        <w:t xml:space="preserve"> și în vra</w:t>
      </w:r>
      <w:r w:rsidR="000F5C7A" w:rsidRPr="002751FC">
        <w:rPr>
          <w:rFonts w:asciiTheme="majorHAnsi" w:hAnsiTheme="majorHAnsi" w:cstheme="majorHAnsi"/>
          <w:i/>
          <w:sz w:val="28"/>
          <w:szCs w:val="28"/>
          <w:lang w:val="ro-MD"/>
        </w:rPr>
        <w:t>c</w:t>
      </w:r>
      <w:r w:rsidRPr="002751FC">
        <w:rPr>
          <w:rFonts w:asciiTheme="majorHAnsi" w:hAnsiTheme="majorHAnsi" w:cstheme="majorHAnsi"/>
          <w:i/>
          <w:sz w:val="28"/>
          <w:szCs w:val="28"/>
          <w:lang w:val="ro-MD"/>
        </w:rPr>
        <w:t xml:space="preserve"> se prezintă în </w:t>
      </w:r>
      <w:r w:rsidR="006524F2">
        <w:rPr>
          <w:rFonts w:asciiTheme="majorHAnsi" w:hAnsiTheme="majorHAnsi" w:cstheme="majorHAnsi"/>
          <w:i/>
          <w:sz w:val="28"/>
          <w:szCs w:val="28"/>
          <w:lang w:val="ro-MD"/>
        </w:rPr>
        <w:t>t</w:t>
      </w:r>
      <w:r w:rsidRPr="002751FC">
        <w:rPr>
          <w:rFonts w:asciiTheme="majorHAnsi" w:hAnsiTheme="majorHAnsi" w:cstheme="majorHAnsi"/>
          <w:i/>
          <w:sz w:val="28"/>
          <w:szCs w:val="28"/>
          <w:lang w:val="ro-MD"/>
        </w:rPr>
        <w:t>abelul de mai jos.</w:t>
      </w:r>
    </w:p>
    <w:p w:rsidR="0048102A" w:rsidRPr="002751FC" w:rsidRDefault="002B0C1F" w:rsidP="0048102A">
      <w:pPr>
        <w:spacing w:after="0"/>
        <w:jc w:val="right"/>
        <w:rPr>
          <w:rFonts w:asciiTheme="majorHAnsi" w:hAnsiTheme="majorHAnsi" w:cstheme="majorHAnsi"/>
          <w:b/>
          <w:lang w:val="ro-MD"/>
        </w:rPr>
      </w:pPr>
      <w:r w:rsidRPr="002751FC">
        <w:rPr>
          <w:rFonts w:asciiTheme="majorHAnsi" w:hAnsiTheme="majorHAnsi" w:cstheme="majorHAnsi"/>
          <w:b/>
          <w:lang w:val="ro-MD"/>
        </w:rPr>
        <w:t>Tabelul nr.1</w:t>
      </w:r>
      <w:r w:rsidR="001C03CB" w:rsidRPr="002751FC">
        <w:rPr>
          <w:rFonts w:asciiTheme="majorHAnsi" w:hAnsiTheme="majorHAnsi" w:cstheme="majorHAnsi"/>
          <w:b/>
          <w:lang w:val="ro-MD"/>
        </w:rPr>
        <w:t>5</w:t>
      </w:r>
    </w:p>
    <w:p w:rsidR="002B0C1F" w:rsidRPr="002751FC" w:rsidRDefault="002B0C1F" w:rsidP="007A369A">
      <w:pPr>
        <w:spacing w:after="0"/>
        <w:jc w:val="center"/>
        <w:rPr>
          <w:rFonts w:asciiTheme="majorHAnsi" w:hAnsiTheme="majorHAnsi" w:cstheme="majorHAnsi"/>
          <w:b/>
          <w:lang w:val="ro-MD"/>
        </w:rPr>
      </w:pPr>
      <w:r w:rsidRPr="002751FC">
        <w:rPr>
          <w:rFonts w:asciiTheme="majorHAnsi" w:hAnsiTheme="majorHAnsi" w:cstheme="majorHAnsi"/>
          <w:b/>
          <w:lang w:val="ro-MD"/>
        </w:rPr>
        <w:t xml:space="preserve">Dinamica exporturilor </w:t>
      </w:r>
      <w:r w:rsidR="008228A9" w:rsidRPr="002751FC">
        <w:rPr>
          <w:rFonts w:asciiTheme="majorHAnsi" w:hAnsiTheme="majorHAnsi" w:cstheme="majorHAnsi"/>
          <w:b/>
          <w:lang w:val="ro-MD"/>
        </w:rPr>
        <w:t xml:space="preserve">de </w:t>
      </w:r>
      <w:r w:rsidRPr="002751FC">
        <w:rPr>
          <w:rFonts w:asciiTheme="majorHAnsi" w:hAnsiTheme="majorHAnsi" w:cstheme="majorHAnsi"/>
          <w:b/>
          <w:lang w:val="ro-MD"/>
        </w:rPr>
        <w:t>vinuri îmbuteliat</w:t>
      </w:r>
      <w:r w:rsidR="00A26224" w:rsidRPr="002751FC">
        <w:rPr>
          <w:rFonts w:asciiTheme="majorHAnsi" w:hAnsiTheme="majorHAnsi" w:cstheme="majorHAnsi"/>
          <w:b/>
          <w:lang w:val="ro-MD"/>
        </w:rPr>
        <w:t>e</w:t>
      </w:r>
      <w:r w:rsidRPr="002751FC">
        <w:rPr>
          <w:rFonts w:asciiTheme="majorHAnsi" w:hAnsiTheme="majorHAnsi" w:cstheme="majorHAnsi"/>
          <w:b/>
          <w:lang w:val="ro-MD"/>
        </w:rPr>
        <w:t xml:space="preserve"> și în vra</w:t>
      </w:r>
      <w:r w:rsidR="000F5C7A" w:rsidRPr="002751FC">
        <w:rPr>
          <w:rFonts w:asciiTheme="majorHAnsi" w:hAnsiTheme="majorHAnsi" w:cstheme="majorHAnsi"/>
          <w:b/>
          <w:lang w:val="ro-MD"/>
        </w:rPr>
        <w:t>c</w:t>
      </w:r>
    </w:p>
    <w:tbl>
      <w:tblPr>
        <w:tblStyle w:val="ae"/>
        <w:tblW w:w="10727" w:type="dxa"/>
        <w:tblInd w:w="-601" w:type="dxa"/>
        <w:tblLook w:val="04A0" w:firstRow="1" w:lastRow="0" w:firstColumn="1" w:lastColumn="0" w:noHBand="0" w:noVBand="1"/>
      </w:tblPr>
      <w:tblGrid>
        <w:gridCol w:w="1177"/>
        <w:gridCol w:w="842"/>
        <w:gridCol w:w="776"/>
        <w:gridCol w:w="843"/>
        <w:gridCol w:w="776"/>
        <w:gridCol w:w="873"/>
        <w:gridCol w:w="790"/>
        <w:gridCol w:w="741"/>
        <w:gridCol w:w="776"/>
        <w:gridCol w:w="772"/>
        <w:gridCol w:w="776"/>
        <w:gridCol w:w="873"/>
        <w:gridCol w:w="712"/>
      </w:tblGrid>
      <w:tr w:rsidR="002B0C1F" w:rsidRPr="002751FC" w:rsidTr="00D76F22">
        <w:trPr>
          <w:trHeight w:val="263"/>
        </w:trPr>
        <w:tc>
          <w:tcPr>
            <w:tcW w:w="1177" w:type="dxa"/>
            <w:vMerge w:val="restart"/>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Indicatorii</w:t>
            </w:r>
          </w:p>
        </w:tc>
        <w:tc>
          <w:tcPr>
            <w:tcW w:w="4900" w:type="dxa"/>
            <w:gridSpan w:val="6"/>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 xml:space="preserve">Valoare, </w:t>
            </w:r>
            <w:proofErr w:type="spellStart"/>
            <w:r w:rsidRPr="002751FC">
              <w:rPr>
                <w:rFonts w:asciiTheme="majorHAnsi" w:hAnsiTheme="majorHAnsi" w:cstheme="majorHAnsi"/>
                <w:b/>
                <w:sz w:val="20"/>
                <w:szCs w:val="20"/>
                <w:lang w:val="ro-MD"/>
              </w:rPr>
              <w:t>mil.MDL</w:t>
            </w:r>
            <w:proofErr w:type="spellEnd"/>
          </w:p>
        </w:tc>
        <w:tc>
          <w:tcPr>
            <w:tcW w:w="4650" w:type="dxa"/>
            <w:gridSpan w:val="6"/>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 xml:space="preserve">Volum, </w:t>
            </w:r>
            <w:proofErr w:type="spellStart"/>
            <w:r w:rsidRPr="002751FC">
              <w:rPr>
                <w:rFonts w:asciiTheme="majorHAnsi" w:hAnsiTheme="majorHAnsi" w:cstheme="majorHAnsi"/>
                <w:b/>
                <w:sz w:val="20"/>
                <w:szCs w:val="20"/>
                <w:lang w:val="ro-MD"/>
              </w:rPr>
              <w:t>mil.litri</w:t>
            </w:r>
            <w:proofErr w:type="spellEnd"/>
          </w:p>
        </w:tc>
      </w:tr>
      <w:tr w:rsidR="002B0C1F" w:rsidRPr="002751FC" w:rsidTr="00D76F22">
        <w:trPr>
          <w:trHeight w:val="140"/>
        </w:trPr>
        <w:tc>
          <w:tcPr>
            <w:tcW w:w="1177" w:type="dxa"/>
            <w:vMerge/>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p>
        </w:tc>
        <w:tc>
          <w:tcPr>
            <w:tcW w:w="842" w:type="dxa"/>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2017</w:t>
            </w:r>
          </w:p>
        </w:tc>
        <w:tc>
          <w:tcPr>
            <w:tcW w:w="776" w:type="dxa"/>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w:t>
            </w:r>
          </w:p>
        </w:tc>
        <w:tc>
          <w:tcPr>
            <w:tcW w:w="843" w:type="dxa"/>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2018</w:t>
            </w:r>
          </w:p>
        </w:tc>
        <w:tc>
          <w:tcPr>
            <w:tcW w:w="776" w:type="dxa"/>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w:t>
            </w:r>
          </w:p>
        </w:tc>
        <w:tc>
          <w:tcPr>
            <w:tcW w:w="873" w:type="dxa"/>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devieri</w:t>
            </w:r>
          </w:p>
        </w:tc>
        <w:tc>
          <w:tcPr>
            <w:tcW w:w="790" w:type="dxa"/>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w:t>
            </w:r>
          </w:p>
        </w:tc>
        <w:tc>
          <w:tcPr>
            <w:tcW w:w="741" w:type="dxa"/>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2017</w:t>
            </w:r>
          </w:p>
        </w:tc>
        <w:tc>
          <w:tcPr>
            <w:tcW w:w="776" w:type="dxa"/>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w:t>
            </w:r>
          </w:p>
        </w:tc>
        <w:tc>
          <w:tcPr>
            <w:tcW w:w="772" w:type="dxa"/>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2018</w:t>
            </w:r>
          </w:p>
        </w:tc>
        <w:tc>
          <w:tcPr>
            <w:tcW w:w="776" w:type="dxa"/>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w:t>
            </w:r>
          </w:p>
        </w:tc>
        <w:tc>
          <w:tcPr>
            <w:tcW w:w="873" w:type="dxa"/>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devieri</w:t>
            </w:r>
          </w:p>
        </w:tc>
        <w:tc>
          <w:tcPr>
            <w:tcW w:w="712" w:type="dxa"/>
            <w:shd w:val="clear" w:color="auto" w:fill="DEEAF6" w:themeFill="accent1" w:themeFillTint="33"/>
            <w:vAlign w:val="center"/>
          </w:tcPr>
          <w:p w:rsidR="002B0C1F" w:rsidRPr="002751FC" w:rsidRDefault="002B0C1F" w:rsidP="00D76F22">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w:t>
            </w:r>
          </w:p>
        </w:tc>
      </w:tr>
      <w:tr w:rsidR="002B0C1F" w:rsidRPr="002751FC" w:rsidTr="008E6A80">
        <w:trPr>
          <w:trHeight w:val="248"/>
        </w:trPr>
        <w:tc>
          <w:tcPr>
            <w:tcW w:w="10727" w:type="dxa"/>
            <w:gridSpan w:val="13"/>
          </w:tcPr>
          <w:p w:rsidR="002B0C1F" w:rsidRPr="002751FC" w:rsidRDefault="002B0C1F" w:rsidP="007A369A">
            <w:pPr>
              <w:pStyle w:val="ac"/>
              <w:numPr>
                <w:ilvl w:val="0"/>
                <w:numId w:val="17"/>
              </w:num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Cu BY</w:t>
            </w:r>
          </w:p>
        </w:tc>
      </w:tr>
      <w:tr w:rsidR="002B0C1F" w:rsidRPr="002751FC" w:rsidTr="00D76F22">
        <w:trPr>
          <w:trHeight w:val="263"/>
        </w:trPr>
        <w:tc>
          <w:tcPr>
            <w:tcW w:w="1177" w:type="dxa"/>
          </w:tcPr>
          <w:p w:rsidR="002B0C1F" w:rsidRPr="002751FC" w:rsidRDefault="002B0C1F" w:rsidP="007A369A">
            <w:pPr>
              <w:rPr>
                <w:rFonts w:asciiTheme="majorHAnsi" w:hAnsiTheme="majorHAnsi" w:cstheme="majorHAnsi"/>
                <w:sz w:val="20"/>
                <w:szCs w:val="20"/>
                <w:lang w:val="ro-MD"/>
              </w:rPr>
            </w:pPr>
            <w:r w:rsidRPr="002751FC">
              <w:rPr>
                <w:rFonts w:asciiTheme="majorHAnsi" w:hAnsiTheme="majorHAnsi" w:cstheme="majorHAnsi"/>
                <w:sz w:val="20"/>
                <w:szCs w:val="20"/>
                <w:lang w:val="ro-MD"/>
              </w:rPr>
              <w:t>Îmbuteliat</w:t>
            </w:r>
          </w:p>
        </w:tc>
        <w:tc>
          <w:tcPr>
            <w:tcW w:w="842"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1798,2</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64,2%</w:t>
            </w:r>
          </w:p>
        </w:tc>
        <w:tc>
          <w:tcPr>
            <w:tcW w:w="843"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1826,6</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64,6%</w:t>
            </w:r>
          </w:p>
        </w:tc>
        <w:tc>
          <w:tcPr>
            <w:tcW w:w="873"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+28,4</w:t>
            </w:r>
          </w:p>
        </w:tc>
        <w:tc>
          <w:tcPr>
            <w:tcW w:w="790"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+0,4%</w:t>
            </w:r>
          </w:p>
        </w:tc>
        <w:tc>
          <w:tcPr>
            <w:tcW w:w="741"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44,7</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31,0%</w:t>
            </w:r>
          </w:p>
        </w:tc>
        <w:tc>
          <w:tcPr>
            <w:tcW w:w="772"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46,8</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32,6%</w:t>
            </w:r>
          </w:p>
        </w:tc>
        <w:tc>
          <w:tcPr>
            <w:tcW w:w="873"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+2,1</w:t>
            </w:r>
          </w:p>
        </w:tc>
        <w:tc>
          <w:tcPr>
            <w:tcW w:w="712"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+1,6%</w:t>
            </w:r>
          </w:p>
        </w:tc>
      </w:tr>
      <w:tr w:rsidR="002B0C1F" w:rsidRPr="002751FC" w:rsidTr="00D76F22">
        <w:trPr>
          <w:trHeight w:val="248"/>
        </w:trPr>
        <w:tc>
          <w:tcPr>
            <w:tcW w:w="1177" w:type="dxa"/>
          </w:tcPr>
          <w:p w:rsidR="002B0C1F" w:rsidRPr="002751FC" w:rsidRDefault="002B0C1F" w:rsidP="007A369A">
            <w:pPr>
              <w:rPr>
                <w:rFonts w:asciiTheme="majorHAnsi" w:hAnsiTheme="majorHAnsi" w:cstheme="majorHAnsi"/>
                <w:sz w:val="20"/>
                <w:szCs w:val="20"/>
                <w:lang w:val="ro-MD"/>
              </w:rPr>
            </w:pPr>
            <w:r w:rsidRPr="002751FC">
              <w:rPr>
                <w:rFonts w:asciiTheme="majorHAnsi" w:hAnsiTheme="majorHAnsi" w:cstheme="majorHAnsi"/>
                <w:sz w:val="20"/>
                <w:szCs w:val="20"/>
                <w:lang w:val="ro-MD"/>
              </w:rPr>
              <w:t>Vra</w:t>
            </w:r>
            <w:r w:rsidR="00A26224" w:rsidRPr="002751FC">
              <w:rPr>
                <w:rFonts w:asciiTheme="majorHAnsi" w:hAnsiTheme="majorHAnsi" w:cstheme="majorHAnsi"/>
                <w:sz w:val="20"/>
                <w:szCs w:val="20"/>
                <w:lang w:val="ro-MD"/>
              </w:rPr>
              <w:t>c</w:t>
            </w:r>
          </w:p>
        </w:tc>
        <w:tc>
          <w:tcPr>
            <w:tcW w:w="842"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1004,4</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35,8%</w:t>
            </w:r>
          </w:p>
        </w:tc>
        <w:tc>
          <w:tcPr>
            <w:tcW w:w="843"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999,8</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35,4%</w:t>
            </w:r>
          </w:p>
        </w:tc>
        <w:tc>
          <w:tcPr>
            <w:tcW w:w="873"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-4,6</w:t>
            </w:r>
          </w:p>
        </w:tc>
        <w:tc>
          <w:tcPr>
            <w:tcW w:w="790"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-0,4%</w:t>
            </w:r>
          </w:p>
        </w:tc>
        <w:tc>
          <w:tcPr>
            <w:tcW w:w="741"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99,4</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69,0%</w:t>
            </w:r>
          </w:p>
        </w:tc>
        <w:tc>
          <w:tcPr>
            <w:tcW w:w="772"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96,9</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67,4%</w:t>
            </w:r>
          </w:p>
        </w:tc>
        <w:tc>
          <w:tcPr>
            <w:tcW w:w="873"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-2,5</w:t>
            </w:r>
          </w:p>
        </w:tc>
        <w:tc>
          <w:tcPr>
            <w:tcW w:w="712"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-1,6%</w:t>
            </w:r>
          </w:p>
        </w:tc>
      </w:tr>
      <w:tr w:rsidR="002B0C1F" w:rsidRPr="002751FC" w:rsidTr="00D76F22">
        <w:trPr>
          <w:trHeight w:val="263"/>
        </w:trPr>
        <w:tc>
          <w:tcPr>
            <w:tcW w:w="1177" w:type="dxa"/>
            <w:shd w:val="clear" w:color="auto" w:fill="DEEAF6" w:themeFill="accent1" w:themeFillTint="33"/>
          </w:tcPr>
          <w:p w:rsidR="002B0C1F" w:rsidRPr="002751FC" w:rsidRDefault="008228A9" w:rsidP="007A369A">
            <w:pPr>
              <w:rPr>
                <w:rFonts w:asciiTheme="majorHAnsi" w:hAnsiTheme="majorHAnsi" w:cstheme="majorHAnsi"/>
                <w:b/>
                <w:sz w:val="20"/>
                <w:szCs w:val="20"/>
                <w:lang w:val="ro-MD"/>
              </w:rPr>
            </w:pPr>
            <w:r w:rsidRPr="002751FC">
              <w:rPr>
                <w:rFonts w:asciiTheme="majorHAnsi" w:hAnsiTheme="majorHAnsi" w:cstheme="majorHAnsi"/>
                <w:b/>
                <w:sz w:val="20"/>
                <w:szCs w:val="20"/>
                <w:lang w:val="ro-MD"/>
              </w:rPr>
              <w:t>T</w:t>
            </w:r>
            <w:r w:rsidR="002B0C1F" w:rsidRPr="002751FC">
              <w:rPr>
                <w:rFonts w:asciiTheme="majorHAnsi" w:hAnsiTheme="majorHAnsi" w:cstheme="majorHAnsi"/>
                <w:b/>
                <w:sz w:val="20"/>
                <w:szCs w:val="20"/>
                <w:lang w:val="ro-MD"/>
              </w:rPr>
              <w:t>otal</w:t>
            </w:r>
          </w:p>
        </w:tc>
        <w:tc>
          <w:tcPr>
            <w:tcW w:w="842"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2802,6</w:t>
            </w:r>
          </w:p>
        </w:tc>
        <w:tc>
          <w:tcPr>
            <w:tcW w:w="776"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100%</w:t>
            </w:r>
          </w:p>
        </w:tc>
        <w:tc>
          <w:tcPr>
            <w:tcW w:w="843"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2826,4</w:t>
            </w:r>
          </w:p>
        </w:tc>
        <w:tc>
          <w:tcPr>
            <w:tcW w:w="776"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100%</w:t>
            </w:r>
          </w:p>
        </w:tc>
        <w:tc>
          <w:tcPr>
            <w:tcW w:w="873"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23,8</w:t>
            </w:r>
          </w:p>
        </w:tc>
        <w:tc>
          <w:tcPr>
            <w:tcW w:w="790"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w:t>
            </w:r>
          </w:p>
        </w:tc>
        <w:tc>
          <w:tcPr>
            <w:tcW w:w="741"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144,1</w:t>
            </w:r>
          </w:p>
        </w:tc>
        <w:tc>
          <w:tcPr>
            <w:tcW w:w="776"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100%</w:t>
            </w:r>
          </w:p>
        </w:tc>
        <w:tc>
          <w:tcPr>
            <w:tcW w:w="772"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143,7</w:t>
            </w:r>
          </w:p>
        </w:tc>
        <w:tc>
          <w:tcPr>
            <w:tcW w:w="776"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100%</w:t>
            </w:r>
          </w:p>
        </w:tc>
        <w:tc>
          <w:tcPr>
            <w:tcW w:w="873"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-0,4</w:t>
            </w:r>
          </w:p>
        </w:tc>
        <w:tc>
          <w:tcPr>
            <w:tcW w:w="712"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w:t>
            </w:r>
          </w:p>
        </w:tc>
      </w:tr>
      <w:tr w:rsidR="002B0C1F" w:rsidRPr="002751FC" w:rsidTr="008E6A80">
        <w:trPr>
          <w:trHeight w:val="248"/>
        </w:trPr>
        <w:tc>
          <w:tcPr>
            <w:tcW w:w="10727" w:type="dxa"/>
            <w:gridSpan w:val="13"/>
          </w:tcPr>
          <w:p w:rsidR="002B0C1F" w:rsidRPr="002751FC" w:rsidRDefault="002B0C1F" w:rsidP="007A369A">
            <w:pPr>
              <w:pStyle w:val="ac"/>
              <w:numPr>
                <w:ilvl w:val="0"/>
                <w:numId w:val="17"/>
              </w:num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Fără BY</w:t>
            </w:r>
          </w:p>
        </w:tc>
      </w:tr>
      <w:tr w:rsidR="002B0C1F" w:rsidRPr="002751FC" w:rsidTr="00D76F22">
        <w:trPr>
          <w:trHeight w:val="277"/>
        </w:trPr>
        <w:tc>
          <w:tcPr>
            <w:tcW w:w="1177" w:type="dxa"/>
          </w:tcPr>
          <w:p w:rsidR="002B0C1F" w:rsidRPr="002751FC" w:rsidRDefault="002B0C1F" w:rsidP="007A369A">
            <w:pPr>
              <w:rPr>
                <w:rFonts w:asciiTheme="majorHAnsi" w:hAnsiTheme="majorHAnsi" w:cstheme="majorHAnsi"/>
                <w:sz w:val="20"/>
                <w:szCs w:val="20"/>
                <w:lang w:val="ro-MD"/>
              </w:rPr>
            </w:pPr>
            <w:r w:rsidRPr="002751FC">
              <w:rPr>
                <w:rFonts w:asciiTheme="majorHAnsi" w:hAnsiTheme="majorHAnsi" w:cstheme="majorHAnsi"/>
                <w:sz w:val="20"/>
                <w:szCs w:val="20"/>
                <w:lang w:val="ro-MD"/>
              </w:rPr>
              <w:t>Îmbuteliat</w:t>
            </w:r>
          </w:p>
        </w:tc>
        <w:tc>
          <w:tcPr>
            <w:tcW w:w="842"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1287,5</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69,6%</w:t>
            </w:r>
          </w:p>
        </w:tc>
        <w:tc>
          <w:tcPr>
            <w:tcW w:w="843"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1286,0</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69,4%</w:t>
            </w:r>
          </w:p>
        </w:tc>
        <w:tc>
          <w:tcPr>
            <w:tcW w:w="873"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-1,5</w:t>
            </w:r>
          </w:p>
        </w:tc>
        <w:tc>
          <w:tcPr>
            <w:tcW w:w="790"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-0,2%</w:t>
            </w:r>
          </w:p>
        </w:tc>
        <w:tc>
          <w:tcPr>
            <w:tcW w:w="741"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39,3</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41,6%</w:t>
            </w:r>
          </w:p>
        </w:tc>
        <w:tc>
          <w:tcPr>
            <w:tcW w:w="772"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40,9</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44,7%</w:t>
            </w:r>
          </w:p>
        </w:tc>
        <w:tc>
          <w:tcPr>
            <w:tcW w:w="873"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+1,6</w:t>
            </w:r>
          </w:p>
        </w:tc>
        <w:tc>
          <w:tcPr>
            <w:tcW w:w="712"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+3,1%</w:t>
            </w:r>
          </w:p>
        </w:tc>
      </w:tr>
      <w:tr w:rsidR="002B0C1F" w:rsidRPr="002751FC" w:rsidTr="00D76F22">
        <w:trPr>
          <w:trHeight w:val="277"/>
        </w:trPr>
        <w:tc>
          <w:tcPr>
            <w:tcW w:w="1177" w:type="dxa"/>
          </w:tcPr>
          <w:p w:rsidR="002B0C1F" w:rsidRPr="002751FC" w:rsidRDefault="002B0C1F" w:rsidP="007A369A">
            <w:pPr>
              <w:rPr>
                <w:rFonts w:asciiTheme="majorHAnsi" w:hAnsiTheme="majorHAnsi" w:cstheme="majorHAnsi"/>
                <w:sz w:val="20"/>
                <w:szCs w:val="20"/>
                <w:lang w:val="ro-MD"/>
              </w:rPr>
            </w:pPr>
            <w:r w:rsidRPr="002751FC">
              <w:rPr>
                <w:rFonts w:asciiTheme="majorHAnsi" w:hAnsiTheme="majorHAnsi" w:cstheme="majorHAnsi"/>
                <w:sz w:val="20"/>
                <w:szCs w:val="20"/>
                <w:lang w:val="ro-MD"/>
              </w:rPr>
              <w:t>Vra</w:t>
            </w:r>
            <w:r w:rsidR="00A26224" w:rsidRPr="002751FC">
              <w:rPr>
                <w:rFonts w:asciiTheme="majorHAnsi" w:hAnsiTheme="majorHAnsi" w:cstheme="majorHAnsi"/>
                <w:sz w:val="20"/>
                <w:szCs w:val="20"/>
                <w:lang w:val="ro-MD"/>
              </w:rPr>
              <w:t>c</w:t>
            </w:r>
          </w:p>
        </w:tc>
        <w:tc>
          <w:tcPr>
            <w:tcW w:w="842"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562,9</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30,4%</w:t>
            </w:r>
          </w:p>
        </w:tc>
        <w:tc>
          <w:tcPr>
            <w:tcW w:w="843"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566,6</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30,6%</w:t>
            </w:r>
          </w:p>
        </w:tc>
        <w:tc>
          <w:tcPr>
            <w:tcW w:w="873"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+3,7</w:t>
            </w:r>
          </w:p>
        </w:tc>
        <w:tc>
          <w:tcPr>
            <w:tcW w:w="790"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+0,2%</w:t>
            </w:r>
          </w:p>
        </w:tc>
        <w:tc>
          <w:tcPr>
            <w:tcW w:w="741"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55,2</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58,4%</w:t>
            </w:r>
          </w:p>
        </w:tc>
        <w:tc>
          <w:tcPr>
            <w:tcW w:w="772"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50,6</w:t>
            </w:r>
          </w:p>
        </w:tc>
        <w:tc>
          <w:tcPr>
            <w:tcW w:w="776"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55,3%</w:t>
            </w:r>
          </w:p>
        </w:tc>
        <w:tc>
          <w:tcPr>
            <w:tcW w:w="873"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-4,6</w:t>
            </w:r>
          </w:p>
        </w:tc>
        <w:tc>
          <w:tcPr>
            <w:tcW w:w="712" w:type="dxa"/>
            <w:vAlign w:val="center"/>
          </w:tcPr>
          <w:p w:rsidR="002B0C1F" w:rsidRPr="002751FC" w:rsidRDefault="002B0C1F" w:rsidP="00BF5551">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-3,1%</w:t>
            </w:r>
          </w:p>
        </w:tc>
      </w:tr>
      <w:tr w:rsidR="002B0C1F" w:rsidRPr="002751FC" w:rsidTr="00D76F22">
        <w:trPr>
          <w:trHeight w:val="277"/>
        </w:trPr>
        <w:tc>
          <w:tcPr>
            <w:tcW w:w="1177" w:type="dxa"/>
            <w:shd w:val="clear" w:color="auto" w:fill="DEEAF6" w:themeFill="accent1" w:themeFillTint="33"/>
          </w:tcPr>
          <w:p w:rsidR="002B0C1F" w:rsidRPr="002751FC" w:rsidRDefault="00A26224" w:rsidP="007A369A">
            <w:pPr>
              <w:rPr>
                <w:rFonts w:asciiTheme="majorHAnsi" w:hAnsiTheme="majorHAnsi" w:cstheme="majorHAnsi"/>
                <w:b/>
                <w:sz w:val="20"/>
                <w:szCs w:val="20"/>
                <w:lang w:val="ro-MD"/>
              </w:rPr>
            </w:pPr>
            <w:r w:rsidRPr="002751FC">
              <w:rPr>
                <w:rFonts w:asciiTheme="majorHAnsi" w:hAnsiTheme="majorHAnsi" w:cstheme="majorHAnsi"/>
                <w:b/>
                <w:sz w:val="20"/>
                <w:szCs w:val="20"/>
                <w:lang w:val="ro-MD"/>
              </w:rPr>
              <w:t>T</w:t>
            </w:r>
            <w:r w:rsidR="002B0C1F" w:rsidRPr="002751FC">
              <w:rPr>
                <w:rFonts w:asciiTheme="majorHAnsi" w:hAnsiTheme="majorHAnsi" w:cstheme="majorHAnsi"/>
                <w:b/>
                <w:sz w:val="20"/>
                <w:szCs w:val="20"/>
                <w:lang w:val="ro-MD"/>
              </w:rPr>
              <w:t>otal</w:t>
            </w:r>
          </w:p>
        </w:tc>
        <w:tc>
          <w:tcPr>
            <w:tcW w:w="842"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1850,4</w:t>
            </w:r>
          </w:p>
        </w:tc>
        <w:tc>
          <w:tcPr>
            <w:tcW w:w="776"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100%</w:t>
            </w:r>
          </w:p>
        </w:tc>
        <w:tc>
          <w:tcPr>
            <w:tcW w:w="843"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1852,6</w:t>
            </w:r>
          </w:p>
        </w:tc>
        <w:tc>
          <w:tcPr>
            <w:tcW w:w="776"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100%</w:t>
            </w:r>
          </w:p>
        </w:tc>
        <w:tc>
          <w:tcPr>
            <w:tcW w:w="873"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+2,2</w:t>
            </w:r>
          </w:p>
        </w:tc>
        <w:tc>
          <w:tcPr>
            <w:tcW w:w="790"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w:t>
            </w:r>
          </w:p>
        </w:tc>
        <w:tc>
          <w:tcPr>
            <w:tcW w:w="741"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94,5</w:t>
            </w:r>
          </w:p>
        </w:tc>
        <w:tc>
          <w:tcPr>
            <w:tcW w:w="776"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100%</w:t>
            </w:r>
          </w:p>
        </w:tc>
        <w:tc>
          <w:tcPr>
            <w:tcW w:w="772"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91,5</w:t>
            </w:r>
          </w:p>
        </w:tc>
        <w:tc>
          <w:tcPr>
            <w:tcW w:w="776"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100%</w:t>
            </w:r>
          </w:p>
        </w:tc>
        <w:tc>
          <w:tcPr>
            <w:tcW w:w="873"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-3,0</w:t>
            </w:r>
          </w:p>
        </w:tc>
        <w:tc>
          <w:tcPr>
            <w:tcW w:w="712" w:type="dxa"/>
            <w:shd w:val="clear" w:color="auto" w:fill="DEEAF6" w:themeFill="accent1" w:themeFillTint="33"/>
            <w:vAlign w:val="center"/>
          </w:tcPr>
          <w:p w:rsidR="002B0C1F" w:rsidRPr="002751FC" w:rsidRDefault="002B0C1F" w:rsidP="00BF5551">
            <w:pPr>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w:t>
            </w:r>
          </w:p>
        </w:tc>
      </w:tr>
    </w:tbl>
    <w:p w:rsidR="002B0C1F" w:rsidRPr="002751FC" w:rsidRDefault="002B0C1F" w:rsidP="00243401">
      <w:pPr>
        <w:spacing w:after="0"/>
        <w:rPr>
          <w:rFonts w:asciiTheme="majorHAnsi" w:hAnsiTheme="majorHAnsi" w:cstheme="majorHAnsi"/>
          <w:lang w:val="ro-MD"/>
        </w:rPr>
      </w:pPr>
      <w:r w:rsidRPr="002751FC">
        <w:rPr>
          <w:rFonts w:asciiTheme="majorHAnsi" w:hAnsiTheme="majorHAnsi" w:cstheme="majorHAnsi"/>
          <w:b/>
          <w:lang w:val="ro-MD"/>
        </w:rPr>
        <w:t xml:space="preserve">Sursa: </w:t>
      </w:r>
      <w:r w:rsidRPr="002751FC">
        <w:rPr>
          <w:rFonts w:asciiTheme="majorHAnsi" w:hAnsiTheme="majorHAnsi" w:cstheme="majorHAnsi"/>
          <w:lang w:val="ro-MD"/>
        </w:rPr>
        <w:t>Datele ONVV.</w:t>
      </w:r>
    </w:p>
    <w:p w:rsidR="0048102A" w:rsidRPr="002751FC" w:rsidRDefault="0048102A" w:rsidP="00243401">
      <w:pPr>
        <w:spacing w:after="0"/>
        <w:jc w:val="both"/>
        <w:rPr>
          <w:rFonts w:asciiTheme="majorHAnsi" w:hAnsiTheme="majorHAnsi" w:cstheme="majorHAnsi"/>
          <w:sz w:val="28"/>
          <w:szCs w:val="28"/>
          <w:lang w:val="ro-MD"/>
        </w:rPr>
      </w:pP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Ponderea exportului </w:t>
      </w:r>
      <w:r w:rsidR="00D142FE" w:rsidRPr="002751FC">
        <w:rPr>
          <w:rFonts w:asciiTheme="majorHAnsi" w:hAnsiTheme="majorHAnsi" w:cstheme="majorHAnsi"/>
          <w:sz w:val="28"/>
          <w:szCs w:val="28"/>
          <w:lang w:val="ro-MD"/>
        </w:rPr>
        <w:t xml:space="preserve">de </w:t>
      </w:r>
      <w:r w:rsidRPr="002751FC">
        <w:rPr>
          <w:rFonts w:asciiTheme="majorHAnsi" w:hAnsiTheme="majorHAnsi" w:cstheme="majorHAnsi"/>
          <w:sz w:val="28"/>
          <w:szCs w:val="28"/>
          <w:lang w:val="ro-MD"/>
        </w:rPr>
        <w:t xml:space="preserve">vin îmbuteliat față de </w:t>
      </w:r>
      <w:r w:rsidR="00D142FE" w:rsidRPr="002751FC">
        <w:rPr>
          <w:rFonts w:asciiTheme="majorHAnsi" w:hAnsiTheme="majorHAnsi" w:cstheme="majorHAnsi"/>
          <w:sz w:val="28"/>
          <w:szCs w:val="28"/>
          <w:lang w:val="ro-MD"/>
        </w:rPr>
        <w:t xml:space="preserve">cel în </w:t>
      </w:r>
      <w:r w:rsidRPr="002751FC">
        <w:rPr>
          <w:rFonts w:asciiTheme="majorHAnsi" w:hAnsiTheme="majorHAnsi" w:cstheme="majorHAnsi"/>
          <w:sz w:val="28"/>
          <w:szCs w:val="28"/>
          <w:lang w:val="ro-MD"/>
        </w:rPr>
        <w:t>vra</w:t>
      </w:r>
      <w:r w:rsidR="00A26224" w:rsidRPr="002751FC">
        <w:rPr>
          <w:rFonts w:asciiTheme="majorHAnsi" w:hAnsiTheme="majorHAnsi" w:cstheme="majorHAnsi"/>
          <w:sz w:val="28"/>
          <w:szCs w:val="28"/>
          <w:lang w:val="ro-MD"/>
        </w:rPr>
        <w:t>c (cu BY)</w:t>
      </w:r>
      <w:r w:rsidRPr="002751FC">
        <w:rPr>
          <w:rFonts w:asciiTheme="majorHAnsi" w:hAnsiTheme="majorHAnsi" w:cstheme="majorHAnsi"/>
          <w:sz w:val="28"/>
          <w:szCs w:val="28"/>
          <w:lang w:val="ro-MD"/>
        </w:rPr>
        <w:t xml:space="preserve">, în volum, a crescut în anul 2018 față de anul 2017 cu 1,6%, iar fără BY – cu 3,1%. Scăderea exporturilor </w:t>
      </w:r>
      <w:r w:rsidR="00E84144" w:rsidRPr="002751FC">
        <w:rPr>
          <w:rFonts w:asciiTheme="majorHAnsi" w:hAnsiTheme="majorHAnsi" w:cstheme="majorHAnsi"/>
          <w:sz w:val="28"/>
          <w:szCs w:val="28"/>
          <w:lang w:val="ro-MD"/>
        </w:rPr>
        <w:t xml:space="preserve">de </w:t>
      </w:r>
      <w:r w:rsidRPr="002751FC">
        <w:rPr>
          <w:rFonts w:asciiTheme="majorHAnsi" w:hAnsiTheme="majorHAnsi" w:cstheme="majorHAnsi"/>
          <w:sz w:val="28"/>
          <w:szCs w:val="28"/>
          <w:lang w:val="ro-MD"/>
        </w:rPr>
        <w:t>vinu</w:t>
      </w:r>
      <w:r w:rsidR="00E84144" w:rsidRPr="002751FC">
        <w:rPr>
          <w:rFonts w:asciiTheme="majorHAnsi" w:hAnsiTheme="majorHAnsi" w:cstheme="majorHAnsi"/>
          <w:sz w:val="28"/>
          <w:szCs w:val="28"/>
          <w:lang w:val="ro-MD"/>
        </w:rPr>
        <w:t>r</w:t>
      </w:r>
      <w:r w:rsidRPr="002751FC">
        <w:rPr>
          <w:rFonts w:asciiTheme="majorHAnsi" w:hAnsiTheme="majorHAnsi" w:cstheme="majorHAnsi"/>
          <w:sz w:val="28"/>
          <w:szCs w:val="28"/>
          <w:lang w:val="ro-MD"/>
        </w:rPr>
        <w:t>i în vra</w:t>
      </w:r>
      <w:r w:rsidR="00256243" w:rsidRPr="002751FC">
        <w:rPr>
          <w:rFonts w:asciiTheme="majorHAnsi" w:hAnsiTheme="majorHAnsi" w:cstheme="majorHAnsi"/>
          <w:sz w:val="28"/>
          <w:szCs w:val="28"/>
          <w:lang w:val="ro-MD"/>
        </w:rPr>
        <w:t>c</w:t>
      </w:r>
      <w:r w:rsidRPr="002751FC">
        <w:rPr>
          <w:rFonts w:asciiTheme="majorHAnsi" w:hAnsiTheme="majorHAnsi" w:cstheme="majorHAnsi"/>
          <w:sz w:val="28"/>
          <w:szCs w:val="28"/>
          <w:lang w:val="ro-MD"/>
        </w:rPr>
        <w:t xml:space="preserve"> se datorează în mare parte scăderii exporturilor în Rusia (44% în </w:t>
      </w:r>
      <w:proofErr w:type="spellStart"/>
      <w:r w:rsidRPr="002751FC">
        <w:rPr>
          <w:rFonts w:asciiTheme="majorHAnsi" w:hAnsiTheme="majorHAnsi" w:cstheme="majorHAnsi"/>
          <w:sz w:val="28"/>
          <w:szCs w:val="28"/>
          <w:lang w:val="ro-MD"/>
        </w:rPr>
        <w:t>mil.litri</w:t>
      </w:r>
      <w:proofErr w:type="spellEnd"/>
      <w:r w:rsidRPr="002751FC">
        <w:rPr>
          <w:rFonts w:asciiTheme="majorHAnsi" w:hAnsiTheme="majorHAnsi" w:cstheme="majorHAnsi"/>
          <w:sz w:val="28"/>
          <w:szCs w:val="28"/>
          <w:lang w:val="ro-MD"/>
        </w:rPr>
        <w:t xml:space="preserve"> și 41% în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w:t>
      </w:r>
      <w:r w:rsidRPr="002751FC">
        <w:rPr>
          <w:rStyle w:val="ab"/>
          <w:rFonts w:asciiTheme="majorHAnsi" w:hAnsiTheme="majorHAnsi" w:cstheme="majorHAnsi"/>
          <w:sz w:val="28"/>
          <w:szCs w:val="28"/>
          <w:lang w:val="ro-MD"/>
        </w:rPr>
        <w:footnoteReference w:id="117"/>
      </w:r>
      <w:r w:rsidRPr="002751FC">
        <w:rPr>
          <w:rFonts w:asciiTheme="majorHAnsi" w:hAnsiTheme="majorHAnsi" w:cstheme="majorHAnsi"/>
          <w:sz w:val="28"/>
          <w:szCs w:val="28"/>
          <w:lang w:val="ro-MD"/>
        </w:rPr>
        <w:t xml:space="preserve">, România (10% în </w:t>
      </w:r>
      <w:proofErr w:type="spellStart"/>
      <w:r w:rsidRPr="002751FC">
        <w:rPr>
          <w:rFonts w:asciiTheme="majorHAnsi" w:hAnsiTheme="majorHAnsi" w:cstheme="majorHAnsi"/>
          <w:sz w:val="28"/>
          <w:szCs w:val="28"/>
          <w:lang w:val="ro-MD"/>
        </w:rPr>
        <w:t>mil.litri</w:t>
      </w:r>
      <w:proofErr w:type="spellEnd"/>
      <w:r w:rsidRPr="002751FC">
        <w:rPr>
          <w:rFonts w:asciiTheme="majorHAnsi" w:hAnsiTheme="majorHAnsi" w:cstheme="majorHAnsi"/>
          <w:sz w:val="28"/>
          <w:szCs w:val="28"/>
          <w:lang w:val="ro-MD"/>
        </w:rPr>
        <w:t xml:space="preserve"> și 5% în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w:t>
      </w:r>
      <w:r w:rsidRPr="002751FC">
        <w:rPr>
          <w:rStyle w:val="ab"/>
          <w:rFonts w:asciiTheme="majorHAnsi" w:hAnsiTheme="majorHAnsi" w:cstheme="majorHAnsi"/>
          <w:sz w:val="28"/>
          <w:szCs w:val="28"/>
          <w:lang w:val="ro-MD"/>
        </w:rPr>
        <w:footnoteReference w:id="118"/>
      </w:r>
      <w:r w:rsidRPr="002751FC">
        <w:rPr>
          <w:rFonts w:asciiTheme="majorHAnsi" w:hAnsiTheme="majorHAnsi" w:cstheme="majorHAnsi"/>
          <w:sz w:val="28"/>
          <w:szCs w:val="28"/>
          <w:lang w:val="ro-MD"/>
        </w:rPr>
        <w:t xml:space="preserve"> și Ucrain</w:t>
      </w:r>
      <w:r w:rsidR="008C3771" w:rsidRPr="002751FC">
        <w:rPr>
          <w:rFonts w:asciiTheme="majorHAnsi" w:hAnsiTheme="majorHAnsi" w:cstheme="majorHAnsi"/>
          <w:sz w:val="28"/>
          <w:szCs w:val="28"/>
          <w:lang w:val="ro-MD"/>
        </w:rPr>
        <w:t>a</w:t>
      </w:r>
      <w:r w:rsidRPr="002751FC">
        <w:rPr>
          <w:rFonts w:asciiTheme="majorHAnsi" w:hAnsiTheme="majorHAnsi" w:cstheme="majorHAnsi"/>
          <w:sz w:val="28"/>
          <w:szCs w:val="28"/>
          <w:lang w:val="ro-MD"/>
        </w:rPr>
        <w:t xml:space="preserve"> (47% în </w:t>
      </w:r>
      <w:proofErr w:type="spellStart"/>
      <w:r w:rsidRPr="002751FC">
        <w:rPr>
          <w:rFonts w:asciiTheme="majorHAnsi" w:hAnsiTheme="majorHAnsi" w:cstheme="majorHAnsi"/>
          <w:sz w:val="28"/>
          <w:szCs w:val="28"/>
          <w:lang w:val="ro-MD"/>
        </w:rPr>
        <w:t>mil.litri</w:t>
      </w:r>
      <w:proofErr w:type="spellEnd"/>
      <w:r w:rsidRPr="002751FC">
        <w:rPr>
          <w:rFonts w:asciiTheme="majorHAnsi" w:hAnsiTheme="majorHAnsi" w:cstheme="majorHAnsi"/>
          <w:sz w:val="28"/>
          <w:szCs w:val="28"/>
          <w:lang w:val="ro-MD"/>
        </w:rPr>
        <w:t xml:space="preserve"> și 51% în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w:t>
      </w:r>
      <w:r w:rsidRPr="002751FC">
        <w:rPr>
          <w:rStyle w:val="ab"/>
          <w:rFonts w:asciiTheme="majorHAnsi" w:hAnsiTheme="majorHAnsi" w:cstheme="majorHAnsi"/>
          <w:sz w:val="28"/>
          <w:szCs w:val="28"/>
          <w:lang w:val="ro-MD"/>
        </w:rPr>
        <w:footnoteReference w:id="119"/>
      </w:r>
      <w:r w:rsidRPr="002751FC">
        <w:rPr>
          <w:rFonts w:asciiTheme="majorHAnsi" w:hAnsiTheme="majorHAnsi" w:cstheme="majorHAnsi"/>
          <w:sz w:val="28"/>
          <w:szCs w:val="28"/>
          <w:lang w:val="ro-MD"/>
        </w:rPr>
        <w:t xml:space="preserve">. </w:t>
      </w:r>
      <w:r w:rsidR="008C3771" w:rsidRPr="002751FC">
        <w:rPr>
          <w:rFonts w:asciiTheme="majorHAnsi" w:hAnsiTheme="majorHAnsi" w:cstheme="majorHAnsi"/>
          <w:sz w:val="28"/>
          <w:szCs w:val="28"/>
          <w:lang w:val="ro-MD"/>
        </w:rPr>
        <w:t>G</w:t>
      </w:r>
      <w:r w:rsidRPr="002751FC">
        <w:rPr>
          <w:rFonts w:asciiTheme="majorHAnsi" w:hAnsiTheme="majorHAnsi" w:cstheme="majorHAnsi"/>
          <w:sz w:val="28"/>
          <w:szCs w:val="28"/>
          <w:lang w:val="ro-MD"/>
        </w:rPr>
        <w:t>ermania</w:t>
      </w:r>
      <w:r w:rsidRPr="002751FC">
        <w:rPr>
          <w:rStyle w:val="ab"/>
          <w:rFonts w:asciiTheme="majorHAnsi" w:hAnsiTheme="majorHAnsi" w:cstheme="majorHAnsi"/>
          <w:sz w:val="28"/>
          <w:szCs w:val="28"/>
          <w:lang w:val="ro-MD"/>
        </w:rPr>
        <w:footnoteReference w:id="120"/>
      </w:r>
      <w:r w:rsidRPr="002751FC">
        <w:rPr>
          <w:rFonts w:asciiTheme="majorHAnsi" w:hAnsiTheme="majorHAnsi" w:cstheme="majorHAnsi"/>
          <w:sz w:val="28"/>
          <w:szCs w:val="28"/>
          <w:lang w:val="ro-MD"/>
        </w:rPr>
        <w:t xml:space="preserve"> înregi</w:t>
      </w:r>
      <w:r w:rsidR="00A2726B">
        <w:rPr>
          <w:rFonts w:asciiTheme="majorHAnsi" w:hAnsiTheme="majorHAnsi" w:cstheme="majorHAnsi"/>
          <w:sz w:val="28"/>
          <w:szCs w:val="28"/>
          <w:lang w:val="ro-MD"/>
        </w:rPr>
        <w:t>strează o creștere de (+68%) în</w:t>
      </w:r>
      <w:r w:rsidR="004B76AC">
        <w:rPr>
          <w:rFonts w:asciiTheme="majorHAnsi" w:hAnsiTheme="majorHAnsi" w:cstheme="majorHAnsi"/>
          <w:sz w:val="28"/>
          <w:szCs w:val="28"/>
          <w:lang w:val="ro-MD"/>
        </w:rPr>
        <w:t xml:space="preserve"> </w:t>
      </w:r>
      <w:r w:rsidRPr="000A0D97">
        <w:rPr>
          <w:rFonts w:asciiTheme="majorHAnsi" w:hAnsiTheme="majorHAnsi" w:cstheme="majorHAnsi"/>
          <w:sz w:val="28"/>
          <w:szCs w:val="28"/>
          <w:lang w:val="ro-MD"/>
        </w:rPr>
        <w:t>litri</w:t>
      </w:r>
      <w:r w:rsidRPr="002751FC">
        <w:rPr>
          <w:rFonts w:asciiTheme="majorHAnsi" w:hAnsiTheme="majorHAnsi" w:cstheme="majorHAnsi"/>
          <w:sz w:val="28"/>
          <w:szCs w:val="28"/>
          <w:lang w:val="ro-MD"/>
        </w:rPr>
        <w:t xml:space="preserve"> și (+83%) în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 iar Marea Britanie</w:t>
      </w:r>
      <w:r w:rsidRPr="002751FC">
        <w:rPr>
          <w:rStyle w:val="ab"/>
          <w:rFonts w:asciiTheme="majorHAnsi" w:hAnsiTheme="majorHAnsi" w:cstheme="majorHAnsi"/>
          <w:sz w:val="28"/>
          <w:szCs w:val="28"/>
          <w:lang w:val="ro-MD"/>
        </w:rPr>
        <w:footnoteReference w:id="121"/>
      </w:r>
      <w:r w:rsidRPr="002751FC">
        <w:rPr>
          <w:rFonts w:asciiTheme="majorHAnsi" w:hAnsiTheme="majorHAnsi" w:cstheme="majorHAnsi"/>
          <w:sz w:val="28"/>
          <w:szCs w:val="28"/>
          <w:lang w:val="ro-MD"/>
        </w:rPr>
        <w:t xml:space="preserve"> – (+31%) în </w:t>
      </w:r>
      <w:proofErr w:type="spellStart"/>
      <w:r w:rsidRPr="002751FC">
        <w:rPr>
          <w:rFonts w:asciiTheme="majorHAnsi" w:hAnsiTheme="majorHAnsi" w:cstheme="majorHAnsi"/>
          <w:sz w:val="28"/>
          <w:szCs w:val="28"/>
          <w:lang w:val="ro-MD"/>
        </w:rPr>
        <w:t>mil.litr</w:t>
      </w:r>
      <w:r w:rsidR="00D142FE" w:rsidRPr="002751FC">
        <w:rPr>
          <w:rFonts w:asciiTheme="majorHAnsi" w:hAnsiTheme="majorHAnsi" w:cstheme="majorHAnsi"/>
          <w:sz w:val="28"/>
          <w:szCs w:val="28"/>
          <w:lang w:val="ro-MD"/>
        </w:rPr>
        <w:t>i</w:t>
      </w:r>
      <w:proofErr w:type="spellEnd"/>
      <w:r w:rsidRPr="002751FC">
        <w:rPr>
          <w:rFonts w:asciiTheme="majorHAnsi" w:hAnsiTheme="majorHAnsi" w:cstheme="majorHAnsi"/>
          <w:sz w:val="28"/>
          <w:szCs w:val="28"/>
          <w:lang w:val="ro-MD"/>
        </w:rPr>
        <w:t xml:space="preserve"> și (+22%) în </w:t>
      </w:r>
      <w:proofErr w:type="spellStart"/>
      <w:r w:rsidRPr="002751FC">
        <w:rPr>
          <w:rFonts w:asciiTheme="majorHAnsi" w:hAnsiTheme="majorHAnsi" w:cstheme="majorHAnsi"/>
          <w:sz w:val="28"/>
          <w:szCs w:val="28"/>
          <w:lang w:val="ro-MD"/>
        </w:rPr>
        <w:t>mil.MDL</w:t>
      </w:r>
      <w:proofErr w:type="spellEnd"/>
      <w:r w:rsidRPr="002751FC">
        <w:rPr>
          <w:rFonts w:asciiTheme="majorHAnsi" w:hAnsiTheme="majorHAnsi" w:cstheme="majorHAnsi"/>
          <w:sz w:val="28"/>
          <w:szCs w:val="28"/>
          <w:lang w:val="ro-MD"/>
        </w:rPr>
        <w:t>. Deși exportul vinului în vra</w:t>
      </w:r>
      <w:r w:rsidR="008C3771" w:rsidRPr="002751FC">
        <w:rPr>
          <w:rFonts w:asciiTheme="majorHAnsi" w:hAnsiTheme="majorHAnsi" w:cstheme="majorHAnsi"/>
          <w:sz w:val="28"/>
          <w:szCs w:val="28"/>
          <w:lang w:val="ro-MD"/>
        </w:rPr>
        <w:t>c</w:t>
      </w:r>
      <w:r w:rsidRPr="002751FC">
        <w:rPr>
          <w:rFonts w:asciiTheme="majorHAnsi" w:hAnsiTheme="majorHAnsi" w:cstheme="majorHAnsi"/>
          <w:sz w:val="28"/>
          <w:szCs w:val="28"/>
          <w:lang w:val="ro-MD"/>
        </w:rPr>
        <w:t xml:space="preserve"> (cu BY) în B</w:t>
      </w:r>
      <w:r w:rsidR="008C3771" w:rsidRPr="002751FC">
        <w:rPr>
          <w:rFonts w:asciiTheme="majorHAnsi" w:hAnsiTheme="majorHAnsi" w:cstheme="majorHAnsi"/>
          <w:sz w:val="28"/>
          <w:szCs w:val="28"/>
          <w:lang w:val="ro-MD"/>
        </w:rPr>
        <w:t>el</w:t>
      </w:r>
      <w:r w:rsidR="00E84144" w:rsidRPr="002751FC">
        <w:rPr>
          <w:rFonts w:asciiTheme="majorHAnsi" w:hAnsiTheme="majorHAnsi" w:cstheme="majorHAnsi"/>
          <w:sz w:val="28"/>
          <w:szCs w:val="28"/>
          <w:lang w:val="ro-MD"/>
        </w:rPr>
        <w:t>a</w:t>
      </w:r>
      <w:r w:rsidR="008C3771" w:rsidRPr="002751FC">
        <w:rPr>
          <w:rFonts w:asciiTheme="majorHAnsi" w:hAnsiTheme="majorHAnsi" w:cstheme="majorHAnsi"/>
          <w:sz w:val="28"/>
          <w:szCs w:val="28"/>
          <w:lang w:val="ro-MD"/>
        </w:rPr>
        <w:t>rus este</w:t>
      </w:r>
      <w:r w:rsidRPr="002751FC">
        <w:rPr>
          <w:rFonts w:asciiTheme="majorHAnsi" w:hAnsiTheme="majorHAnsi" w:cstheme="majorHAnsi"/>
          <w:sz w:val="28"/>
          <w:szCs w:val="28"/>
          <w:lang w:val="ro-MD"/>
        </w:rPr>
        <w:t xml:space="preserve"> în descreștere, aceasta </w:t>
      </w:r>
      <w:r w:rsidR="008C3771" w:rsidRPr="002751FC">
        <w:rPr>
          <w:rFonts w:asciiTheme="majorHAnsi" w:hAnsiTheme="majorHAnsi" w:cstheme="majorHAnsi"/>
          <w:sz w:val="28"/>
          <w:szCs w:val="28"/>
          <w:lang w:val="ro-MD"/>
        </w:rPr>
        <w:t>rămâne</w:t>
      </w:r>
      <w:r w:rsidRPr="002751FC">
        <w:rPr>
          <w:rFonts w:asciiTheme="majorHAnsi" w:hAnsiTheme="majorHAnsi" w:cstheme="majorHAnsi"/>
          <w:sz w:val="28"/>
          <w:szCs w:val="28"/>
          <w:lang w:val="ro-MD"/>
        </w:rPr>
        <w:t xml:space="preserve"> destinația </w:t>
      </w:r>
      <w:r w:rsidR="008C3771" w:rsidRPr="002751FC">
        <w:rPr>
          <w:rFonts w:asciiTheme="majorHAnsi" w:hAnsiTheme="majorHAnsi" w:cstheme="majorHAnsi"/>
          <w:sz w:val="28"/>
          <w:szCs w:val="28"/>
          <w:lang w:val="ro-MD"/>
        </w:rPr>
        <w:t>numărul unu</w:t>
      </w:r>
      <w:r w:rsidRPr="002751FC">
        <w:rPr>
          <w:rFonts w:asciiTheme="majorHAnsi" w:hAnsiTheme="majorHAnsi" w:cstheme="majorHAnsi"/>
          <w:sz w:val="28"/>
          <w:szCs w:val="28"/>
          <w:lang w:val="ro-MD"/>
        </w:rPr>
        <w:t xml:space="preserve"> a exportului </w:t>
      </w:r>
      <w:r w:rsidR="006524F2">
        <w:rPr>
          <w:rFonts w:asciiTheme="majorHAnsi" w:hAnsiTheme="majorHAnsi" w:cstheme="majorHAnsi"/>
          <w:sz w:val="28"/>
          <w:szCs w:val="28"/>
          <w:lang w:val="ro-MD"/>
        </w:rPr>
        <w:t xml:space="preserve">de </w:t>
      </w:r>
      <w:r w:rsidRPr="002751FC">
        <w:rPr>
          <w:rFonts w:asciiTheme="majorHAnsi" w:hAnsiTheme="majorHAnsi" w:cstheme="majorHAnsi"/>
          <w:sz w:val="28"/>
          <w:szCs w:val="28"/>
          <w:lang w:val="ro-MD"/>
        </w:rPr>
        <w:t>vin în vra</w:t>
      </w:r>
      <w:r w:rsidR="008C3771" w:rsidRPr="002751FC">
        <w:rPr>
          <w:rFonts w:asciiTheme="majorHAnsi" w:hAnsiTheme="majorHAnsi" w:cstheme="majorHAnsi"/>
          <w:sz w:val="28"/>
          <w:szCs w:val="28"/>
          <w:lang w:val="ro-MD"/>
        </w:rPr>
        <w:t>c</w:t>
      </w:r>
      <w:r w:rsidRPr="002751FC">
        <w:rPr>
          <w:rFonts w:asciiTheme="majorHAnsi" w:hAnsiTheme="majorHAnsi" w:cstheme="majorHAnsi"/>
          <w:sz w:val="28"/>
          <w:szCs w:val="28"/>
          <w:lang w:val="ro-MD"/>
        </w:rPr>
        <w:t xml:space="preserve">. </w:t>
      </w:r>
      <w:r w:rsidRPr="002751FC">
        <w:rPr>
          <w:rFonts w:asciiTheme="majorHAnsi" w:hAnsiTheme="majorHAnsi" w:cstheme="majorHAnsi"/>
          <w:i/>
          <w:sz w:val="28"/>
          <w:szCs w:val="28"/>
          <w:lang w:val="ro-MD"/>
        </w:rPr>
        <w:t xml:space="preserve">Situația este prezentată în </w:t>
      </w:r>
      <w:r w:rsidR="006524F2">
        <w:rPr>
          <w:rFonts w:asciiTheme="majorHAnsi" w:hAnsiTheme="majorHAnsi" w:cstheme="majorHAnsi"/>
          <w:i/>
          <w:sz w:val="28"/>
          <w:szCs w:val="28"/>
          <w:lang w:val="ro-MD"/>
        </w:rPr>
        <w:t>t</w:t>
      </w:r>
      <w:r w:rsidRPr="002751FC">
        <w:rPr>
          <w:rFonts w:asciiTheme="majorHAnsi" w:hAnsiTheme="majorHAnsi" w:cstheme="majorHAnsi"/>
          <w:i/>
          <w:sz w:val="28"/>
          <w:szCs w:val="28"/>
          <w:lang w:val="ro-MD"/>
        </w:rPr>
        <w:t>abelul de mai jos.</w:t>
      </w:r>
    </w:p>
    <w:p w:rsidR="008C3771" w:rsidRPr="002751FC" w:rsidRDefault="008C3771" w:rsidP="00243401">
      <w:pPr>
        <w:spacing w:after="0"/>
        <w:jc w:val="both"/>
        <w:rPr>
          <w:rFonts w:asciiTheme="majorHAnsi" w:hAnsiTheme="majorHAnsi" w:cstheme="majorHAnsi"/>
          <w:b/>
          <w:sz w:val="20"/>
          <w:szCs w:val="20"/>
          <w:lang w:val="ro-MD"/>
        </w:rPr>
      </w:pPr>
    </w:p>
    <w:p w:rsidR="00FB33E1" w:rsidRPr="002751FC" w:rsidRDefault="00FB33E1" w:rsidP="00CF13C7">
      <w:pPr>
        <w:spacing w:after="0"/>
        <w:jc w:val="right"/>
        <w:rPr>
          <w:rFonts w:asciiTheme="majorHAnsi" w:hAnsiTheme="majorHAnsi" w:cstheme="majorHAnsi"/>
          <w:b/>
          <w:sz w:val="20"/>
          <w:szCs w:val="20"/>
          <w:lang w:val="ro-MD"/>
        </w:rPr>
      </w:pPr>
    </w:p>
    <w:p w:rsidR="00FB33E1" w:rsidRPr="002751FC" w:rsidRDefault="00FB33E1" w:rsidP="00CF13C7">
      <w:pPr>
        <w:spacing w:after="0"/>
        <w:jc w:val="right"/>
        <w:rPr>
          <w:rFonts w:asciiTheme="majorHAnsi" w:hAnsiTheme="majorHAnsi" w:cstheme="majorHAnsi"/>
          <w:b/>
          <w:sz w:val="20"/>
          <w:szCs w:val="20"/>
          <w:lang w:val="ro-MD"/>
        </w:rPr>
      </w:pPr>
    </w:p>
    <w:p w:rsidR="00CF13C7" w:rsidRPr="002751FC" w:rsidRDefault="002B0C1F" w:rsidP="00CF13C7">
      <w:pPr>
        <w:spacing w:after="0"/>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lastRenderedPageBreak/>
        <w:t>Tabelul nr.1</w:t>
      </w:r>
      <w:r w:rsidR="001C03CB" w:rsidRPr="002751FC">
        <w:rPr>
          <w:rFonts w:asciiTheme="majorHAnsi" w:hAnsiTheme="majorHAnsi" w:cstheme="majorHAnsi"/>
          <w:b/>
          <w:sz w:val="20"/>
          <w:szCs w:val="20"/>
          <w:lang w:val="ro-MD"/>
        </w:rPr>
        <w:t>6</w:t>
      </w:r>
      <w:r w:rsidR="00AC475B" w:rsidRPr="002751FC">
        <w:rPr>
          <w:rFonts w:asciiTheme="majorHAnsi" w:hAnsiTheme="majorHAnsi" w:cstheme="majorHAnsi"/>
          <w:b/>
          <w:sz w:val="20"/>
          <w:szCs w:val="20"/>
          <w:lang w:val="ro-MD"/>
        </w:rPr>
        <w:t xml:space="preserve"> </w:t>
      </w:r>
    </w:p>
    <w:p w:rsidR="002B0C1F" w:rsidRPr="002751FC" w:rsidRDefault="00AC475B" w:rsidP="007A369A">
      <w:pPr>
        <w:spacing w:after="0"/>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Dinam</w:t>
      </w:r>
      <w:r w:rsidR="002B0C1F" w:rsidRPr="002751FC">
        <w:rPr>
          <w:rFonts w:asciiTheme="majorHAnsi" w:hAnsiTheme="majorHAnsi" w:cstheme="majorHAnsi"/>
          <w:b/>
          <w:sz w:val="20"/>
          <w:szCs w:val="20"/>
          <w:lang w:val="ro-MD"/>
        </w:rPr>
        <w:t xml:space="preserve">ica exportului </w:t>
      </w:r>
      <w:r w:rsidR="00E84144" w:rsidRPr="002751FC">
        <w:rPr>
          <w:rFonts w:asciiTheme="majorHAnsi" w:hAnsiTheme="majorHAnsi" w:cstheme="majorHAnsi"/>
          <w:b/>
          <w:sz w:val="20"/>
          <w:szCs w:val="20"/>
          <w:lang w:val="ro-MD"/>
        </w:rPr>
        <w:t xml:space="preserve">de </w:t>
      </w:r>
      <w:r w:rsidR="002B0C1F" w:rsidRPr="002751FC">
        <w:rPr>
          <w:rFonts w:asciiTheme="majorHAnsi" w:hAnsiTheme="majorHAnsi" w:cstheme="majorHAnsi"/>
          <w:b/>
          <w:sz w:val="20"/>
          <w:szCs w:val="20"/>
          <w:lang w:val="ro-MD"/>
        </w:rPr>
        <w:t>vinuri în vra</w:t>
      </w:r>
      <w:r w:rsidRPr="002751FC">
        <w:rPr>
          <w:rFonts w:asciiTheme="majorHAnsi" w:hAnsiTheme="majorHAnsi" w:cstheme="majorHAnsi"/>
          <w:b/>
          <w:sz w:val="20"/>
          <w:szCs w:val="20"/>
          <w:lang w:val="ro-MD"/>
        </w:rPr>
        <w:t>c</w:t>
      </w:r>
      <w:r w:rsidR="002B0C1F" w:rsidRPr="002751FC">
        <w:rPr>
          <w:rFonts w:asciiTheme="majorHAnsi" w:hAnsiTheme="majorHAnsi" w:cstheme="majorHAnsi"/>
          <w:b/>
          <w:sz w:val="20"/>
          <w:szCs w:val="20"/>
          <w:lang w:val="ro-MD"/>
        </w:rPr>
        <w:t xml:space="preserve"> (cu BY) în anii 2017-2018 în </w:t>
      </w:r>
      <w:r w:rsidRPr="002751FC">
        <w:rPr>
          <w:rFonts w:asciiTheme="majorHAnsi" w:hAnsiTheme="majorHAnsi" w:cstheme="majorHAnsi"/>
          <w:b/>
          <w:sz w:val="20"/>
          <w:szCs w:val="20"/>
          <w:lang w:val="ro-MD"/>
        </w:rPr>
        <w:t>top 10 piețe</w:t>
      </w:r>
    </w:p>
    <w:tbl>
      <w:tblPr>
        <w:tblStyle w:val="ae"/>
        <w:tblW w:w="9869" w:type="dxa"/>
        <w:tblLook w:val="04A0" w:firstRow="1" w:lastRow="0" w:firstColumn="1" w:lastColumn="0" w:noHBand="0" w:noVBand="1"/>
      </w:tblPr>
      <w:tblGrid>
        <w:gridCol w:w="503"/>
        <w:gridCol w:w="1113"/>
        <w:gridCol w:w="708"/>
        <w:gridCol w:w="693"/>
        <w:gridCol w:w="689"/>
        <w:gridCol w:w="693"/>
        <w:gridCol w:w="708"/>
        <w:gridCol w:w="701"/>
        <w:gridCol w:w="632"/>
        <w:gridCol w:w="693"/>
        <w:gridCol w:w="632"/>
        <w:gridCol w:w="693"/>
        <w:gridCol w:w="708"/>
        <w:gridCol w:w="692"/>
        <w:gridCol w:w="11"/>
      </w:tblGrid>
      <w:tr w:rsidR="002B0C1F" w:rsidRPr="002751FC" w:rsidTr="004A495F">
        <w:trPr>
          <w:trHeight w:val="244"/>
        </w:trPr>
        <w:tc>
          <w:tcPr>
            <w:tcW w:w="510" w:type="dxa"/>
            <w:vMerge w:val="restart"/>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Nr. d/o</w:t>
            </w:r>
          </w:p>
        </w:tc>
        <w:tc>
          <w:tcPr>
            <w:tcW w:w="1131" w:type="dxa"/>
            <w:vMerge w:val="restart"/>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Denumirea</w:t>
            </w:r>
          </w:p>
        </w:tc>
        <w:tc>
          <w:tcPr>
            <w:tcW w:w="4135" w:type="dxa"/>
            <w:gridSpan w:val="6"/>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 xml:space="preserve">Valoarea, </w:t>
            </w:r>
            <w:proofErr w:type="spellStart"/>
            <w:r w:rsidRPr="002751FC">
              <w:rPr>
                <w:rFonts w:asciiTheme="majorHAnsi" w:hAnsiTheme="majorHAnsi" w:cstheme="majorHAnsi"/>
                <w:b/>
                <w:sz w:val="18"/>
                <w:szCs w:val="18"/>
                <w:lang w:val="ro-MD"/>
              </w:rPr>
              <w:t>mil.MDL</w:t>
            </w:r>
            <w:proofErr w:type="spellEnd"/>
          </w:p>
        </w:tc>
        <w:tc>
          <w:tcPr>
            <w:tcW w:w="4093" w:type="dxa"/>
            <w:gridSpan w:val="7"/>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 xml:space="preserve">Cantitate, </w:t>
            </w:r>
            <w:proofErr w:type="spellStart"/>
            <w:r w:rsidRPr="002751FC">
              <w:rPr>
                <w:rFonts w:asciiTheme="majorHAnsi" w:hAnsiTheme="majorHAnsi" w:cstheme="majorHAnsi"/>
                <w:b/>
                <w:sz w:val="18"/>
                <w:szCs w:val="18"/>
                <w:lang w:val="ro-MD"/>
              </w:rPr>
              <w:t>mil.litri</w:t>
            </w:r>
            <w:proofErr w:type="spellEnd"/>
          </w:p>
        </w:tc>
      </w:tr>
      <w:tr w:rsidR="004A495F" w:rsidRPr="002751FC" w:rsidTr="004A495F">
        <w:trPr>
          <w:gridAfter w:val="1"/>
          <w:wAfter w:w="12" w:type="dxa"/>
          <w:trHeight w:val="259"/>
        </w:trPr>
        <w:tc>
          <w:tcPr>
            <w:tcW w:w="510" w:type="dxa"/>
            <w:vMerge/>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p>
        </w:tc>
        <w:tc>
          <w:tcPr>
            <w:tcW w:w="1131" w:type="dxa"/>
            <w:vMerge/>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p>
        </w:tc>
        <w:tc>
          <w:tcPr>
            <w:tcW w:w="622" w:type="dxa"/>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2017</w:t>
            </w:r>
          </w:p>
        </w:tc>
        <w:tc>
          <w:tcPr>
            <w:tcW w:w="698" w:type="dxa"/>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w:t>
            </w:r>
          </w:p>
        </w:tc>
        <w:tc>
          <w:tcPr>
            <w:tcW w:w="700" w:type="dxa"/>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2018</w:t>
            </w:r>
          </w:p>
        </w:tc>
        <w:tc>
          <w:tcPr>
            <w:tcW w:w="698" w:type="dxa"/>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w:t>
            </w:r>
          </w:p>
        </w:tc>
        <w:tc>
          <w:tcPr>
            <w:tcW w:w="709" w:type="dxa"/>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devieri</w:t>
            </w:r>
          </w:p>
        </w:tc>
        <w:tc>
          <w:tcPr>
            <w:tcW w:w="703" w:type="dxa"/>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w:t>
            </w:r>
          </w:p>
        </w:tc>
        <w:tc>
          <w:tcPr>
            <w:tcW w:w="642" w:type="dxa"/>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2017</w:t>
            </w:r>
          </w:p>
        </w:tc>
        <w:tc>
          <w:tcPr>
            <w:tcW w:w="698" w:type="dxa"/>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w:t>
            </w:r>
          </w:p>
        </w:tc>
        <w:tc>
          <w:tcPr>
            <w:tcW w:w="642" w:type="dxa"/>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2018</w:t>
            </w:r>
          </w:p>
        </w:tc>
        <w:tc>
          <w:tcPr>
            <w:tcW w:w="698" w:type="dxa"/>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w:t>
            </w:r>
          </w:p>
        </w:tc>
        <w:tc>
          <w:tcPr>
            <w:tcW w:w="709" w:type="dxa"/>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devieri</w:t>
            </w:r>
          </w:p>
        </w:tc>
        <w:tc>
          <w:tcPr>
            <w:tcW w:w="697" w:type="dxa"/>
            <w:shd w:val="clear" w:color="auto" w:fill="DEEAF6" w:themeFill="accent1" w:themeFillTint="33"/>
            <w:vAlign w:val="center"/>
          </w:tcPr>
          <w:p w:rsidR="002B0C1F" w:rsidRPr="002751FC" w:rsidRDefault="002B0C1F"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w:t>
            </w:r>
          </w:p>
        </w:tc>
      </w:tr>
      <w:tr w:rsidR="004A495F" w:rsidRPr="002751FC" w:rsidTr="004A495F">
        <w:trPr>
          <w:gridAfter w:val="1"/>
          <w:wAfter w:w="12" w:type="dxa"/>
          <w:trHeight w:val="259"/>
        </w:trPr>
        <w:tc>
          <w:tcPr>
            <w:tcW w:w="510"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w:t>
            </w:r>
          </w:p>
        </w:tc>
        <w:tc>
          <w:tcPr>
            <w:tcW w:w="1131"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Belarus</w:t>
            </w:r>
          </w:p>
        </w:tc>
        <w:tc>
          <w:tcPr>
            <w:tcW w:w="622"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441,4</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43,9%</w:t>
            </w:r>
          </w:p>
        </w:tc>
        <w:tc>
          <w:tcPr>
            <w:tcW w:w="700"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433,2</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43,3%</w:t>
            </w:r>
          </w:p>
        </w:tc>
        <w:tc>
          <w:tcPr>
            <w:tcW w:w="709"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-8,2</w:t>
            </w:r>
          </w:p>
        </w:tc>
        <w:tc>
          <w:tcPr>
            <w:tcW w:w="703"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-0,6%</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44,1</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44,4%</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46,3</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47,8%</w:t>
            </w:r>
          </w:p>
        </w:tc>
        <w:tc>
          <w:tcPr>
            <w:tcW w:w="709"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+2,2</w:t>
            </w:r>
          </w:p>
        </w:tc>
        <w:tc>
          <w:tcPr>
            <w:tcW w:w="697"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+3,4%</w:t>
            </w:r>
          </w:p>
        </w:tc>
      </w:tr>
      <w:tr w:rsidR="004A495F" w:rsidRPr="002751FC" w:rsidTr="004A495F">
        <w:trPr>
          <w:gridAfter w:val="1"/>
          <w:wAfter w:w="12" w:type="dxa"/>
          <w:trHeight w:val="259"/>
        </w:trPr>
        <w:tc>
          <w:tcPr>
            <w:tcW w:w="510"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2</w:t>
            </w:r>
          </w:p>
        </w:tc>
        <w:tc>
          <w:tcPr>
            <w:tcW w:w="1131"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Georgia</w:t>
            </w:r>
          </w:p>
        </w:tc>
        <w:tc>
          <w:tcPr>
            <w:tcW w:w="622"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148,7</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12,4%</w:t>
            </w:r>
          </w:p>
        </w:tc>
        <w:tc>
          <w:tcPr>
            <w:tcW w:w="700"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151,1</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15,1%</w:t>
            </w:r>
          </w:p>
        </w:tc>
        <w:tc>
          <w:tcPr>
            <w:tcW w:w="709"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+2,4</w:t>
            </w:r>
          </w:p>
        </w:tc>
        <w:tc>
          <w:tcPr>
            <w:tcW w:w="703"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+0,3%</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15,3</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15,4%</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14,6</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15,1%</w:t>
            </w:r>
          </w:p>
        </w:tc>
        <w:tc>
          <w:tcPr>
            <w:tcW w:w="709"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-0,7</w:t>
            </w:r>
          </w:p>
        </w:tc>
        <w:tc>
          <w:tcPr>
            <w:tcW w:w="697"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-0,3%</w:t>
            </w:r>
          </w:p>
        </w:tc>
      </w:tr>
      <w:tr w:rsidR="004A495F" w:rsidRPr="002751FC" w:rsidTr="004A495F">
        <w:trPr>
          <w:gridAfter w:val="1"/>
          <w:wAfter w:w="12" w:type="dxa"/>
          <w:trHeight w:val="244"/>
        </w:trPr>
        <w:tc>
          <w:tcPr>
            <w:tcW w:w="510"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3</w:t>
            </w:r>
          </w:p>
        </w:tc>
        <w:tc>
          <w:tcPr>
            <w:tcW w:w="1131"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Rusia</w:t>
            </w:r>
          </w:p>
        </w:tc>
        <w:tc>
          <w:tcPr>
            <w:tcW w:w="622"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124,9</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14,2%</w:t>
            </w:r>
          </w:p>
        </w:tc>
        <w:tc>
          <w:tcPr>
            <w:tcW w:w="700"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73,6</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7,4%</w:t>
            </w:r>
          </w:p>
        </w:tc>
        <w:tc>
          <w:tcPr>
            <w:tcW w:w="709"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-51,3</w:t>
            </w:r>
          </w:p>
        </w:tc>
        <w:tc>
          <w:tcPr>
            <w:tcW w:w="703"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-5,1%</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13,7</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13,8%</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7,7</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7,9%</w:t>
            </w:r>
          </w:p>
        </w:tc>
        <w:tc>
          <w:tcPr>
            <w:tcW w:w="709"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-6,0</w:t>
            </w:r>
          </w:p>
        </w:tc>
        <w:tc>
          <w:tcPr>
            <w:tcW w:w="697"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-5,8%</w:t>
            </w:r>
          </w:p>
        </w:tc>
      </w:tr>
      <w:tr w:rsidR="004A495F" w:rsidRPr="002751FC" w:rsidTr="004A495F">
        <w:trPr>
          <w:gridAfter w:val="1"/>
          <w:wAfter w:w="12" w:type="dxa"/>
          <w:trHeight w:val="259"/>
        </w:trPr>
        <w:tc>
          <w:tcPr>
            <w:tcW w:w="510"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4</w:t>
            </w:r>
          </w:p>
        </w:tc>
        <w:tc>
          <w:tcPr>
            <w:tcW w:w="1131"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România</w:t>
            </w:r>
          </w:p>
        </w:tc>
        <w:tc>
          <w:tcPr>
            <w:tcW w:w="622"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67,7</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6,7%</w:t>
            </w:r>
          </w:p>
        </w:tc>
        <w:tc>
          <w:tcPr>
            <w:tcW w:w="700"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64,4</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6,4%</w:t>
            </w:r>
          </w:p>
        </w:tc>
        <w:tc>
          <w:tcPr>
            <w:tcW w:w="709"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-3,3</w:t>
            </w:r>
          </w:p>
        </w:tc>
        <w:tc>
          <w:tcPr>
            <w:tcW w:w="703"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-0,3%</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7,2</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7,2%</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6,5</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6,7%</w:t>
            </w:r>
          </w:p>
        </w:tc>
        <w:tc>
          <w:tcPr>
            <w:tcW w:w="709"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-0,7</w:t>
            </w:r>
          </w:p>
        </w:tc>
        <w:tc>
          <w:tcPr>
            <w:tcW w:w="697"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-0,5%</w:t>
            </w:r>
          </w:p>
        </w:tc>
      </w:tr>
      <w:tr w:rsidR="004A495F" w:rsidRPr="002751FC" w:rsidTr="004A495F">
        <w:trPr>
          <w:gridAfter w:val="1"/>
          <w:wAfter w:w="12" w:type="dxa"/>
          <w:trHeight w:val="259"/>
        </w:trPr>
        <w:tc>
          <w:tcPr>
            <w:tcW w:w="510"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5</w:t>
            </w:r>
          </w:p>
        </w:tc>
        <w:tc>
          <w:tcPr>
            <w:tcW w:w="1131"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Germania</w:t>
            </w:r>
          </w:p>
        </w:tc>
        <w:tc>
          <w:tcPr>
            <w:tcW w:w="622"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30,1</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3,0%</w:t>
            </w:r>
          </w:p>
        </w:tc>
        <w:tc>
          <w:tcPr>
            <w:tcW w:w="700"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55,1</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5,5%</w:t>
            </w:r>
          </w:p>
        </w:tc>
        <w:tc>
          <w:tcPr>
            <w:tcW w:w="709"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+25,0</w:t>
            </w:r>
          </w:p>
        </w:tc>
        <w:tc>
          <w:tcPr>
            <w:tcW w:w="703"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+2,5%</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2,8</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2,8%</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4,7</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4,9%</w:t>
            </w:r>
          </w:p>
        </w:tc>
        <w:tc>
          <w:tcPr>
            <w:tcW w:w="709"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+1,9</w:t>
            </w:r>
          </w:p>
        </w:tc>
        <w:tc>
          <w:tcPr>
            <w:tcW w:w="697"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+2,0%</w:t>
            </w:r>
          </w:p>
        </w:tc>
      </w:tr>
      <w:tr w:rsidR="004A495F" w:rsidRPr="002751FC" w:rsidTr="004A495F">
        <w:trPr>
          <w:gridAfter w:val="1"/>
          <w:wAfter w:w="12" w:type="dxa"/>
          <w:trHeight w:val="259"/>
        </w:trPr>
        <w:tc>
          <w:tcPr>
            <w:tcW w:w="510"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6</w:t>
            </w:r>
          </w:p>
        </w:tc>
        <w:tc>
          <w:tcPr>
            <w:tcW w:w="1131"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Cehia</w:t>
            </w:r>
          </w:p>
        </w:tc>
        <w:tc>
          <w:tcPr>
            <w:tcW w:w="622"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43,4</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4,3%</w:t>
            </w:r>
          </w:p>
        </w:tc>
        <w:tc>
          <w:tcPr>
            <w:tcW w:w="700"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66,0</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6,6%</w:t>
            </w:r>
          </w:p>
        </w:tc>
        <w:tc>
          <w:tcPr>
            <w:tcW w:w="709"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+22,6</w:t>
            </w:r>
          </w:p>
        </w:tc>
        <w:tc>
          <w:tcPr>
            <w:tcW w:w="703"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+2,3%</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3,3</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3,3%</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4,5</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4,6%</w:t>
            </w:r>
          </w:p>
        </w:tc>
        <w:tc>
          <w:tcPr>
            <w:tcW w:w="709"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+1,2</w:t>
            </w:r>
          </w:p>
        </w:tc>
        <w:tc>
          <w:tcPr>
            <w:tcW w:w="697"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+1,3%</w:t>
            </w:r>
          </w:p>
        </w:tc>
      </w:tr>
      <w:tr w:rsidR="004A495F" w:rsidRPr="002751FC" w:rsidTr="004A495F">
        <w:trPr>
          <w:gridAfter w:val="1"/>
          <w:wAfter w:w="12" w:type="dxa"/>
          <w:trHeight w:val="244"/>
        </w:trPr>
        <w:tc>
          <w:tcPr>
            <w:tcW w:w="510"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7</w:t>
            </w:r>
          </w:p>
        </w:tc>
        <w:tc>
          <w:tcPr>
            <w:tcW w:w="1131"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Ucraina</w:t>
            </w:r>
          </w:p>
        </w:tc>
        <w:tc>
          <w:tcPr>
            <w:tcW w:w="622"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69,0</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6,9%</w:t>
            </w:r>
          </w:p>
        </w:tc>
        <w:tc>
          <w:tcPr>
            <w:tcW w:w="700"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33,7</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3,4%</w:t>
            </w:r>
          </w:p>
        </w:tc>
        <w:tc>
          <w:tcPr>
            <w:tcW w:w="709"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-35,3</w:t>
            </w:r>
          </w:p>
        </w:tc>
        <w:tc>
          <w:tcPr>
            <w:tcW w:w="703"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-3,5%</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7,5</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7,5%</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4,0</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4,1%</w:t>
            </w:r>
          </w:p>
        </w:tc>
        <w:tc>
          <w:tcPr>
            <w:tcW w:w="709"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-3,5</w:t>
            </w:r>
          </w:p>
        </w:tc>
        <w:tc>
          <w:tcPr>
            <w:tcW w:w="697"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-3,4%</w:t>
            </w:r>
          </w:p>
        </w:tc>
      </w:tr>
      <w:tr w:rsidR="004A495F" w:rsidRPr="002751FC" w:rsidTr="004A495F">
        <w:trPr>
          <w:gridAfter w:val="1"/>
          <w:wAfter w:w="12" w:type="dxa"/>
          <w:trHeight w:val="259"/>
        </w:trPr>
        <w:tc>
          <w:tcPr>
            <w:tcW w:w="510"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8</w:t>
            </w:r>
          </w:p>
        </w:tc>
        <w:tc>
          <w:tcPr>
            <w:tcW w:w="1131"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Marea Britanie</w:t>
            </w:r>
          </w:p>
        </w:tc>
        <w:tc>
          <w:tcPr>
            <w:tcW w:w="622"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43,6</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4,3%</w:t>
            </w:r>
          </w:p>
        </w:tc>
        <w:tc>
          <w:tcPr>
            <w:tcW w:w="700"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53,1</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5,3%</w:t>
            </w:r>
          </w:p>
        </w:tc>
        <w:tc>
          <w:tcPr>
            <w:tcW w:w="709"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+9,5</w:t>
            </w:r>
          </w:p>
        </w:tc>
        <w:tc>
          <w:tcPr>
            <w:tcW w:w="703"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+1,0%</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2,7</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2,7%</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3,5</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3,6%</w:t>
            </w:r>
          </w:p>
        </w:tc>
        <w:tc>
          <w:tcPr>
            <w:tcW w:w="709"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+0,8</w:t>
            </w:r>
          </w:p>
        </w:tc>
        <w:tc>
          <w:tcPr>
            <w:tcW w:w="697"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+0,9%</w:t>
            </w:r>
          </w:p>
        </w:tc>
      </w:tr>
      <w:tr w:rsidR="004A495F" w:rsidRPr="002751FC" w:rsidTr="004A495F">
        <w:trPr>
          <w:gridAfter w:val="1"/>
          <w:wAfter w:w="12" w:type="dxa"/>
          <w:trHeight w:val="259"/>
        </w:trPr>
        <w:tc>
          <w:tcPr>
            <w:tcW w:w="510"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9</w:t>
            </w:r>
          </w:p>
        </w:tc>
        <w:tc>
          <w:tcPr>
            <w:tcW w:w="1131"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China</w:t>
            </w:r>
          </w:p>
        </w:tc>
        <w:tc>
          <w:tcPr>
            <w:tcW w:w="622"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7,8</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0,8%</w:t>
            </w:r>
          </w:p>
        </w:tc>
        <w:tc>
          <w:tcPr>
            <w:tcW w:w="700"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22,6</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2,3%</w:t>
            </w:r>
          </w:p>
        </w:tc>
        <w:tc>
          <w:tcPr>
            <w:tcW w:w="709"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+14,8</w:t>
            </w:r>
          </w:p>
        </w:tc>
        <w:tc>
          <w:tcPr>
            <w:tcW w:w="703"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+1,5%</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0,5</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0,5%</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1,6</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1,7%</w:t>
            </w:r>
          </w:p>
        </w:tc>
        <w:tc>
          <w:tcPr>
            <w:tcW w:w="709"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+1,1</w:t>
            </w:r>
          </w:p>
        </w:tc>
        <w:tc>
          <w:tcPr>
            <w:tcW w:w="697"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+1,1%</w:t>
            </w:r>
          </w:p>
        </w:tc>
      </w:tr>
      <w:tr w:rsidR="004A495F" w:rsidRPr="002751FC" w:rsidTr="004A495F">
        <w:trPr>
          <w:gridAfter w:val="1"/>
          <w:wAfter w:w="12" w:type="dxa"/>
          <w:trHeight w:val="244"/>
        </w:trPr>
        <w:tc>
          <w:tcPr>
            <w:tcW w:w="510"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10</w:t>
            </w:r>
          </w:p>
        </w:tc>
        <w:tc>
          <w:tcPr>
            <w:tcW w:w="1131" w:type="dxa"/>
          </w:tcPr>
          <w:p w:rsidR="002B0C1F" w:rsidRPr="002751FC" w:rsidRDefault="00687BAB"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Lituania</w:t>
            </w:r>
          </w:p>
        </w:tc>
        <w:tc>
          <w:tcPr>
            <w:tcW w:w="622"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6,6</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0,7%</w:t>
            </w:r>
          </w:p>
        </w:tc>
        <w:tc>
          <w:tcPr>
            <w:tcW w:w="700"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7,7</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0,8%</w:t>
            </w:r>
          </w:p>
        </w:tc>
        <w:tc>
          <w:tcPr>
            <w:tcW w:w="709"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+1,1</w:t>
            </w:r>
          </w:p>
        </w:tc>
        <w:tc>
          <w:tcPr>
            <w:tcW w:w="703"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+0,1%</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0,7</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0,7%</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0,8</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0,8%</w:t>
            </w:r>
          </w:p>
        </w:tc>
        <w:tc>
          <w:tcPr>
            <w:tcW w:w="709"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+0,1</w:t>
            </w:r>
          </w:p>
        </w:tc>
        <w:tc>
          <w:tcPr>
            <w:tcW w:w="697"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+0,1%</w:t>
            </w:r>
          </w:p>
        </w:tc>
      </w:tr>
      <w:tr w:rsidR="004A495F" w:rsidRPr="002751FC" w:rsidTr="004A495F">
        <w:trPr>
          <w:gridAfter w:val="1"/>
          <w:wAfter w:w="12" w:type="dxa"/>
          <w:trHeight w:val="259"/>
        </w:trPr>
        <w:tc>
          <w:tcPr>
            <w:tcW w:w="510"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11</w:t>
            </w:r>
          </w:p>
        </w:tc>
        <w:tc>
          <w:tcPr>
            <w:tcW w:w="1131" w:type="dxa"/>
          </w:tcPr>
          <w:p w:rsidR="002B0C1F" w:rsidRPr="002751FC" w:rsidRDefault="002B0C1F" w:rsidP="007A369A">
            <w:pPr>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Alte</w:t>
            </w:r>
          </w:p>
        </w:tc>
        <w:tc>
          <w:tcPr>
            <w:tcW w:w="622"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21,2</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2,1%</w:t>
            </w:r>
          </w:p>
        </w:tc>
        <w:tc>
          <w:tcPr>
            <w:tcW w:w="700"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39,3</w:t>
            </w:r>
          </w:p>
        </w:tc>
        <w:tc>
          <w:tcPr>
            <w:tcW w:w="698"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3,9%</w:t>
            </w:r>
          </w:p>
        </w:tc>
        <w:tc>
          <w:tcPr>
            <w:tcW w:w="709" w:type="dxa"/>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+18,1</w:t>
            </w:r>
          </w:p>
        </w:tc>
        <w:tc>
          <w:tcPr>
            <w:tcW w:w="703"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+1,8%</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1,6</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1,6%</w:t>
            </w:r>
          </w:p>
        </w:tc>
        <w:tc>
          <w:tcPr>
            <w:tcW w:w="642"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2,7</w:t>
            </w:r>
          </w:p>
        </w:tc>
        <w:tc>
          <w:tcPr>
            <w:tcW w:w="698"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2,8%</w:t>
            </w:r>
          </w:p>
        </w:tc>
        <w:tc>
          <w:tcPr>
            <w:tcW w:w="709"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+1,1</w:t>
            </w:r>
          </w:p>
        </w:tc>
        <w:tc>
          <w:tcPr>
            <w:tcW w:w="697" w:type="dxa"/>
            <w:shd w:val="clear" w:color="auto" w:fill="FFFFFF" w:themeFill="background1"/>
            <w:vAlign w:val="center"/>
          </w:tcPr>
          <w:p w:rsidR="002B0C1F" w:rsidRPr="002751FC" w:rsidRDefault="002B0C1F" w:rsidP="00BF5551">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+1,2%</w:t>
            </w:r>
          </w:p>
        </w:tc>
      </w:tr>
      <w:tr w:rsidR="004A495F" w:rsidRPr="002751FC" w:rsidTr="004A495F">
        <w:trPr>
          <w:gridAfter w:val="1"/>
          <w:wAfter w:w="12" w:type="dxa"/>
          <w:trHeight w:val="259"/>
        </w:trPr>
        <w:tc>
          <w:tcPr>
            <w:tcW w:w="1641" w:type="dxa"/>
            <w:gridSpan w:val="2"/>
            <w:shd w:val="clear" w:color="auto" w:fill="DEEAF6" w:themeFill="accent1" w:themeFillTint="33"/>
            <w:vAlign w:val="center"/>
          </w:tcPr>
          <w:p w:rsidR="001274A5" w:rsidRPr="002751FC" w:rsidRDefault="001274A5" w:rsidP="001274A5">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Total</w:t>
            </w:r>
          </w:p>
        </w:tc>
        <w:tc>
          <w:tcPr>
            <w:tcW w:w="622" w:type="dxa"/>
            <w:shd w:val="clear" w:color="auto" w:fill="DEEAF6" w:themeFill="accent1" w:themeFillTint="33"/>
            <w:vAlign w:val="center"/>
          </w:tcPr>
          <w:p w:rsidR="001274A5" w:rsidRPr="002751FC" w:rsidRDefault="001274A5" w:rsidP="00BF5551">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1004,4</w:t>
            </w:r>
          </w:p>
        </w:tc>
        <w:tc>
          <w:tcPr>
            <w:tcW w:w="698" w:type="dxa"/>
            <w:shd w:val="clear" w:color="auto" w:fill="DEEAF6" w:themeFill="accent1" w:themeFillTint="33"/>
            <w:vAlign w:val="center"/>
          </w:tcPr>
          <w:p w:rsidR="001274A5" w:rsidRPr="002751FC" w:rsidRDefault="001274A5" w:rsidP="00BF5551">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100%</w:t>
            </w:r>
          </w:p>
        </w:tc>
        <w:tc>
          <w:tcPr>
            <w:tcW w:w="700" w:type="dxa"/>
            <w:shd w:val="clear" w:color="auto" w:fill="DEEAF6" w:themeFill="accent1" w:themeFillTint="33"/>
            <w:vAlign w:val="center"/>
          </w:tcPr>
          <w:p w:rsidR="001274A5" w:rsidRPr="002751FC" w:rsidRDefault="001274A5" w:rsidP="00BF5551">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999,8</w:t>
            </w:r>
          </w:p>
        </w:tc>
        <w:tc>
          <w:tcPr>
            <w:tcW w:w="698" w:type="dxa"/>
            <w:shd w:val="clear" w:color="auto" w:fill="DEEAF6" w:themeFill="accent1" w:themeFillTint="33"/>
            <w:vAlign w:val="center"/>
          </w:tcPr>
          <w:p w:rsidR="001274A5" w:rsidRPr="002751FC" w:rsidRDefault="001274A5" w:rsidP="00BF5551">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100%</w:t>
            </w:r>
          </w:p>
        </w:tc>
        <w:tc>
          <w:tcPr>
            <w:tcW w:w="709" w:type="dxa"/>
            <w:shd w:val="clear" w:color="auto" w:fill="DEEAF6" w:themeFill="accent1" w:themeFillTint="33"/>
            <w:vAlign w:val="center"/>
          </w:tcPr>
          <w:p w:rsidR="001274A5" w:rsidRPr="002751FC" w:rsidRDefault="001274A5" w:rsidP="00BF5551">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-4,6</w:t>
            </w:r>
          </w:p>
        </w:tc>
        <w:tc>
          <w:tcPr>
            <w:tcW w:w="703" w:type="dxa"/>
            <w:shd w:val="clear" w:color="auto" w:fill="DEEAF6" w:themeFill="accent1" w:themeFillTint="33"/>
            <w:vAlign w:val="center"/>
          </w:tcPr>
          <w:p w:rsidR="001274A5" w:rsidRPr="002751FC" w:rsidRDefault="001274A5" w:rsidP="00BF5551">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-4,4%</w:t>
            </w:r>
          </w:p>
        </w:tc>
        <w:tc>
          <w:tcPr>
            <w:tcW w:w="642" w:type="dxa"/>
            <w:shd w:val="clear" w:color="auto" w:fill="DEEAF6" w:themeFill="accent1" w:themeFillTint="33"/>
            <w:vAlign w:val="center"/>
          </w:tcPr>
          <w:p w:rsidR="001274A5" w:rsidRPr="002751FC" w:rsidRDefault="001274A5" w:rsidP="00BF5551">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99,4</w:t>
            </w:r>
          </w:p>
        </w:tc>
        <w:tc>
          <w:tcPr>
            <w:tcW w:w="698" w:type="dxa"/>
            <w:shd w:val="clear" w:color="auto" w:fill="DEEAF6" w:themeFill="accent1" w:themeFillTint="33"/>
            <w:vAlign w:val="center"/>
          </w:tcPr>
          <w:p w:rsidR="001274A5" w:rsidRPr="002751FC" w:rsidRDefault="001274A5" w:rsidP="00BF5551">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100%</w:t>
            </w:r>
          </w:p>
        </w:tc>
        <w:tc>
          <w:tcPr>
            <w:tcW w:w="642" w:type="dxa"/>
            <w:shd w:val="clear" w:color="auto" w:fill="DEEAF6" w:themeFill="accent1" w:themeFillTint="33"/>
            <w:vAlign w:val="center"/>
          </w:tcPr>
          <w:p w:rsidR="001274A5" w:rsidRPr="002751FC" w:rsidRDefault="001274A5" w:rsidP="00BF5551">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96,9</w:t>
            </w:r>
          </w:p>
        </w:tc>
        <w:tc>
          <w:tcPr>
            <w:tcW w:w="698" w:type="dxa"/>
            <w:shd w:val="clear" w:color="auto" w:fill="DEEAF6" w:themeFill="accent1" w:themeFillTint="33"/>
            <w:vAlign w:val="center"/>
          </w:tcPr>
          <w:p w:rsidR="001274A5" w:rsidRPr="002751FC" w:rsidRDefault="001274A5" w:rsidP="00BF5551">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100%</w:t>
            </w:r>
          </w:p>
        </w:tc>
        <w:tc>
          <w:tcPr>
            <w:tcW w:w="709" w:type="dxa"/>
            <w:shd w:val="clear" w:color="auto" w:fill="DEEAF6" w:themeFill="accent1" w:themeFillTint="33"/>
            <w:vAlign w:val="center"/>
          </w:tcPr>
          <w:p w:rsidR="001274A5" w:rsidRPr="002751FC" w:rsidRDefault="001274A5" w:rsidP="00BF5551">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-2,5</w:t>
            </w:r>
          </w:p>
        </w:tc>
        <w:tc>
          <w:tcPr>
            <w:tcW w:w="697" w:type="dxa"/>
            <w:shd w:val="clear" w:color="auto" w:fill="DEEAF6" w:themeFill="accent1" w:themeFillTint="33"/>
            <w:vAlign w:val="center"/>
          </w:tcPr>
          <w:p w:rsidR="001274A5" w:rsidRPr="002751FC" w:rsidRDefault="001274A5" w:rsidP="00BF5551">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-2,5%</w:t>
            </w:r>
          </w:p>
        </w:tc>
      </w:tr>
    </w:tbl>
    <w:p w:rsidR="002B0C1F" w:rsidRPr="002751FC" w:rsidRDefault="002B0C1F" w:rsidP="00243401">
      <w:pPr>
        <w:spacing w:after="0"/>
        <w:jc w:val="both"/>
        <w:rPr>
          <w:rFonts w:asciiTheme="majorHAnsi" w:hAnsiTheme="majorHAnsi" w:cstheme="majorHAnsi"/>
          <w:sz w:val="16"/>
          <w:szCs w:val="16"/>
          <w:lang w:val="ro-MD"/>
        </w:rPr>
      </w:pPr>
      <w:r w:rsidRPr="002751FC">
        <w:rPr>
          <w:rFonts w:asciiTheme="majorHAnsi" w:hAnsiTheme="majorHAnsi" w:cstheme="majorHAnsi"/>
          <w:b/>
          <w:sz w:val="16"/>
          <w:szCs w:val="16"/>
          <w:lang w:val="ro-MD"/>
        </w:rPr>
        <w:t>Sursa:</w:t>
      </w:r>
      <w:r w:rsidRPr="002751FC">
        <w:rPr>
          <w:rFonts w:asciiTheme="majorHAnsi" w:hAnsiTheme="majorHAnsi" w:cstheme="majorHAnsi"/>
          <w:sz w:val="16"/>
          <w:szCs w:val="16"/>
          <w:lang w:val="ro-MD"/>
        </w:rPr>
        <w:t xml:space="preserve"> Datele ONVV.</w:t>
      </w:r>
    </w:p>
    <w:p w:rsidR="00CF13C7" w:rsidRPr="002751FC" w:rsidRDefault="00CF13C7" w:rsidP="00243401">
      <w:pPr>
        <w:spacing w:after="0"/>
        <w:jc w:val="both"/>
        <w:rPr>
          <w:rFonts w:asciiTheme="majorHAnsi" w:hAnsiTheme="majorHAnsi" w:cstheme="majorHAnsi"/>
          <w:sz w:val="28"/>
          <w:szCs w:val="28"/>
          <w:lang w:val="ro-MD"/>
        </w:rPr>
      </w:pPr>
    </w:p>
    <w:p w:rsidR="002B0C1F" w:rsidRPr="002751FC" w:rsidRDefault="002B0C1F" w:rsidP="00243401">
      <w:pPr>
        <w:spacing w:after="0"/>
        <w:jc w:val="both"/>
        <w:rPr>
          <w:rFonts w:asciiTheme="majorHAnsi" w:hAnsiTheme="majorHAnsi" w:cstheme="majorHAnsi"/>
          <w:i/>
          <w:sz w:val="28"/>
          <w:szCs w:val="28"/>
          <w:lang w:val="ro-MD"/>
        </w:rPr>
      </w:pPr>
      <w:r w:rsidRPr="002751FC">
        <w:rPr>
          <w:rFonts w:asciiTheme="majorHAnsi" w:hAnsiTheme="majorHAnsi" w:cstheme="majorHAnsi"/>
          <w:sz w:val="28"/>
          <w:szCs w:val="28"/>
          <w:lang w:val="ro-MD"/>
        </w:rPr>
        <w:t xml:space="preserve">Evoluția altor categorii de export per total denotă </w:t>
      </w:r>
      <w:r w:rsidR="00E84144" w:rsidRPr="002751FC">
        <w:rPr>
          <w:rFonts w:asciiTheme="majorHAnsi" w:hAnsiTheme="majorHAnsi" w:cstheme="majorHAnsi"/>
          <w:sz w:val="28"/>
          <w:szCs w:val="28"/>
          <w:lang w:val="ro-MD"/>
        </w:rPr>
        <w:t xml:space="preserve">o </w:t>
      </w:r>
      <w:r w:rsidRPr="002751FC">
        <w:rPr>
          <w:rFonts w:asciiTheme="majorHAnsi" w:hAnsiTheme="majorHAnsi" w:cstheme="majorHAnsi"/>
          <w:sz w:val="28"/>
          <w:szCs w:val="28"/>
          <w:lang w:val="ro-MD"/>
        </w:rPr>
        <w:t xml:space="preserve">creștere de la 118,2 </w:t>
      </w:r>
      <w:proofErr w:type="spellStart"/>
      <w:r w:rsidRPr="002751FC">
        <w:rPr>
          <w:rFonts w:asciiTheme="majorHAnsi" w:hAnsiTheme="majorHAnsi" w:cstheme="majorHAnsi"/>
          <w:sz w:val="28"/>
          <w:szCs w:val="28"/>
          <w:lang w:val="ro-MD"/>
        </w:rPr>
        <w:t>mil.litri</w:t>
      </w:r>
      <w:proofErr w:type="spellEnd"/>
      <w:r w:rsidRPr="002751FC">
        <w:rPr>
          <w:rFonts w:asciiTheme="majorHAnsi" w:hAnsiTheme="majorHAnsi" w:cstheme="majorHAnsi"/>
          <w:sz w:val="28"/>
          <w:szCs w:val="28"/>
          <w:lang w:val="ro-MD"/>
        </w:rPr>
        <w:t xml:space="preserve"> în anul 2015 până la 143,8 </w:t>
      </w:r>
      <w:proofErr w:type="spellStart"/>
      <w:r w:rsidRPr="002751FC">
        <w:rPr>
          <w:rFonts w:asciiTheme="majorHAnsi" w:hAnsiTheme="majorHAnsi" w:cstheme="majorHAnsi"/>
          <w:sz w:val="28"/>
          <w:szCs w:val="28"/>
          <w:lang w:val="ro-MD"/>
        </w:rPr>
        <w:t>mil.litri</w:t>
      </w:r>
      <w:proofErr w:type="spellEnd"/>
      <w:r w:rsidRPr="002751FC">
        <w:rPr>
          <w:rFonts w:asciiTheme="majorHAnsi" w:hAnsiTheme="majorHAnsi" w:cstheme="majorHAnsi"/>
          <w:sz w:val="28"/>
          <w:szCs w:val="28"/>
          <w:lang w:val="ro-MD"/>
        </w:rPr>
        <w:t xml:space="preserve"> în anul 2018, totodată unele </w:t>
      </w:r>
      <w:r w:rsidR="00E26EB7" w:rsidRPr="002751FC">
        <w:rPr>
          <w:rFonts w:asciiTheme="majorHAnsi" w:hAnsiTheme="majorHAnsi" w:cstheme="majorHAnsi"/>
          <w:sz w:val="28"/>
          <w:szCs w:val="28"/>
          <w:lang w:val="ro-MD"/>
        </w:rPr>
        <w:t>categorii</w:t>
      </w:r>
      <w:r w:rsidRPr="002751FC">
        <w:rPr>
          <w:rFonts w:asciiTheme="majorHAnsi" w:hAnsiTheme="majorHAnsi" w:cstheme="majorHAnsi"/>
          <w:sz w:val="28"/>
          <w:szCs w:val="28"/>
          <w:lang w:val="ro-MD"/>
        </w:rPr>
        <w:t xml:space="preserve"> au înregistrat o </w:t>
      </w:r>
      <w:r w:rsidR="00E26EB7" w:rsidRPr="002751FC">
        <w:rPr>
          <w:rFonts w:asciiTheme="majorHAnsi" w:hAnsiTheme="majorHAnsi" w:cstheme="majorHAnsi"/>
          <w:sz w:val="28"/>
          <w:szCs w:val="28"/>
          <w:lang w:val="ro-MD"/>
        </w:rPr>
        <w:t>dinamic</w:t>
      </w:r>
      <w:r w:rsidR="00E84144" w:rsidRPr="002751FC">
        <w:rPr>
          <w:rFonts w:asciiTheme="majorHAnsi" w:hAnsiTheme="majorHAnsi" w:cstheme="majorHAnsi"/>
          <w:sz w:val="28"/>
          <w:szCs w:val="28"/>
          <w:lang w:val="ro-MD"/>
        </w:rPr>
        <w:t>ă</w:t>
      </w:r>
      <w:r w:rsidRPr="002751FC">
        <w:rPr>
          <w:rFonts w:asciiTheme="majorHAnsi" w:hAnsiTheme="majorHAnsi" w:cstheme="majorHAnsi"/>
          <w:sz w:val="28"/>
          <w:szCs w:val="28"/>
          <w:lang w:val="ro-MD"/>
        </w:rPr>
        <w:t xml:space="preserve"> </w:t>
      </w:r>
      <w:r w:rsidR="00E26EB7" w:rsidRPr="002751FC">
        <w:rPr>
          <w:rFonts w:asciiTheme="majorHAnsi" w:hAnsiTheme="majorHAnsi" w:cstheme="majorHAnsi"/>
          <w:sz w:val="28"/>
          <w:szCs w:val="28"/>
          <w:lang w:val="ro-MD"/>
        </w:rPr>
        <w:t>neuniformă</w:t>
      </w:r>
      <w:r w:rsidRPr="002751FC">
        <w:rPr>
          <w:rFonts w:asciiTheme="majorHAnsi" w:hAnsiTheme="majorHAnsi" w:cstheme="majorHAnsi"/>
          <w:sz w:val="28"/>
          <w:szCs w:val="28"/>
          <w:lang w:val="ro-MD"/>
        </w:rPr>
        <w:t xml:space="preserve">. </w:t>
      </w:r>
      <w:r w:rsidRPr="002751FC">
        <w:rPr>
          <w:rFonts w:asciiTheme="majorHAnsi" w:hAnsiTheme="majorHAnsi" w:cstheme="majorHAnsi"/>
          <w:i/>
          <w:sz w:val="28"/>
          <w:szCs w:val="28"/>
          <w:lang w:val="ro-MD"/>
        </w:rPr>
        <w:t xml:space="preserve">Sinteza se prezintă în </w:t>
      </w:r>
      <w:r w:rsidR="00431E30">
        <w:rPr>
          <w:rFonts w:asciiTheme="majorHAnsi" w:hAnsiTheme="majorHAnsi" w:cstheme="majorHAnsi"/>
          <w:i/>
          <w:sz w:val="28"/>
          <w:szCs w:val="28"/>
          <w:lang w:val="ro-MD"/>
        </w:rPr>
        <w:t>t</w:t>
      </w:r>
      <w:r w:rsidRPr="002751FC">
        <w:rPr>
          <w:rFonts w:asciiTheme="majorHAnsi" w:hAnsiTheme="majorHAnsi" w:cstheme="majorHAnsi"/>
          <w:i/>
          <w:sz w:val="28"/>
          <w:szCs w:val="28"/>
          <w:lang w:val="ro-MD"/>
        </w:rPr>
        <w:t>abelul de mai jos.</w:t>
      </w:r>
    </w:p>
    <w:p w:rsidR="00085EA3" w:rsidRPr="002751FC" w:rsidRDefault="00085EA3" w:rsidP="00243401">
      <w:pPr>
        <w:spacing w:after="0"/>
        <w:jc w:val="both"/>
        <w:rPr>
          <w:rFonts w:asciiTheme="majorHAnsi" w:hAnsiTheme="majorHAnsi" w:cstheme="majorHAnsi"/>
          <w:sz w:val="20"/>
          <w:szCs w:val="20"/>
          <w:lang w:val="ro-MD"/>
        </w:rPr>
      </w:pPr>
    </w:p>
    <w:p w:rsidR="00CF13C7" w:rsidRPr="002751FC" w:rsidRDefault="002B0C1F" w:rsidP="00CF13C7">
      <w:pPr>
        <w:spacing w:after="0"/>
        <w:jc w:val="right"/>
        <w:rPr>
          <w:rFonts w:asciiTheme="majorHAnsi" w:hAnsiTheme="majorHAnsi" w:cstheme="majorHAnsi"/>
          <w:b/>
          <w:sz w:val="20"/>
          <w:szCs w:val="20"/>
          <w:lang w:val="ro-MD"/>
        </w:rPr>
      </w:pPr>
      <w:r w:rsidRPr="002751FC">
        <w:rPr>
          <w:rFonts w:asciiTheme="majorHAnsi" w:hAnsiTheme="majorHAnsi" w:cstheme="majorHAnsi"/>
          <w:b/>
          <w:sz w:val="20"/>
          <w:szCs w:val="20"/>
          <w:lang w:val="ro-MD"/>
        </w:rPr>
        <w:t>Tabelul nr.1</w:t>
      </w:r>
      <w:r w:rsidR="001C03CB" w:rsidRPr="002751FC">
        <w:rPr>
          <w:rFonts w:asciiTheme="majorHAnsi" w:hAnsiTheme="majorHAnsi" w:cstheme="majorHAnsi"/>
          <w:b/>
          <w:sz w:val="20"/>
          <w:szCs w:val="20"/>
          <w:lang w:val="ro-MD"/>
        </w:rPr>
        <w:t>7</w:t>
      </w:r>
    </w:p>
    <w:p w:rsidR="002B0C1F" w:rsidRPr="002751FC" w:rsidRDefault="002B0C1F" w:rsidP="00DB4DFE">
      <w:pPr>
        <w:spacing w:after="0"/>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Sinteza altor categorii de export</w:t>
      </w:r>
    </w:p>
    <w:tbl>
      <w:tblPr>
        <w:tblStyle w:val="ae"/>
        <w:tblW w:w="10022" w:type="dxa"/>
        <w:tblLook w:val="04A0" w:firstRow="1" w:lastRow="0" w:firstColumn="1" w:lastColumn="0" w:noHBand="0" w:noVBand="1"/>
      </w:tblPr>
      <w:tblGrid>
        <w:gridCol w:w="675"/>
        <w:gridCol w:w="2665"/>
        <w:gridCol w:w="1670"/>
        <w:gridCol w:w="1670"/>
        <w:gridCol w:w="1671"/>
        <w:gridCol w:w="1671"/>
      </w:tblGrid>
      <w:tr w:rsidR="002B0C1F" w:rsidRPr="002751FC" w:rsidTr="00B77E10">
        <w:trPr>
          <w:trHeight w:val="163"/>
        </w:trPr>
        <w:tc>
          <w:tcPr>
            <w:tcW w:w="675" w:type="dxa"/>
            <w:vMerge w:val="restart"/>
            <w:shd w:val="clear" w:color="auto" w:fill="DEEAF6" w:themeFill="accent1" w:themeFillTint="33"/>
            <w:vAlign w:val="center"/>
          </w:tcPr>
          <w:p w:rsidR="002B0C1F" w:rsidRPr="002751FC" w:rsidRDefault="002B0C1F" w:rsidP="00B77E10">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Nr. d/o</w:t>
            </w:r>
          </w:p>
        </w:tc>
        <w:tc>
          <w:tcPr>
            <w:tcW w:w="2665" w:type="dxa"/>
            <w:vMerge w:val="restart"/>
            <w:shd w:val="clear" w:color="auto" w:fill="DEEAF6" w:themeFill="accent1" w:themeFillTint="33"/>
            <w:vAlign w:val="center"/>
          </w:tcPr>
          <w:p w:rsidR="002B0C1F" w:rsidRPr="002751FC" w:rsidRDefault="002B0C1F" w:rsidP="00B77E10">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Categorie</w:t>
            </w:r>
          </w:p>
        </w:tc>
        <w:tc>
          <w:tcPr>
            <w:tcW w:w="6682" w:type="dxa"/>
            <w:gridSpan w:val="4"/>
            <w:shd w:val="clear" w:color="auto" w:fill="DEEAF6" w:themeFill="accent1" w:themeFillTint="33"/>
          </w:tcPr>
          <w:p w:rsidR="002B0C1F" w:rsidRPr="002751FC" w:rsidRDefault="002B0C1F" w:rsidP="00B77E10">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 xml:space="preserve">Volum, </w:t>
            </w:r>
            <w:proofErr w:type="spellStart"/>
            <w:r w:rsidRPr="002751FC">
              <w:rPr>
                <w:rFonts w:asciiTheme="majorHAnsi" w:hAnsiTheme="majorHAnsi" w:cstheme="majorHAnsi"/>
                <w:b/>
                <w:sz w:val="18"/>
                <w:szCs w:val="18"/>
                <w:lang w:val="ro-MD"/>
              </w:rPr>
              <w:t>mil.litri</w:t>
            </w:r>
            <w:proofErr w:type="spellEnd"/>
          </w:p>
        </w:tc>
      </w:tr>
      <w:tr w:rsidR="002B0C1F" w:rsidRPr="002751FC" w:rsidTr="008E6A80">
        <w:trPr>
          <w:trHeight w:val="181"/>
        </w:trPr>
        <w:tc>
          <w:tcPr>
            <w:tcW w:w="675" w:type="dxa"/>
            <w:vMerge/>
            <w:shd w:val="clear" w:color="auto" w:fill="DEEAF6" w:themeFill="accent1" w:themeFillTint="33"/>
          </w:tcPr>
          <w:p w:rsidR="002B0C1F" w:rsidRPr="002751FC" w:rsidRDefault="002B0C1F" w:rsidP="007C2803">
            <w:pPr>
              <w:rPr>
                <w:rFonts w:asciiTheme="majorHAnsi" w:hAnsiTheme="majorHAnsi" w:cstheme="majorHAnsi"/>
                <w:b/>
                <w:sz w:val="18"/>
                <w:szCs w:val="18"/>
                <w:lang w:val="ro-MD"/>
              </w:rPr>
            </w:pPr>
          </w:p>
        </w:tc>
        <w:tc>
          <w:tcPr>
            <w:tcW w:w="2665" w:type="dxa"/>
            <w:vMerge/>
            <w:shd w:val="clear" w:color="auto" w:fill="DEEAF6" w:themeFill="accent1" w:themeFillTint="33"/>
          </w:tcPr>
          <w:p w:rsidR="002B0C1F" w:rsidRPr="002751FC" w:rsidRDefault="002B0C1F" w:rsidP="007C2803">
            <w:pPr>
              <w:rPr>
                <w:rFonts w:asciiTheme="majorHAnsi" w:hAnsiTheme="majorHAnsi" w:cstheme="majorHAnsi"/>
                <w:b/>
                <w:sz w:val="18"/>
                <w:szCs w:val="18"/>
                <w:lang w:val="ro-MD"/>
              </w:rPr>
            </w:pPr>
          </w:p>
        </w:tc>
        <w:tc>
          <w:tcPr>
            <w:tcW w:w="1670" w:type="dxa"/>
            <w:shd w:val="clear" w:color="auto" w:fill="DEEAF6" w:themeFill="accent1" w:themeFillTint="33"/>
          </w:tcPr>
          <w:p w:rsidR="002B0C1F" w:rsidRPr="002751FC" w:rsidRDefault="002B0C1F" w:rsidP="007C2803">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2015</w:t>
            </w:r>
          </w:p>
        </w:tc>
        <w:tc>
          <w:tcPr>
            <w:tcW w:w="1670" w:type="dxa"/>
            <w:shd w:val="clear" w:color="auto" w:fill="DEEAF6" w:themeFill="accent1" w:themeFillTint="33"/>
          </w:tcPr>
          <w:p w:rsidR="002B0C1F" w:rsidRPr="002751FC" w:rsidRDefault="002B0C1F" w:rsidP="007C2803">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2016</w:t>
            </w:r>
          </w:p>
        </w:tc>
        <w:tc>
          <w:tcPr>
            <w:tcW w:w="1671" w:type="dxa"/>
            <w:shd w:val="clear" w:color="auto" w:fill="DEEAF6" w:themeFill="accent1" w:themeFillTint="33"/>
          </w:tcPr>
          <w:p w:rsidR="002B0C1F" w:rsidRPr="002751FC" w:rsidRDefault="002B0C1F" w:rsidP="007C2803">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2017</w:t>
            </w:r>
          </w:p>
        </w:tc>
        <w:tc>
          <w:tcPr>
            <w:tcW w:w="1671" w:type="dxa"/>
            <w:shd w:val="clear" w:color="auto" w:fill="DEEAF6" w:themeFill="accent1" w:themeFillTint="33"/>
          </w:tcPr>
          <w:p w:rsidR="002B0C1F" w:rsidRPr="002751FC" w:rsidRDefault="002B0C1F" w:rsidP="007C2803">
            <w:pPr>
              <w:jc w:val="center"/>
              <w:rPr>
                <w:rFonts w:asciiTheme="majorHAnsi" w:hAnsiTheme="majorHAnsi" w:cstheme="majorHAnsi"/>
                <w:b/>
                <w:sz w:val="18"/>
                <w:szCs w:val="18"/>
                <w:lang w:val="ro-MD"/>
              </w:rPr>
            </w:pPr>
            <w:r w:rsidRPr="002751FC">
              <w:rPr>
                <w:rFonts w:asciiTheme="majorHAnsi" w:hAnsiTheme="majorHAnsi" w:cstheme="majorHAnsi"/>
                <w:b/>
                <w:sz w:val="18"/>
                <w:szCs w:val="18"/>
                <w:lang w:val="ro-MD"/>
              </w:rPr>
              <w:t>2018</w:t>
            </w:r>
          </w:p>
        </w:tc>
      </w:tr>
      <w:tr w:rsidR="002B0C1F" w:rsidRPr="002751FC" w:rsidTr="008E6A80">
        <w:trPr>
          <w:trHeight w:val="171"/>
        </w:trPr>
        <w:tc>
          <w:tcPr>
            <w:tcW w:w="675" w:type="dxa"/>
          </w:tcPr>
          <w:p w:rsidR="002B0C1F" w:rsidRPr="002751FC" w:rsidRDefault="002B0C1F"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1</w:t>
            </w:r>
          </w:p>
        </w:tc>
        <w:tc>
          <w:tcPr>
            <w:tcW w:w="2665" w:type="dxa"/>
          </w:tcPr>
          <w:p w:rsidR="002B0C1F" w:rsidRPr="002751FC" w:rsidRDefault="00687BAB"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Vin liniștit în vrac</w:t>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77,4</w:t>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95,5</w:t>
            </w:r>
            <w:r w:rsidRPr="002751FC">
              <w:rPr>
                <w:rFonts w:asciiTheme="majorHAnsi" w:hAnsiTheme="majorHAnsi" w:cstheme="majorHAnsi"/>
                <w:color w:val="00B050"/>
                <w:sz w:val="18"/>
                <w:szCs w:val="18"/>
                <w:lang w:val="ro-MD"/>
              </w:rPr>
              <w:sym w:font="Wingdings" w:char="F0E9"/>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97,5</w:t>
            </w:r>
            <w:r w:rsidRPr="002751FC">
              <w:rPr>
                <w:rFonts w:asciiTheme="majorHAnsi" w:hAnsiTheme="majorHAnsi" w:cstheme="majorHAnsi"/>
                <w:color w:val="00B050"/>
                <w:sz w:val="18"/>
                <w:szCs w:val="18"/>
                <w:lang w:val="ro-MD"/>
              </w:rPr>
              <w:sym w:font="Wingdings" w:char="F0E9"/>
            </w:r>
          </w:p>
        </w:tc>
        <w:tc>
          <w:tcPr>
            <w:tcW w:w="1671" w:type="dxa"/>
          </w:tcPr>
          <w:p w:rsidR="002B0C1F" w:rsidRPr="002751FC" w:rsidRDefault="002B0C1F" w:rsidP="007C2803">
            <w:pPr>
              <w:jc w:val="right"/>
              <w:rPr>
                <w:rFonts w:asciiTheme="majorHAnsi" w:hAnsiTheme="majorHAnsi" w:cstheme="majorHAnsi"/>
                <w:color w:val="FF0000"/>
                <w:sz w:val="18"/>
                <w:szCs w:val="18"/>
                <w:lang w:val="ro-MD"/>
              </w:rPr>
            </w:pPr>
            <w:r w:rsidRPr="002751FC">
              <w:rPr>
                <w:rFonts w:asciiTheme="majorHAnsi" w:hAnsiTheme="majorHAnsi" w:cstheme="majorHAnsi"/>
                <w:sz w:val="18"/>
                <w:szCs w:val="18"/>
                <w:lang w:val="ro-MD"/>
              </w:rPr>
              <w:t>95,1</w:t>
            </w:r>
            <w:r w:rsidRPr="002751FC">
              <w:rPr>
                <w:rFonts w:asciiTheme="majorHAnsi" w:hAnsiTheme="majorHAnsi" w:cstheme="majorHAnsi"/>
                <w:color w:val="FF0000"/>
                <w:sz w:val="18"/>
                <w:szCs w:val="18"/>
                <w:lang w:val="ro-MD"/>
              </w:rPr>
              <w:sym w:font="Wingdings" w:char="F0EA"/>
            </w:r>
          </w:p>
        </w:tc>
      </w:tr>
      <w:tr w:rsidR="002B0C1F" w:rsidRPr="002751FC" w:rsidTr="008E6A80">
        <w:trPr>
          <w:trHeight w:val="222"/>
        </w:trPr>
        <w:tc>
          <w:tcPr>
            <w:tcW w:w="675" w:type="dxa"/>
          </w:tcPr>
          <w:p w:rsidR="002B0C1F" w:rsidRPr="002751FC" w:rsidRDefault="002B0C1F"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2</w:t>
            </w:r>
          </w:p>
        </w:tc>
        <w:tc>
          <w:tcPr>
            <w:tcW w:w="2665" w:type="dxa"/>
          </w:tcPr>
          <w:p w:rsidR="002B0C1F" w:rsidRPr="002751FC" w:rsidRDefault="002B0C1F"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Vin liniștit îmbuteliat</w:t>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30,3</w:t>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31,6</w:t>
            </w:r>
            <w:r w:rsidRPr="002751FC">
              <w:rPr>
                <w:rFonts w:asciiTheme="majorHAnsi" w:hAnsiTheme="majorHAnsi" w:cstheme="majorHAnsi"/>
                <w:color w:val="00B050"/>
                <w:sz w:val="18"/>
                <w:szCs w:val="18"/>
                <w:lang w:val="ro-MD"/>
              </w:rPr>
              <w:sym w:font="Wingdings" w:char="F0E9"/>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37,6</w:t>
            </w:r>
            <w:r w:rsidRPr="002751FC">
              <w:rPr>
                <w:rFonts w:asciiTheme="majorHAnsi" w:hAnsiTheme="majorHAnsi" w:cstheme="majorHAnsi"/>
                <w:color w:val="00B050"/>
                <w:sz w:val="18"/>
                <w:szCs w:val="18"/>
                <w:lang w:val="ro-MD"/>
              </w:rPr>
              <w:sym w:font="Wingdings" w:char="F0E9"/>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38,5</w:t>
            </w:r>
            <w:r w:rsidRPr="002751FC">
              <w:rPr>
                <w:rFonts w:asciiTheme="majorHAnsi" w:hAnsiTheme="majorHAnsi" w:cstheme="majorHAnsi"/>
                <w:color w:val="00B050"/>
                <w:sz w:val="18"/>
                <w:szCs w:val="18"/>
                <w:lang w:val="ro-MD"/>
              </w:rPr>
              <w:sym w:font="Wingdings" w:char="F0E9"/>
            </w:r>
          </w:p>
        </w:tc>
      </w:tr>
      <w:tr w:rsidR="002B0C1F" w:rsidRPr="002751FC" w:rsidTr="008E6A80">
        <w:trPr>
          <w:trHeight w:val="222"/>
        </w:trPr>
        <w:tc>
          <w:tcPr>
            <w:tcW w:w="675" w:type="dxa"/>
          </w:tcPr>
          <w:p w:rsidR="002B0C1F" w:rsidRPr="002751FC" w:rsidRDefault="002B0C1F"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3</w:t>
            </w:r>
          </w:p>
        </w:tc>
        <w:tc>
          <w:tcPr>
            <w:tcW w:w="2665" w:type="dxa"/>
          </w:tcPr>
          <w:p w:rsidR="002B0C1F" w:rsidRPr="002751FC" w:rsidRDefault="002B0C1F"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Divin</w:t>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4,7</w:t>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3,7</w:t>
            </w:r>
            <w:r w:rsidRPr="002751FC">
              <w:rPr>
                <w:rFonts w:asciiTheme="majorHAnsi" w:hAnsiTheme="majorHAnsi" w:cstheme="majorHAnsi"/>
                <w:color w:val="FF0000"/>
                <w:sz w:val="18"/>
                <w:szCs w:val="18"/>
                <w:lang w:val="ro-MD"/>
              </w:rPr>
              <w:sym w:font="Wingdings" w:char="F0EA"/>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3,2</w:t>
            </w:r>
            <w:r w:rsidRPr="002751FC">
              <w:rPr>
                <w:rFonts w:asciiTheme="majorHAnsi" w:hAnsiTheme="majorHAnsi" w:cstheme="majorHAnsi"/>
                <w:color w:val="FF0000"/>
                <w:sz w:val="18"/>
                <w:szCs w:val="18"/>
                <w:lang w:val="ro-MD"/>
              </w:rPr>
              <w:sym w:font="Wingdings" w:char="F0EA"/>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4,3</w:t>
            </w:r>
            <w:r w:rsidRPr="002751FC">
              <w:rPr>
                <w:rFonts w:asciiTheme="majorHAnsi" w:hAnsiTheme="majorHAnsi" w:cstheme="majorHAnsi"/>
                <w:color w:val="00B050"/>
                <w:sz w:val="18"/>
                <w:szCs w:val="18"/>
                <w:lang w:val="ro-MD"/>
              </w:rPr>
              <w:sym w:font="Wingdings" w:char="F0E9"/>
            </w:r>
          </w:p>
        </w:tc>
      </w:tr>
      <w:tr w:rsidR="002B0C1F" w:rsidRPr="002751FC" w:rsidTr="008E6A80">
        <w:trPr>
          <w:trHeight w:val="222"/>
        </w:trPr>
        <w:tc>
          <w:tcPr>
            <w:tcW w:w="675" w:type="dxa"/>
          </w:tcPr>
          <w:p w:rsidR="002B0C1F" w:rsidRPr="002751FC" w:rsidRDefault="002B0C1F"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4</w:t>
            </w:r>
          </w:p>
        </w:tc>
        <w:tc>
          <w:tcPr>
            <w:tcW w:w="2665" w:type="dxa"/>
          </w:tcPr>
          <w:p w:rsidR="002B0C1F" w:rsidRPr="002751FC" w:rsidRDefault="002B0C1F"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Vinuri licoroase</w:t>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3,5</w:t>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4,2</w:t>
            </w:r>
            <w:r w:rsidRPr="002751FC">
              <w:rPr>
                <w:rFonts w:asciiTheme="majorHAnsi" w:hAnsiTheme="majorHAnsi" w:cstheme="majorHAnsi"/>
                <w:color w:val="00B050"/>
                <w:sz w:val="18"/>
                <w:szCs w:val="18"/>
                <w:lang w:val="ro-MD"/>
              </w:rPr>
              <w:sym w:font="Wingdings" w:char="F0E9"/>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3,4</w:t>
            </w:r>
            <w:r w:rsidRPr="002751FC">
              <w:rPr>
                <w:rFonts w:asciiTheme="majorHAnsi" w:hAnsiTheme="majorHAnsi" w:cstheme="majorHAnsi"/>
                <w:color w:val="FF0000"/>
                <w:sz w:val="18"/>
                <w:szCs w:val="18"/>
                <w:lang w:val="ro-MD"/>
              </w:rPr>
              <w:sym w:font="Wingdings" w:char="F0EA"/>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3,5</w:t>
            </w:r>
            <w:r w:rsidRPr="002751FC">
              <w:rPr>
                <w:rFonts w:asciiTheme="majorHAnsi" w:hAnsiTheme="majorHAnsi" w:cstheme="majorHAnsi"/>
                <w:color w:val="00B050"/>
                <w:sz w:val="18"/>
                <w:szCs w:val="18"/>
                <w:lang w:val="ro-MD"/>
              </w:rPr>
              <w:sym w:font="Wingdings" w:char="F0E9"/>
            </w:r>
          </w:p>
        </w:tc>
      </w:tr>
      <w:tr w:rsidR="002B0C1F" w:rsidRPr="002751FC" w:rsidTr="008E6A80">
        <w:trPr>
          <w:trHeight w:val="222"/>
        </w:trPr>
        <w:tc>
          <w:tcPr>
            <w:tcW w:w="675" w:type="dxa"/>
          </w:tcPr>
          <w:p w:rsidR="002B0C1F" w:rsidRPr="002751FC" w:rsidRDefault="002B0C1F"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5</w:t>
            </w:r>
          </w:p>
        </w:tc>
        <w:tc>
          <w:tcPr>
            <w:tcW w:w="2665" w:type="dxa"/>
          </w:tcPr>
          <w:p w:rsidR="002B0C1F" w:rsidRPr="002751FC" w:rsidRDefault="002B0C1F"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Vin spumant</w:t>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2,0</w:t>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1,8</w:t>
            </w:r>
            <w:r w:rsidRPr="002751FC">
              <w:rPr>
                <w:rFonts w:asciiTheme="majorHAnsi" w:hAnsiTheme="majorHAnsi" w:cstheme="majorHAnsi"/>
                <w:color w:val="FF0000"/>
                <w:sz w:val="18"/>
                <w:szCs w:val="18"/>
                <w:lang w:val="ro-MD"/>
              </w:rPr>
              <w:sym w:font="Wingdings" w:char="F0EA"/>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2,1</w:t>
            </w:r>
            <w:r w:rsidRPr="002751FC">
              <w:rPr>
                <w:rFonts w:asciiTheme="majorHAnsi" w:hAnsiTheme="majorHAnsi" w:cstheme="majorHAnsi"/>
                <w:color w:val="00B050"/>
                <w:sz w:val="18"/>
                <w:szCs w:val="18"/>
                <w:lang w:val="ro-MD"/>
              </w:rPr>
              <w:sym w:font="Wingdings" w:char="F0E9"/>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2,2</w:t>
            </w:r>
            <w:r w:rsidRPr="002751FC">
              <w:rPr>
                <w:rFonts w:asciiTheme="majorHAnsi" w:hAnsiTheme="majorHAnsi" w:cstheme="majorHAnsi"/>
                <w:color w:val="00B050"/>
                <w:sz w:val="18"/>
                <w:szCs w:val="18"/>
                <w:lang w:val="ro-MD"/>
              </w:rPr>
              <w:sym w:font="Wingdings" w:char="F0E9"/>
            </w:r>
          </w:p>
        </w:tc>
      </w:tr>
      <w:tr w:rsidR="002B0C1F" w:rsidRPr="002751FC" w:rsidTr="008E6A80">
        <w:trPr>
          <w:trHeight w:val="222"/>
        </w:trPr>
        <w:tc>
          <w:tcPr>
            <w:tcW w:w="675" w:type="dxa"/>
          </w:tcPr>
          <w:p w:rsidR="002B0C1F" w:rsidRPr="002751FC" w:rsidRDefault="002B0C1F"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6</w:t>
            </w:r>
          </w:p>
        </w:tc>
        <w:tc>
          <w:tcPr>
            <w:tcW w:w="2665" w:type="dxa"/>
          </w:tcPr>
          <w:p w:rsidR="002B0C1F" w:rsidRPr="002751FC" w:rsidRDefault="002B0C1F" w:rsidP="007C2803">
            <w:pPr>
              <w:rPr>
                <w:rFonts w:asciiTheme="majorHAnsi" w:hAnsiTheme="majorHAnsi" w:cstheme="majorHAnsi"/>
                <w:sz w:val="18"/>
                <w:szCs w:val="18"/>
                <w:lang w:val="ro-MD"/>
              </w:rPr>
            </w:pPr>
            <w:proofErr w:type="spellStart"/>
            <w:r w:rsidRPr="002751FC">
              <w:rPr>
                <w:rFonts w:asciiTheme="majorHAnsi" w:hAnsiTheme="majorHAnsi" w:cstheme="majorHAnsi"/>
                <w:sz w:val="18"/>
                <w:szCs w:val="18"/>
                <w:lang w:val="ro-MD"/>
              </w:rPr>
              <w:t>Vermouth</w:t>
            </w:r>
            <w:proofErr w:type="spellEnd"/>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0,3</w:t>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0,083</w:t>
            </w:r>
            <w:r w:rsidRPr="002751FC">
              <w:rPr>
                <w:rFonts w:asciiTheme="majorHAnsi" w:hAnsiTheme="majorHAnsi" w:cstheme="majorHAnsi"/>
                <w:color w:val="FF0000"/>
                <w:sz w:val="18"/>
                <w:szCs w:val="18"/>
                <w:lang w:val="ro-MD"/>
              </w:rPr>
              <w:sym w:font="Wingdings" w:char="F0EA"/>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0,3</w:t>
            </w:r>
            <w:r w:rsidRPr="002751FC">
              <w:rPr>
                <w:rFonts w:asciiTheme="majorHAnsi" w:hAnsiTheme="majorHAnsi" w:cstheme="majorHAnsi"/>
                <w:color w:val="00B050"/>
                <w:sz w:val="18"/>
                <w:szCs w:val="18"/>
                <w:lang w:val="ro-MD"/>
              </w:rPr>
              <w:sym w:font="Wingdings" w:char="F0E9"/>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0,02</w:t>
            </w:r>
            <w:r w:rsidRPr="002751FC">
              <w:rPr>
                <w:rFonts w:asciiTheme="majorHAnsi" w:hAnsiTheme="majorHAnsi" w:cstheme="majorHAnsi"/>
                <w:color w:val="FF0000"/>
                <w:sz w:val="18"/>
                <w:szCs w:val="18"/>
                <w:lang w:val="ro-MD"/>
              </w:rPr>
              <w:sym w:font="Wingdings" w:char="F0EA"/>
            </w:r>
          </w:p>
        </w:tc>
      </w:tr>
      <w:tr w:rsidR="002B0C1F" w:rsidRPr="002751FC" w:rsidTr="008E6A80">
        <w:trPr>
          <w:trHeight w:val="222"/>
        </w:trPr>
        <w:tc>
          <w:tcPr>
            <w:tcW w:w="675" w:type="dxa"/>
          </w:tcPr>
          <w:p w:rsidR="002B0C1F" w:rsidRPr="002751FC" w:rsidRDefault="002B0C1F"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7</w:t>
            </w:r>
          </w:p>
        </w:tc>
        <w:tc>
          <w:tcPr>
            <w:tcW w:w="2665" w:type="dxa"/>
          </w:tcPr>
          <w:p w:rsidR="002B0C1F" w:rsidRPr="002751FC" w:rsidRDefault="002B0C1F"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Brandy</w:t>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0,004</w:t>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0,018</w:t>
            </w:r>
            <w:r w:rsidRPr="002751FC">
              <w:rPr>
                <w:rFonts w:asciiTheme="majorHAnsi" w:hAnsiTheme="majorHAnsi" w:cstheme="majorHAnsi"/>
                <w:color w:val="00B050"/>
                <w:sz w:val="18"/>
                <w:szCs w:val="18"/>
                <w:lang w:val="ro-MD"/>
              </w:rPr>
              <w:sym w:font="Wingdings" w:char="F0E9"/>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0,004</w:t>
            </w:r>
            <w:r w:rsidRPr="002751FC">
              <w:rPr>
                <w:rFonts w:asciiTheme="majorHAnsi" w:hAnsiTheme="majorHAnsi" w:cstheme="majorHAnsi"/>
                <w:color w:val="FF0000"/>
                <w:sz w:val="18"/>
                <w:szCs w:val="18"/>
                <w:lang w:val="ro-MD"/>
              </w:rPr>
              <w:sym w:font="Wingdings" w:char="F0EA"/>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0,003</w:t>
            </w:r>
            <w:r w:rsidRPr="002751FC">
              <w:rPr>
                <w:rFonts w:asciiTheme="majorHAnsi" w:hAnsiTheme="majorHAnsi" w:cstheme="majorHAnsi"/>
                <w:color w:val="FF0000"/>
                <w:sz w:val="18"/>
                <w:szCs w:val="18"/>
                <w:lang w:val="ro-MD"/>
              </w:rPr>
              <w:sym w:font="Wingdings" w:char="F0EA"/>
            </w:r>
          </w:p>
        </w:tc>
      </w:tr>
      <w:tr w:rsidR="002B0C1F" w:rsidRPr="002751FC" w:rsidTr="008E6A80">
        <w:trPr>
          <w:trHeight w:val="222"/>
        </w:trPr>
        <w:tc>
          <w:tcPr>
            <w:tcW w:w="675" w:type="dxa"/>
          </w:tcPr>
          <w:p w:rsidR="002B0C1F" w:rsidRPr="002751FC" w:rsidRDefault="002B0C1F"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8</w:t>
            </w:r>
          </w:p>
        </w:tc>
        <w:tc>
          <w:tcPr>
            <w:tcW w:w="2665" w:type="dxa"/>
          </w:tcPr>
          <w:p w:rsidR="002B0C1F" w:rsidRPr="002751FC" w:rsidRDefault="002B0C1F" w:rsidP="007C2803">
            <w:pPr>
              <w:rPr>
                <w:rFonts w:asciiTheme="majorHAnsi" w:hAnsiTheme="majorHAnsi" w:cstheme="majorHAnsi"/>
                <w:sz w:val="18"/>
                <w:szCs w:val="18"/>
                <w:lang w:val="ro-MD"/>
              </w:rPr>
            </w:pPr>
            <w:r w:rsidRPr="002751FC">
              <w:rPr>
                <w:rFonts w:asciiTheme="majorHAnsi" w:hAnsiTheme="majorHAnsi" w:cstheme="majorHAnsi"/>
                <w:sz w:val="18"/>
                <w:szCs w:val="18"/>
                <w:lang w:val="ro-MD"/>
              </w:rPr>
              <w:t>Rachiu de vin</w:t>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w:t>
            </w:r>
            <w:r w:rsidRPr="002751FC">
              <w:rPr>
                <w:rStyle w:val="ab"/>
                <w:rFonts w:asciiTheme="majorHAnsi" w:hAnsiTheme="majorHAnsi" w:cstheme="majorHAnsi"/>
                <w:sz w:val="18"/>
                <w:szCs w:val="18"/>
                <w:lang w:val="ro-MD"/>
              </w:rPr>
              <w:footnoteReference w:id="122"/>
            </w:r>
          </w:p>
        </w:tc>
        <w:tc>
          <w:tcPr>
            <w:tcW w:w="1670"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w:t>
            </w:r>
            <w:r w:rsidRPr="002751FC">
              <w:rPr>
                <w:rStyle w:val="ab"/>
                <w:rFonts w:asciiTheme="majorHAnsi" w:hAnsiTheme="majorHAnsi" w:cstheme="majorHAnsi"/>
                <w:sz w:val="18"/>
                <w:szCs w:val="18"/>
                <w:lang w:val="ro-MD"/>
              </w:rPr>
              <w:footnoteReference w:id="123"/>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0,001</w:t>
            </w:r>
            <w:r w:rsidRPr="002751FC">
              <w:rPr>
                <w:rFonts w:asciiTheme="majorHAnsi" w:hAnsiTheme="majorHAnsi" w:cstheme="majorHAnsi"/>
                <w:color w:val="00B050"/>
                <w:sz w:val="18"/>
                <w:szCs w:val="18"/>
                <w:lang w:val="ro-MD"/>
              </w:rPr>
              <w:sym w:font="Wingdings" w:char="F0E9"/>
            </w:r>
          </w:p>
        </w:tc>
        <w:tc>
          <w:tcPr>
            <w:tcW w:w="1671" w:type="dxa"/>
          </w:tcPr>
          <w:p w:rsidR="002B0C1F" w:rsidRPr="002751FC" w:rsidRDefault="002B0C1F" w:rsidP="007C2803">
            <w:pPr>
              <w:jc w:val="right"/>
              <w:rPr>
                <w:rFonts w:asciiTheme="majorHAnsi" w:hAnsiTheme="majorHAnsi" w:cstheme="majorHAnsi"/>
                <w:sz w:val="18"/>
                <w:szCs w:val="18"/>
                <w:lang w:val="ro-MD"/>
              </w:rPr>
            </w:pPr>
            <w:r w:rsidRPr="002751FC">
              <w:rPr>
                <w:rFonts w:asciiTheme="majorHAnsi" w:hAnsiTheme="majorHAnsi" w:cstheme="majorHAnsi"/>
                <w:sz w:val="18"/>
                <w:szCs w:val="18"/>
                <w:lang w:val="ro-MD"/>
              </w:rPr>
              <w:t>-</w:t>
            </w:r>
            <w:r w:rsidRPr="002751FC">
              <w:rPr>
                <w:rStyle w:val="ab"/>
                <w:rFonts w:asciiTheme="majorHAnsi" w:hAnsiTheme="majorHAnsi" w:cstheme="majorHAnsi"/>
                <w:sz w:val="18"/>
                <w:szCs w:val="18"/>
                <w:lang w:val="ro-MD"/>
              </w:rPr>
              <w:footnoteReference w:id="124"/>
            </w:r>
          </w:p>
        </w:tc>
      </w:tr>
      <w:tr w:rsidR="002B0C1F" w:rsidRPr="002751FC" w:rsidTr="008E6A80">
        <w:trPr>
          <w:trHeight w:val="222"/>
        </w:trPr>
        <w:tc>
          <w:tcPr>
            <w:tcW w:w="675" w:type="dxa"/>
            <w:shd w:val="clear" w:color="auto" w:fill="DEEAF6" w:themeFill="accent1" w:themeFillTint="33"/>
          </w:tcPr>
          <w:p w:rsidR="002B0C1F" w:rsidRPr="002751FC" w:rsidRDefault="002B0C1F" w:rsidP="007C2803">
            <w:pPr>
              <w:rPr>
                <w:rFonts w:asciiTheme="majorHAnsi" w:hAnsiTheme="majorHAnsi" w:cstheme="majorHAnsi"/>
                <w:b/>
                <w:sz w:val="18"/>
                <w:szCs w:val="18"/>
                <w:lang w:val="ro-MD"/>
              </w:rPr>
            </w:pPr>
          </w:p>
        </w:tc>
        <w:tc>
          <w:tcPr>
            <w:tcW w:w="2665" w:type="dxa"/>
            <w:shd w:val="clear" w:color="auto" w:fill="DEEAF6" w:themeFill="accent1" w:themeFillTint="33"/>
          </w:tcPr>
          <w:p w:rsidR="002B0C1F" w:rsidRPr="002751FC" w:rsidRDefault="00E84144" w:rsidP="007C2803">
            <w:pPr>
              <w:rPr>
                <w:rFonts w:asciiTheme="majorHAnsi" w:hAnsiTheme="majorHAnsi" w:cstheme="majorHAnsi"/>
                <w:b/>
                <w:sz w:val="18"/>
                <w:szCs w:val="18"/>
                <w:lang w:val="ro-MD"/>
              </w:rPr>
            </w:pPr>
            <w:r w:rsidRPr="002751FC">
              <w:rPr>
                <w:rFonts w:asciiTheme="majorHAnsi" w:hAnsiTheme="majorHAnsi" w:cstheme="majorHAnsi"/>
                <w:b/>
                <w:sz w:val="18"/>
                <w:szCs w:val="18"/>
                <w:lang w:val="ro-MD"/>
              </w:rPr>
              <w:t>Total</w:t>
            </w:r>
          </w:p>
        </w:tc>
        <w:tc>
          <w:tcPr>
            <w:tcW w:w="1670" w:type="dxa"/>
            <w:shd w:val="clear" w:color="auto" w:fill="DEEAF6" w:themeFill="accent1" w:themeFillTint="33"/>
          </w:tcPr>
          <w:p w:rsidR="002B0C1F" w:rsidRPr="002751FC" w:rsidRDefault="002B0C1F" w:rsidP="007C2803">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118,2</w:t>
            </w:r>
          </w:p>
        </w:tc>
        <w:tc>
          <w:tcPr>
            <w:tcW w:w="1670" w:type="dxa"/>
            <w:shd w:val="clear" w:color="auto" w:fill="DEEAF6" w:themeFill="accent1" w:themeFillTint="33"/>
          </w:tcPr>
          <w:p w:rsidR="002B0C1F" w:rsidRPr="002751FC" w:rsidRDefault="002B0C1F" w:rsidP="007C2803">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136,9</w:t>
            </w:r>
          </w:p>
        </w:tc>
        <w:tc>
          <w:tcPr>
            <w:tcW w:w="1671" w:type="dxa"/>
            <w:shd w:val="clear" w:color="auto" w:fill="DEEAF6" w:themeFill="accent1" w:themeFillTint="33"/>
          </w:tcPr>
          <w:p w:rsidR="002B0C1F" w:rsidRPr="002751FC" w:rsidRDefault="002B0C1F" w:rsidP="007C2803">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144,1</w:t>
            </w:r>
          </w:p>
        </w:tc>
        <w:tc>
          <w:tcPr>
            <w:tcW w:w="1671" w:type="dxa"/>
            <w:shd w:val="clear" w:color="auto" w:fill="DEEAF6" w:themeFill="accent1" w:themeFillTint="33"/>
          </w:tcPr>
          <w:p w:rsidR="002B0C1F" w:rsidRPr="002751FC" w:rsidRDefault="002B0C1F" w:rsidP="007C2803">
            <w:pPr>
              <w:jc w:val="right"/>
              <w:rPr>
                <w:rFonts w:asciiTheme="majorHAnsi" w:hAnsiTheme="majorHAnsi" w:cstheme="majorHAnsi"/>
                <w:b/>
                <w:sz w:val="18"/>
                <w:szCs w:val="18"/>
                <w:lang w:val="ro-MD"/>
              </w:rPr>
            </w:pPr>
            <w:r w:rsidRPr="002751FC">
              <w:rPr>
                <w:rFonts w:asciiTheme="majorHAnsi" w:hAnsiTheme="majorHAnsi" w:cstheme="majorHAnsi"/>
                <w:b/>
                <w:sz w:val="18"/>
                <w:szCs w:val="18"/>
                <w:lang w:val="ro-MD"/>
              </w:rPr>
              <w:t>143,8</w:t>
            </w:r>
          </w:p>
        </w:tc>
      </w:tr>
    </w:tbl>
    <w:p w:rsidR="002B0C1F" w:rsidRPr="002751FC" w:rsidRDefault="002B0C1F" w:rsidP="00243401">
      <w:pPr>
        <w:spacing w:after="0"/>
        <w:rPr>
          <w:rFonts w:asciiTheme="majorHAnsi" w:hAnsiTheme="majorHAnsi" w:cstheme="majorHAnsi"/>
          <w:sz w:val="16"/>
          <w:szCs w:val="16"/>
          <w:lang w:val="ro-MD"/>
        </w:rPr>
      </w:pPr>
      <w:r w:rsidRPr="002751FC">
        <w:rPr>
          <w:rFonts w:asciiTheme="majorHAnsi" w:hAnsiTheme="majorHAnsi" w:cstheme="majorHAnsi"/>
          <w:b/>
          <w:sz w:val="16"/>
          <w:szCs w:val="16"/>
          <w:lang w:val="ro-MD"/>
        </w:rPr>
        <w:t>Sursa:</w:t>
      </w:r>
      <w:r w:rsidRPr="002751FC">
        <w:rPr>
          <w:rFonts w:asciiTheme="majorHAnsi" w:hAnsiTheme="majorHAnsi" w:cstheme="majorHAnsi"/>
          <w:sz w:val="16"/>
          <w:szCs w:val="16"/>
          <w:lang w:val="ro-MD"/>
        </w:rPr>
        <w:t xml:space="preserve"> Datele ONVV.</w:t>
      </w:r>
    </w:p>
    <w:p w:rsidR="002B0C1F" w:rsidRPr="002751FC" w:rsidRDefault="002B0C1F" w:rsidP="00243401">
      <w:pPr>
        <w:spacing w:after="0" w:line="240" w:lineRule="auto"/>
        <w:jc w:val="both"/>
        <w:rPr>
          <w:rFonts w:asciiTheme="majorHAnsi" w:eastAsia="Times New Roman" w:hAnsiTheme="majorHAnsi" w:cstheme="majorHAnsi"/>
          <w:sz w:val="28"/>
          <w:szCs w:val="28"/>
          <w:highlight w:val="yellow"/>
          <w:lang w:val="ro-MD"/>
        </w:rPr>
      </w:pPr>
    </w:p>
    <w:p w:rsidR="002B0C1F" w:rsidRPr="002751FC" w:rsidRDefault="00431E30" w:rsidP="00243401">
      <w:pPr>
        <w:spacing w:after="0"/>
        <w:jc w:val="both"/>
        <w:rPr>
          <w:rFonts w:asciiTheme="majorHAnsi" w:eastAsia="Times New Roman" w:hAnsiTheme="majorHAnsi" w:cstheme="majorHAnsi"/>
          <w:sz w:val="28"/>
          <w:szCs w:val="28"/>
          <w:lang w:val="ro-MD"/>
        </w:rPr>
      </w:pPr>
      <w:r>
        <w:rPr>
          <w:rFonts w:asciiTheme="majorHAnsi" w:eastAsia="Times New Roman" w:hAnsiTheme="majorHAnsi" w:cstheme="majorHAnsi"/>
          <w:sz w:val="28"/>
          <w:szCs w:val="28"/>
          <w:lang w:val="ro-MD"/>
        </w:rPr>
        <w:t>O t</w:t>
      </w:r>
      <w:r w:rsidR="002B0C1F" w:rsidRPr="002751FC">
        <w:rPr>
          <w:rFonts w:asciiTheme="majorHAnsi" w:eastAsia="Times New Roman" w:hAnsiTheme="majorHAnsi" w:cstheme="majorHAnsi"/>
          <w:sz w:val="28"/>
          <w:szCs w:val="28"/>
          <w:lang w:val="ro-MD"/>
        </w:rPr>
        <w:t>endinț</w:t>
      </w:r>
      <w:r>
        <w:rPr>
          <w:rFonts w:asciiTheme="majorHAnsi" w:eastAsia="Times New Roman" w:hAnsiTheme="majorHAnsi" w:cstheme="majorHAnsi"/>
          <w:sz w:val="28"/>
          <w:szCs w:val="28"/>
          <w:lang w:val="ro-MD"/>
        </w:rPr>
        <w:t>ă</w:t>
      </w:r>
      <w:r w:rsidR="002B0C1F" w:rsidRPr="002751FC">
        <w:rPr>
          <w:rFonts w:asciiTheme="majorHAnsi" w:eastAsia="Times New Roman" w:hAnsiTheme="majorHAnsi" w:cstheme="majorHAnsi"/>
          <w:sz w:val="28"/>
          <w:szCs w:val="28"/>
          <w:lang w:val="ro-MD"/>
        </w:rPr>
        <w:t xml:space="preserve"> de descreștere a volumelor de export în anul 2018 față</w:t>
      </w:r>
      <w:r w:rsidR="00D93162" w:rsidRPr="002751FC">
        <w:rPr>
          <w:rFonts w:asciiTheme="majorHAnsi" w:eastAsia="Times New Roman" w:hAnsiTheme="majorHAnsi" w:cstheme="majorHAnsi"/>
          <w:sz w:val="28"/>
          <w:szCs w:val="28"/>
          <w:lang w:val="ro-MD"/>
        </w:rPr>
        <w:t xml:space="preserve"> de anul 2017 au înregistrat v</w:t>
      </w:r>
      <w:r w:rsidR="002B0C1F" w:rsidRPr="002751FC">
        <w:rPr>
          <w:rFonts w:asciiTheme="majorHAnsi" w:eastAsia="Times New Roman" w:hAnsiTheme="majorHAnsi" w:cstheme="majorHAnsi"/>
          <w:sz w:val="28"/>
          <w:szCs w:val="28"/>
          <w:lang w:val="ro-MD"/>
        </w:rPr>
        <w:t>in</w:t>
      </w:r>
      <w:r w:rsidR="00D93162" w:rsidRPr="002751FC">
        <w:rPr>
          <w:rFonts w:asciiTheme="majorHAnsi" w:eastAsia="Times New Roman" w:hAnsiTheme="majorHAnsi" w:cstheme="majorHAnsi"/>
          <w:sz w:val="28"/>
          <w:szCs w:val="28"/>
          <w:lang w:val="ro-MD"/>
        </w:rPr>
        <w:t>ul</w:t>
      </w:r>
      <w:r w:rsidR="002B0C1F" w:rsidRPr="002751FC">
        <w:rPr>
          <w:rFonts w:asciiTheme="majorHAnsi" w:eastAsia="Times New Roman" w:hAnsiTheme="majorHAnsi" w:cstheme="majorHAnsi"/>
          <w:sz w:val="28"/>
          <w:szCs w:val="28"/>
          <w:lang w:val="ro-MD"/>
        </w:rPr>
        <w:t xml:space="preserve"> liniștit în vra</w:t>
      </w:r>
      <w:r w:rsidR="00C255BC" w:rsidRPr="002751FC">
        <w:rPr>
          <w:rFonts w:asciiTheme="majorHAnsi" w:eastAsia="Times New Roman" w:hAnsiTheme="majorHAnsi" w:cstheme="majorHAnsi"/>
          <w:sz w:val="28"/>
          <w:szCs w:val="28"/>
          <w:lang w:val="ro-MD"/>
        </w:rPr>
        <w:t>c</w:t>
      </w:r>
      <w:r w:rsidR="002B0C1F" w:rsidRPr="002751FC">
        <w:rPr>
          <w:rFonts w:asciiTheme="majorHAnsi" w:eastAsia="Times New Roman" w:hAnsiTheme="majorHAnsi" w:cstheme="majorHAnsi"/>
          <w:sz w:val="28"/>
          <w:szCs w:val="28"/>
          <w:lang w:val="ro-MD"/>
        </w:rPr>
        <w:t xml:space="preserve"> (-2,4 </w:t>
      </w:r>
      <w:proofErr w:type="spellStart"/>
      <w:r w:rsidR="002B0C1F" w:rsidRPr="002751FC">
        <w:rPr>
          <w:rFonts w:asciiTheme="majorHAnsi" w:eastAsia="Times New Roman" w:hAnsiTheme="majorHAnsi" w:cstheme="majorHAnsi"/>
          <w:sz w:val="28"/>
          <w:szCs w:val="28"/>
          <w:lang w:val="ro-MD"/>
        </w:rPr>
        <w:t>mil.litri</w:t>
      </w:r>
      <w:proofErr w:type="spellEnd"/>
      <w:r w:rsidR="002B0C1F" w:rsidRPr="002751FC">
        <w:rPr>
          <w:rFonts w:asciiTheme="majorHAnsi" w:eastAsia="Times New Roman" w:hAnsiTheme="majorHAnsi" w:cstheme="majorHAnsi"/>
          <w:sz w:val="28"/>
          <w:szCs w:val="28"/>
          <w:lang w:val="ro-MD"/>
        </w:rPr>
        <w:t xml:space="preserve">), </w:t>
      </w:r>
      <w:proofErr w:type="spellStart"/>
      <w:r w:rsidR="00D93162" w:rsidRPr="002751FC">
        <w:rPr>
          <w:rFonts w:asciiTheme="majorHAnsi" w:eastAsia="Times New Roman" w:hAnsiTheme="majorHAnsi" w:cstheme="majorHAnsi"/>
          <w:sz w:val="28"/>
          <w:szCs w:val="28"/>
          <w:lang w:val="ro-MD"/>
        </w:rPr>
        <w:t>v</w:t>
      </w:r>
      <w:r w:rsidR="002B0C1F" w:rsidRPr="002751FC">
        <w:rPr>
          <w:rFonts w:asciiTheme="majorHAnsi" w:eastAsia="Times New Roman" w:hAnsiTheme="majorHAnsi" w:cstheme="majorHAnsi"/>
          <w:sz w:val="28"/>
          <w:szCs w:val="28"/>
          <w:lang w:val="ro-MD"/>
        </w:rPr>
        <w:t>er</w:t>
      </w:r>
      <w:r w:rsidR="00E84144" w:rsidRPr="002751FC">
        <w:rPr>
          <w:rFonts w:asciiTheme="majorHAnsi" w:eastAsia="Times New Roman" w:hAnsiTheme="majorHAnsi" w:cstheme="majorHAnsi"/>
          <w:sz w:val="28"/>
          <w:szCs w:val="28"/>
          <w:lang w:val="ro-MD"/>
        </w:rPr>
        <w:t>m</w:t>
      </w:r>
      <w:r w:rsidR="002B0C1F" w:rsidRPr="002751FC">
        <w:rPr>
          <w:rFonts w:asciiTheme="majorHAnsi" w:eastAsia="Times New Roman" w:hAnsiTheme="majorHAnsi" w:cstheme="majorHAnsi"/>
          <w:sz w:val="28"/>
          <w:szCs w:val="28"/>
          <w:lang w:val="ro-MD"/>
        </w:rPr>
        <w:t>outh</w:t>
      </w:r>
      <w:proofErr w:type="spellEnd"/>
      <w:r w:rsidR="002B0C1F" w:rsidRPr="002751FC">
        <w:rPr>
          <w:rFonts w:asciiTheme="majorHAnsi" w:eastAsia="Times New Roman" w:hAnsiTheme="majorHAnsi" w:cstheme="majorHAnsi"/>
          <w:sz w:val="28"/>
          <w:szCs w:val="28"/>
          <w:lang w:val="ro-MD"/>
        </w:rPr>
        <w:t xml:space="preserve"> (-0,01 </w:t>
      </w:r>
      <w:proofErr w:type="spellStart"/>
      <w:r w:rsidR="002B0C1F" w:rsidRPr="002751FC">
        <w:rPr>
          <w:rFonts w:asciiTheme="majorHAnsi" w:eastAsia="Times New Roman" w:hAnsiTheme="majorHAnsi" w:cstheme="majorHAnsi"/>
          <w:sz w:val="28"/>
          <w:szCs w:val="28"/>
          <w:lang w:val="ro-MD"/>
        </w:rPr>
        <w:t>mil.lit</w:t>
      </w:r>
      <w:r w:rsidR="00D93162" w:rsidRPr="002751FC">
        <w:rPr>
          <w:rFonts w:asciiTheme="majorHAnsi" w:eastAsia="Times New Roman" w:hAnsiTheme="majorHAnsi" w:cstheme="majorHAnsi"/>
          <w:sz w:val="28"/>
          <w:szCs w:val="28"/>
          <w:lang w:val="ro-MD"/>
        </w:rPr>
        <w:t>ri</w:t>
      </w:r>
      <w:proofErr w:type="spellEnd"/>
      <w:r w:rsidR="002B0C1F" w:rsidRPr="002751FC">
        <w:rPr>
          <w:rFonts w:asciiTheme="majorHAnsi" w:eastAsia="Times New Roman" w:hAnsiTheme="majorHAnsi" w:cstheme="majorHAnsi"/>
          <w:sz w:val="28"/>
          <w:szCs w:val="28"/>
          <w:lang w:val="ro-MD"/>
        </w:rPr>
        <w:t xml:space="preserve">) și </w:t>
      </w:r>
      <w:r w:rsidR="00D93162" w:rsidRPr="002751FC">
        <w:rPr>
          <w:rFonts w:asciiTheme="majorHAnsi" w:eastAsia="Times New Roman" w:hAnsiTheme="majorHAnsi" w:cstheme="majorHAnsi"/>
          <w:sz w:val="28"/>
          <w:szCs w:val="28"/>
          <w:lang w:val="ro-MD"/>
        </w:rPr>
        <w:t>b</w:t>
      </w:r>
      <w:r w:rsidR="002B0C1F" w:rsidRPr="002751FC">
        <w:rPr>
          <w:rFonts w:asciiTheme="majorHAnsi" w:eastAsia="Times New Roman" w:hAnsiTheme="majorHAnsi" w:cstheme="majorHAnsi"/>
          <w:sz w:val="28"/>
          <w:szCs w:val="28"/>
          <w:lang w:val="ro-MD"/>
        </w:rPr>
        <w:t xml:space="preserve">randy (-0,001 </w:t>
      </w:r>
      <w:proofErr w:type="spellStart"/>
      <w:r w:rsidR="002B0C1F" w:rsidRPr="002751FC">
        <w:rPr>
          <w:rFonts w:asciiTheme="majorHAnsi" w:eastAsia="Times New Roman" w:hAnsiTheme="majorHAnsi" w:cstheme="majorHAnsi"/>
          <w:sz w:val="28"/>
          <w:szCs w:val="28"/>
          <w:lang w:val="ro-MD"/>
        </w:rPr>
        <w:t>mil.litr</w:t>
      </w:r>
      <w:r w:rsidR="00D93162" w:rsidRPr="002751FC">
        <w:rPr>
          <w:rFonts w:asciiTheme="majorHAnsi" w:eastAsia="Times New Roman" w:hAnsiTheme="majorHAnsi" w:cstheme="majorHAnsi"/>
          <w:sz w:val="28"/>
          <w:szCs w:val="28"/>
          <w:lang w:val="ro-MD"/>
        </w:rPr>
        <w:t>i</w:t>
      </w:r>
      <w:proofErr w:type="spellEnd"/>
      <w:r w:rsidR="002B0C1F" w:rsidRPr="002751FC">
        <w:rPr>
          <w:rFonts w:asciiTheme="majorHAnsi" w:eastAsia="Times New Roman" w:hAnsiTheme="majorHAnsi" w:cstheme="majorHAnsi"/>
          <w:sz w:val="28"/>
          <w:szCs w:val="28"/>
          <w:lang w:val="ro-MD"/>
        </w:rPr>
        <w:t xml:space="preserve">). Totodată, creșterea volumelor de export a fost înregistrată la exportul </w:t>
      </w:r>
      <w:r w:rsidR="00D93162" w:rsidRPr="002751FC">
        <w:rPr>
          <w:rFonts w:asciiTheme="majorHAnsi" w:eastAsia="Times New Roman" w:hAnsiTheme="majorHAnsi" w:cstheme="majorHAnsi"/>
          <w:sz w:val="28"/>
          <w:szCs w:val="28"/>
          <w:lang w:val="ro-MD"/>
        </w:rPr>
        <w:t>v</w:t>
      </w:r>
      <w:r w:rsidR="002B0C1F" w:rsidRPr="002751FC">
        <w:rPr>
          <w:rFonts w:asciiTheme="majorHAnsi" w:eastAsia="Times New Roman" w:hAnsiTheme="majorHAnsi" w:cstheme="majorHAnsi"/>
          <w:sz w:val="28"/>
          <w:szCs w:val="28"/>
          <w:lang w:val="ro-MD"/>
        </w:rPr>
        <w:t xml:space="preserve">inului liniștit îmbuteliat (+0,9 </w:t>
      </w:r>
      <w:proofErr w:type="spellStart"/>
      <w:r w:rsidR="002B0C1F" w:rsidRPr="002751FC">
        <w:rPr>
          <w:rFonts w:asciiTheme="majorHAnsi" w:eastAsia="Times New Roman" w:hAnsiTheme="majorHAnsi" w:cstheme="majorHAnsi"/>
          <w:sz w:val="28"/>
          <w:szCs w:val="28"/>
          <w:lang w:val="ro-MD"/>
        </w:rPr>
        <w:t>mil.litr</w:t>
      </w:r>
      <w:r w:rsidR="00D93162" w:rsidRPr="002751FC">
        <w:rPr>
          <w:rFonts w:asciiTheme="majorHAnsi" w:eastAsia="Times New Roman" w:hAnsiTheme="majorHAnsi" w:cstheme="majorHAnsi"/>
          <w:sz w:val="28"/>
          <w:szCs w:val="28"/>
          <w:lang w:val="ro-MD"/>
        </w:rPr>
        <w:t>i</w:t>
      </w:r>
      <w:proofErr w:type="spellEnd"/>
      <w:r w:rsidR="002B0C1F" w:rsidRPr="002751FC">
        <w:rPr>
          <w:rFonts w:asciiTheme="majorHAnsi" w:eastAsia="Times New Roman" w:hAnsiTheme="majorHAnsi" w:cstheme="majorHAnsi"/>
          <w:sz w:val="28"/>
          <w:szCs w:val="28"/>
          <w:lang w:val="ro-MD"/>
        </w:rPr>
        <w:t xml:space="preserve">), </w:t>
      </w:r>
      <w:proofErr w:type="spellStart"/>
      <w:r w:rsidR="00D93162" w:rsidRPr="002751FC">
        <w:rPr>
          <w:rFonts w:asciiTheme="majorHAnsi" w:eastAsia="Times New Roman" w:hAnsiTheme="majorHAnsi" w:cstheme="majorHAnsi"/>
          <w:sz w:val="28"/>
          <w:szCs w:val="28"/>
          <w:lang w:val="ro-MD"/>
        </w:rPr>
        <w:t>d</w:t>
      </w:r>
      <w:r w:rsidR="002B0C1F" w:rsidRPr="002751FC">
        <w:rPr>
          <w:rFonts w:asciiTheme="majorHAnsi" w:eastAsia="Times New Roman" w:hAnsiTheme="majorHAnsi" w:cstheme="majorHAnsi"/>
          <w:sz w:val="28"/>
          <w:szCs w:val="28"/>
          <w:lang w:val="ro-MD"/>
        </w:rPr>
        <w:t>ivinurilor</w:t>
      </w:r>
      <w:proofErr w:type="spellEnd"/>
      <w:r w:rsidR="002B0C1F" w:rsidRPr="002751FC">
        <w:rPr>
          <w:rFonts w:asciiTheme="majorHAnsi" w:eastAsia="Times New Roman" w:hAnsiTheme="majorHAnsi" w:cstheme="majorHAnsi"/>
          <w:sz w:val="28"/>
          <w:szCs w:val="28"/>
          <w:lang w:val="ro-MD"/>
        </w:rPr>
        <w:t xml:space="preserve"> (+1,1 </w:t>
      </w:r>
      <w:proofErr w:type="spellStart"/>
      <w:r w:rsidR="002B0C1F" w:rsidRPr="002751FC">
        <w:rPr>
          <w:rFonts w:asciiTheme="majorHAnsi" w:eastAsia="Times New Roman" w:hAnsiTheme="majorHAnsi" w:cstheme="majorHAnsi"/>
          <w:sz w:val="28"/>
          <w:szCs w:val="28"/>
          <w:lang w:val="ro-MD"/>
        </w:rPr>
        <w:t>mil.litri</w:t>
      </w:r>
      <w:proofErr w:type="spellEnd"/>
      <w:r w:rsidR="002B0C1F" w:rsidRPr="002751FC">
        <w:rPr>
          <w:rFonts w:asciiTheme="majorHAnsi" w:eastAsia="Times New Roman" w:hAnsiTheme="majorHAnsi" w:cstheme="majorHAnsi"/>
          <w:sz w:val="28"/>
          <w:szCs w:val="28"/>
          <w:lang w:val="ro-MD"/>
        </w:rPr>
        <w:t xml:space="preserve">), </w:t>
      </w:r>
      <w:r w:rsidR="00D93162" w:rsidRPr="002751FC">
        <w:rPr>
          <w:rFonts w:asciiTheme="majorHAnsi" w:eastAsia="Times New Roman" w:hAnsiTheme="majorHAnsi" w:cstheme="majorHAnsi"/>
          <w:sz w:val="28"/>
          <w:szCs w:val="28"/>
          <w:lang w:val="ro-MD"/>
        </w:rPr>
        <w:t xml:space="preserve">vinurilor </w:t>
      </w:r>
      <w:r w:rsidR="002B0C1F" w:rsidRPr="002751FC">
        <w:rPr>
          <w:rFonts w:asciiTheme="majorHAnsi" w:eastAsia="Times New Roman" w:hAnsiTheme="majorHAnsi" w:cstheme="majorHAnsi"/>
          <w:sz w:val="28"/>
          <w:szCs w:val="28"/>
          <w:lang w:val="ro-MD"/>
        </w:rPr>
        <w:t xml:space="preserve">licoroase (+0,1 </w:t>
      </w:r>
      <w:proofErr w:type="spellStart"/>
      <w:r w:rsidR="002B0C1F" w:rsidRPr="002751FC">
        <w:rPr>
          <w:rFonts w:asciiTheme="majorHAnsi" w:eastAsia="Times New Roman" w:hAnsiTheme="majorHAnsi" w:cstheme="majorHAnsi"/>
          <w:sz w:val="28"/>
          <w:szCs w:val="28"/>
          <w:lang w:val="ro-MD"/>
        </w:rPr>
        <w:t>mil.litri</w:t>
      </w:r>
      <w:proofErr w:type="spellEnd"/>
      <w:r w:rsidR="002B0C1F" w:rsidRPr="002751FC">
        <w:rPr>
          <w:rFonts w:asciiTheme="majorHAnsi" w:eastAsia="Times New Roman" w:hAnsiTheme="majorHAnsi" w:cstheme="majorHAnsi"/>
          <w:sz w:val="28"/>
          <w:szCs w:val="28"/>
          <w:lang w:val="ro-MD"/>
        </w:rPr>
        <w:t>)</w:t>
      </w:r>
      <w:r w:rsidR="00D93162" w:rsidRPr="002751FC">
        <w:rPr>
          <w:rFonts w:asciiTheme="majorHAnsi" w:eastAsia="Times New Roman" w:hAnsiTheme="majorHAnsi" w:cstheme="majorHAnsi"/>
          <w:sz w:val="28"/>
          <w:szCs w:val="28"/>
          <w:lang w:val="ro-MD"/>
        </w:rPr>
        <w:t xml:space="preserve"> și</w:t>
      </w:r>
      <w:r w:rsidR="002B0C1F" w:rsidRPr="002751FC">
        <w:rPr>
          <w:rFonts w:asciiTheme="majorHAnsi" w:eastAsia="Times New Roman" w:hAnsiTheme="majorHAnsi" w:cstheme="majorHAnsi"/>
          <w:sz w:val="28"/>
          <w:szCs w:val="28"/>
          <w:lang w:val="ro-MD"/>
        </w:rPr>
        <w:t xml:space="preserve"> </w:t>
      </w:r>
      <w:r w:rsidR="00D93162" w:rsidRPr="002751FC">
        <w:rPr>
          <w:rFonts w:asciiTheme="majorHAnsi" w:eastAsia="Times New Roman" w:hAnsiTheme="majorHAnsi" w:cstheme="majorHAnsi"/>
          <w:sz w:val="28"/>
          <w:szCs w:val="28"/>
          <w:lang w:val="ro-MD"/>
        </w:rPr>
        <w:t>v</w:t>
      </w:r>
      <w:r w:rsidR="002B0C1F" w:rsidRPr="002751FC">
        <w:rPr>
          <w:rFonts w:asciiTheme="majorHAnsi" w:eastAsia="Times New Roman" w:hAnsiTheme="majorHAnsi" w:cstheme="majorHAnsi"/>
          <w:sz w:val="28"/>
          <w:szCs w:val="28"/>
          <w:lang w:val="ro-MD"/>
        </w:rPr>
        <w:t xml:space="preserve">inurilor spumante (+0,1 </w:t>
      </w:r>
      <w:proofErr w:type="spellStart"/>
      <w:r w:rsidR="002B0C1F" w:rsidRPr="002751FC">
        <w:rPr>
          <w:rFonts w:asciiTheme="majorHAnsi" w:eastAsia="Times New Roman" w:hAnsiTheme="majorHAnsi" w:cstheme="majorHAnsi"/>
          <w:sz w:val="28"/>
          <w:szCs w:val="28"/>
          <w:lang w:val="ro-MD"/>
        </w:rPr>
        <w:t>mil.litri</w:t>
      </w:r>
      <w:proofErr w:type="spellEnd"/>
      <w:r w:rsidR="002B0C1F" w:rsidRPr="002751FC">
        <w:rPr>
          <w:rFonts w:asciiTheme="majorHAnsi" w:eastAsia="Times New Roman" w:hAnsiTheme="majorHAnsi" w:cstheme="majorHAnsi"/>
          <w:sz w:val="28"/>
          <w:szCs w:val="28"/>
          <w:lang w:val="ro-MD"/>
        </w:rPr>
        <w:t>).</w:t>
      </w:r>
    </w:p>
    <w:p w:rsidR="00CF13C7" w:rsidRPr="002751FC" w:rsidRDefault="00CF13C7" w:rsidP="00243401">
      <w:pPr>
        <w:spacing w:after="0"/>
        <w:jc w:val="both"/>
        <w:rPr>
          <w:rFonts w:asciiTheme="majorHAnsi" w:eastAsia="Times New Roman" w:hAnsiTheme="majorHAnsi" w:cstheme="majorHAnsi"/>
          <w:sz w:val="28"/>
          <w:szCs w:val="28"/>
          <w:lang w:val="ro-MD"/>
        </w:rPr>
      </w:pPr>
    </w:p>
    <w:p w:rsidR="002B0C1F" w:rsidRPr="002751FC" w:rsidRDefault="002B0C1F" w:rsidP="00243401">
      <w:pPr>
        <w:spacing w:after="0" w:line="240" w:lineRule="auto"/>
        <w:jc w:val="both"/>
        <w:rPr>
          <w:rFonts w:asciiTheme="majorHAnsi" w:eastAsia="Times New Roman" w:hAnsiTheme="majorHAnsi" w:cstheme="majorHAnsi"/>
          <w:sz w:val="28"/>
          <w:szCs w:val="28"/>
          <w:highlight w:val="yellow"/>
          <w:lang w:val="ro-MD"/>
        </w:rPr>
      </w:pPr>
      <w:r w:rsidRPr="002751FC">
        <w:rPr>
          <w:rFonts w:asciiTheme="majorHAnsi" w:eastAsia="Times New Roman" w:hAnsiTheme="majorHAnsi" w:cstheme="majorHAnsi"/>
          <w:sz w:val="28"/>
          <w:szCs w:val="28"/>
          <w:lang w:val="ro-MD"/>
        </w:rPr>
        <w:t>Deși în anul 2018</w:t>
      </w:r>
      <w:r w:rsidR="00E84144"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față de anul 2015</w:t>
      </w:r>
      <w:r w:rsidR="00E84144"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exportul de vinuri a înregistrat o creștere valorică de la 2</w:t>
      </w:r>
      <w:r w:rsidR="001F41B9"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 xml:space="preserve">323,6 </w:t>
      </w:r>
      <w:proofErr w:type="spellStart"/>
      <w:r w:rsidRPr="002751FC">
        <w:rPr>
          <w:rFonts w:asciiTheme="majorHAnsi" w:eastAsia="Times New Roman" w:hAnsiTheme="majorHAnsi" w:cstheme="majorHAnsi"/>
          <w:sz w:val="28"/>
          <w:szCs w:val="28"/>
          <w:lang w:val="ro-MD"/>
        </w:rPr>
        <w:t>mil.MDL</w:t>
      </w:r>
      <w:proofErr w:type="spellEnd"/>
      <w:r w:rsidRPr="002751FC">
        <w:rPr>
          <w:rFonts w:asciiTheme="majorHAnsi" w:eastAsia="Times New Roman" w:hAnsiTheme="majorHAnsi" w:cstheme="majorHAnsi"/>
          <w:sz w:val="28"/>
          <w:szCs w:val="28"/>
          <w:lang w:val="ro-MD"/>
        </w:rPr>
        <w:t xml:space="preserve"> </w:t>
      </w:r>
      <w:r w:rsidR="00D93162" w:rsidRPr="002751FC">
        <w:rPr>
          <w:rFonts w:asciiTheme="majorHAnsi" w:eastAsia="Times New Roman" w:hAnsiTheme="majorHAnsi" w:cstheme="majorHAnsi"/>
          <w:sz w:val="28"/>
          <w:szCs w:val="28"/>
          <w:lang w:val="ro-MD"/>
        </w:rPr>
        <w:t xml:space="preserve">până </w:t>
      </w:r>
      <w:r w:rsidRPr="002751FC">
        <w:rPr>
          <w:rFonts w:asciiTheme="majorHAnsi" w:eastAsia="Times New Roman" w:hAnsiTheme="majorHAnsi" w:cstheme="majorHAnsi"/>
          <w:sz w:val="28"/>
          <w:szCs w:val="28"/>
          <w:lang w:val="ro-MD"/>
        </w:rPr>
        <w:t xml:space="preserve">la 2 </w:t>
      </w:r>
      <w:r w:rsidR="00D93162" w:rsidRPr="002751FC">
        <w:rPr>
          <w:rFonts w:asciiTheme="majorHAnsi" w:eastAsia="Times New Roman" w:hAnsiTheme="majorHAnsi" w:cstheme="majorHAnsi"/>
          <w:sz w:val="28"/>
          <w:szCs w:val="28"/>
          <w:lang w:val="ro-MD"/>
        </w:rPr>
        <w:t xml:space="preserve">826,6 </w:t>
      </w:r>
      <w:proofErr w:type="spellStart"/>
      <w:r w:rsidR="00D93162" w:rsidRPr="002751FC">
        <w:rPr>
          <w:rFonts w:asciiTheme="majorHAnsi" w:eastAsia="Times New Roman" w:hAnsiTheme="majorHAnsi" w:cstheme="majorHAnsi"/>
          <w:sz w:val="28"/>
          <w:szCs w:val="28"/>
          <w:lang w:val="ro-MD"/>
        </w:rPr>
        <w:t>mil.MDL</w:t>
      </w:r>
      <w:proofErr w:type="spellEnd"/>
      <w:r w:rsidR="00D93162" w:rsidRPr="002751FC">
        <w:rPr>
          <w:rFonts w:asciiTheme="majorHAnsi" w:eastAsia="Times New Roman" w:hAnsiTheme="majorHAnsi" w:cstheme="majorHAnsi"/>
          <w:sz w:val="28"/>
          <w:szCs w:val="28"/>
          <w:lang w:val="ro-MD"/>
        </w:rPr>
        <w:t xml:space="preserve">, ca </w:t>
      </w:r>
      <w:r w:rsidRPr="002751FC">
        <w:rPr>
          <w:rFonts w:asciiTheme="majorHAnsi" w:eastAsia="Times New Roman" w:hAnsiTheme="majorHAnsi" w:cstheme="majorHAnsi"/>
          <w:sz w:val="28"/>
          <w:szCs w:val="28"/>
          <w:lang w:val="ro-MD"/>
        </w:rPr>
        <w:t xml:space="preserve">pondere în PIB acesta a înregistrat </w:t>
      </w:r>
      <w:r w:rsidR="00E84144" w:rsidRPr="002751FC">
        <w:rPr>
          <w:rFonts w:asciiTheme="majorHAnsi" w:eastAsia="Times New Roman" w:hAnsiTheme="majorHAnsi" w:cstheme="majorHAnsi"/>
          <w:sz w:val="28"/>
          <w:szCs w:val="28"/>
          <w:lang w:val="ro-MD"/>
        </w:rPr>
        <w:t xml:space="preserve">o </w:t>
      </w:r>
      <w:r w:rsidRPr="002751FC">
        <w:rPr>
          <w:rFonts w:asciiTheme="majorHAnsi" w:eastAsia="Times New Roman" w:hAnsiTheme="majorHAnsi" w:cstheme="majorHAnsi"/>
          <w:sz w:val="28"/>
          <w:szCs w:val="28"/>
          <w:lang w:val="ro-MD"/>
        </w:rPr>
        <w:t>tendinț</w:t>
      </w:r>
      <w:r w:rsidR="00E84144" w:rsidRPr="002751FC">
        <w:rPr>
          <w:rFonts w:asciiTheme="majorHAnsi" w:eastAsia="Times New Roman" w:hAnsiTheme="majorHAnsi" w:cstheme="majorHAnsi"/>
          <w:sz w:val="28"/>
          <w:szCs w:val="28"/>
          <w:lang w:val="ro-MD"/>
        </w:rPr>
        <w:t>ă</w:t>
      </w:r>
      <w:r w:rsidRPr="002751FC">
        <w:rPr>
          <w:rFonts w:asciiTheme="majorHAnsi" w:eastAsia="Times New Roman" w:hAnsiTheme="majorHAnsi" w:cstheme="majorHAnsi"/>
          <w:sz w:val="28"/>
          <w:szCs w:val="28"/>
          <w:lang w:val="ro-MD"/>
        </w:rPr>
        <w:t xml:space="preserve"> descendentă</w:t>
      </w:r>
      <w:r w:rsidR="00371431" w:rsidRPr="002751FC">
        <w:rPr>
          <w:rFonts w:asciiTheme="majorHAnsi" w:eastAsia="Times New Roman" w:hAnsiTheme="majorHAnsi" w:cstheme="majorHAnsi"/>
          <w:sz w:val="28"/>
          <w:szCs w:val="28"/>
          <w:lang w:val="ro-MD"/>
        </w:rPr>
        <w:t xml:space="preserve"> </w:t>
      </w:r>
      <w:r w:rsidRPr="002751FC">
        <w:rPr>
          <w:rFonts w:asciiTheme="majorHAnsi" w:eastAsia="Times New Roman" w:hAnsiTheme="majorHAnsi" w:cstheme="majorHAnsi"/>
          <w:sz w:val="28"/>
          <w:szCs w:val="28"/>
          <w:lang w:val="ro-MD"/>
        </w:rPr>
        <w:t xml:space="preserve">de 0,1 </w:t>
      </w:r>
      <w:proofErr w:type="spellStart"/>
      <w:r w:rsidRPr="002751FC">
        <w:rPr>
          <w:rFonts w:asciiTheme="majorHAnsi" w:eastAsia="Times New Roman" w:hAnsiTheme="majorHAnsi" w:cstheme="majorHAnsi"/>
          <w:sz w:val="28"/>
          <w:szCs w:val="28"/>
          <w:lang w:val="ro-MD"/>
        </w:rPr>
        <w:t>p.p.</w:t>
      </w:r>
      <w:proofErr w:type="spellEnd"/>
      <w:r w:rsidR="00E84144"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sau de la 1,59% în anul 2015 până</w:t>
      </w:r>
      <w:r w:rsidR="00D93162" w:rsidRPr="002751FC">
        <w:rPr>
          <w:rFonts w:asciiTheme="majorHAnsi" w:eastAsia="Times New Roman" w:hAnsiTheme="majorHAnsi" w:cstheme="majorHAnsi"/>
          <w:sz w:val="28"/>
          <w:szCs w:val="28"/>
          <w:lang w:val="ro-MD"/>
        </w:rPr>
        <w:t xml:space="preserve"> la 1,49%</w:t>
      </w:r>
      <w:r w:rsidRPr="002751FC">
        <w:rPr>
          <w:rFonts w:asciiTheme="majorHAnsi" w:eastAsia="Times New Roman" w:hAnsiTheme="majorHAnsi" w:cstheme="majorHAnsi"/>
          <w:sz w:val="28"/>
          <w:szCs w:val="28"/>
          <w:lang w:val="ro-MD"/>
        </w:rPr>
        <w:t xml:space="preserve"> în anul 2018</w:t>
      </w:r>
      <w:r w:rsidR="00D93162" w:rsidRPr="002751FC">
        <w:rPr>
          <w:rFonts w:asciiTheme="majorHAnsi" w:eastAsia="Times New Roman" w:hAnsiTheme="majorHAnsi" w:cstheme="majorHAnsi"/>
          <w:sz w:val="28"/>
          <w:szCs w:val="28"/>
          <w:lang w:val="ro-MD"/>
        </w:rPr>
        <w:t xml:space="preserve"> (</w:t>
      </w:r>
      <w:r w:rsidR="00D93162" w:rsidRPr="00C347EB">
        <w:rPr>
          <w:rFonts w:asciiTheme="majorHAnsi" w:eastAsia="Times New Roman" w:hAnsiTheme="majorHAnsi" w:cstheme="majorHAnsi"/>
          <w:i/>
          <w:sz w:val="28"/>
          <w:szCs w:val="28"/>
          <w:lang w:val="ro-MD"/>
        </w:rPr>
        <w:t>v</w:t>
      </w:r>
      <w:r w:rsidRPr="00C347EB">
        <w:rPr>
          <w:rFonts w:asciiTheme="majorHAnsi" w:eastAsia="Times New Roman" w:hAnsiTheme="majorHAnsi" w:cstheme="majorHAnsi"/>
          <w:i/>
          <w:sz w:val="28"/>
          <w:szCs w:val="28"/>
          <w:lang w:val="ro-MD"/>
        </w:rPr>
        <w:t xml:space="preserve">ezi </w:t>
      </w:r>
      <w:r w:rsidR="00431E30">
        <w:rPr>
          <w:rFonts w:asciiTheme="majorHAnsi" w:eastAsia="Times New Roman" w:hAnsiTheme="majorHAnsi" w:cstheme="majorHAnsi"/>
          <w:i/>
          <w:sz w:val="28"/>
          <w:szCs w:val="28"/>
          <w:lang w:val="ro-MD"/>
        </w:rPr>
        <w:t>t</w:t>
      </w:r>
      <w:r w:rsidRPr="00C347EB">
        <w:rPr>
          <w:rFonts w:asciiTheme="majorHAnsi" w:eastAsia="Times New Roman" w:hAnsiTheme="majorHAnsi" w:cstheme="majorHAnsi"/>
          <w:i/>
          <w:sz w:val="28"/>
          <w:szCs w:val="28"/>
          <w:lang w:val="ro-MD"/>
        </w:rPr>
        <w:t>abelul de mai jos</w:t>
      </w:r>
      <w:r w:rsidR="00D93162"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w:t>
      </w:r>
    </w:p>
    <w:p w:rsidR="00CF13C7" w:rsidRPr="002751FC" w:rsidRDefault="009B3E6C" w:rsidP="00CF13C7">
      <w:pPr>
        <w:spacing w:after="0" w:line="240" w:lineRule="auto"/>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Tabelul nr.1</w:t>
      </w:r>
      <w:r w:rsidR="001C03CB" w:rsidRPr="002751FC">
        <w:rPr>
          <w:rFonts w:asciiTheme="majorHAnsi" w:eastAsia="Times New Roman" w:hAnsiTheme="majorHAnsi" w:cstheme="majorHAnsi"/>
          <w:b/>
          <w:sz w:val="20"/>
          <w:szCs w:val="20"/>
          <w:lang w:val="ro-MD"/>
        </w:rPr>
        <w:t>8</w:t>
      </w:r>
    </w:p>
    <w:p w:rsidR="002B0C1F" w:rsidRPr="002751FC" w:rsidRDefault="002B0C1F" w:rsidP="009B3E6C">
      <w:pPr>
        <w:spacing w:after="0" w:line="240" w:lineRule="auto"/>
        <w:jc w:val="center"/>
        <w:rPr>
          <w:rFonts w:asciiTheme="majorHAnsi" w:eastAsia="Times New Roman" w:hAnsiTheme="majorHAnsi" w:cstheme="majorHAnsi"/>
          <w:sz w:val="28"/>
          <w:szCs w:val="28"/>
          <w:highlight w:val="yellow"/>
          <w:lang w:val="ro-MD"/>
        </w:rPr>
      </w:pPr>
      <w:r w:rsidRPr="002751FC">
        <w:rPr>
          <w:rFonts w:asciiTheme="majorHAnsi" w:eastAsia="Times New Roman" w:hAnsiTheme="majorHAnsi" w:cstheme="majorHAnsi"/>
          <w:b/>
          <w:sz w:val="20"/>
          <w:szCs w:val="20"/>
          <w:lang w:val="ro-MD"/>
        </w:rPr>
        <w:t>Dinamica ponder</w:t>
      </w:r>
      <w:r w:rsidR="00640311" w:rsidRPr="002751FC">
        <w:rPr>
          <w:rFonts w:asciiTheme="majorHAnsi" w:eastAsia="Times New Roman" w:hAnsiTheme="majorHAnsi" w:cstheme="majorHAnsi"/>
          <w:b/>
          <w:sz w:val="20"/>
          <w:szCs w:val="20"/>
          <w:lang w:val="ro-MD"/>
        </w:rPr>
        <w:t xml:space="preserve">ii </w:t>
      </w:r>
      <w:r w:rsidR="00E84144" w:rsidRPr="002751FC">
        <w:rPr>
          <w:rFonts w:asciiTheme="majorHAnsi" w:eastAsia="Times New Roman" w:hAnsiTheme="majorHAnsi" w:cstheme="majorHAnsi"/>
          <w:b/>
          <w:sz w:val="20"/>
          <w:szCs w:val="20"/>
          <w:lang w:val="ro-MD"/>
        </w:rPr>
        <w:t>î</w:t>
      </w:r>
      <w:r w:rsidR="00640311" w:rsidRPr="002751FC">
        <w:rPr>
          <w:rFonts w:asciiTheme="majorHAnsi" w:eastAsia="Times New Roman" w:hAnsiTheme="majorHAnsi" w:cstheme="majorHAnsi"/>
          <w:b/>
          <w:sz w:val="20"/>
          <w:szCs w:val="20"/>
          <w:lang w:val="ro-MD"/>
        </w:rPr>
        <w:t>n PIB a exporturilor de vinu</w:t>
      </w:r>
      <w:r w:rsidRPr="002751FC">
        <w:rPr>
          <w:rFonts w:asciiTheme="majorHAnsi" w:eastAsia="Times New Roman" w:hAnsiTheme="majorHAnsi" w:cstheme="majorHAnsi"/>
          <w:b/>
          <w:sz w:val="20"/>
          <w:szCs w:val="20"/>
          <w:lang w:val="ro-MD"/>
        </w:rPr>
        <w:t>ri în anii 2015-2018</w:t>
      </w:r>
    </w:p>
    <w:tbl>
      <w:tblPr>
        <w:tblStyle w:val="ae"/>
        <w:tblW w:w="9752" w:type="dxa"/>
        <w:tblLayout w:type="fixed"/>
        <w:tblLook w:val="04A0" w:firstRow="1" w:lastRow="0" w:firstColumn="1" w:lastColumn="0" w:noHBand="0" w:noVBand="1"/>
      </w:tblPr>
      <w:tblGrid>
        <w:gridCol w:w="2518"/>
        <w:gridCol w:w="1134"/>
        <w:gridCol w:w="992"/>
        <w:gridCol w:w="993"/>
        <w:gridCol w:w="1134"/>
        <w:gridCol w:w="992"/>
        <w:gridCol w:w="992"/>
        <w:gridCol w:w="997"/>
      </w:tblGrid>
      <w:tr w:rsidR="002B0C1F" w:rsidRPr="002751FC" w:rsidTr="002611B2">
        <w:trPr>
          <w:trHeight w:val="313"/>
        </w:trPr>
        <w:tc>
          <w:tcPr>
            <w:tcW w:w="2518" w:type="dxa"/>
            <w:shd w:val="clear" w:color="auto" w:fill="DEEAF6" w:themeFill="accent1" w:themeFillTint="33"/>
            <w:vAlign w:val="center"/>
          </w:tcPr>
          <w:p w:rsidR="002B0C1F" w:rsidRPr="002751FC" w:rsidRDefault="00640311" w:rsidP="002611B2">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Indicatori</w:t>
            </w:r>
          </w:p>
        </w:tc>
        <w:tc>
          <w:tcPr>
            <w:tcW w:w="1134" w:type="dxa"/>
            <w:shd w:val="clear" w:color="auto" w:fill="DEEAF6" w:themeFill="accent1" w:themeFillTint="33"/>
            <w:vAlign w:val="center"/>
          </w:tcPr>
          <w:p w:rsidR="002B0C1F" w:rsidRPr="002751FC" w:rsidRDefault="002B0C1F" w:rsidP="002611B2">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2015</w:t>
            </w:r>
          </w:p>
        </w:tc>
        <w:tc>
          <w:tcPr>
            <w:tcW w:w="992" w:type="dxa"/>
            <w:shd w:val="clear" w:color="auto" w:fill="DEEAF6" w:themeFill="accent1" w:themeFillTint="33"/>
            <w:vAlign w:val="center"/>
          </w:tcPr>
          <w:p w:rsidR="002B0C1F" w:rsidRPr="002751FC" w:rsidRDefault="002B0C1F" w:rsidP="002611B2">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2016</w:t>
            </w:r>
          </w:p>
        </w:tc>
        <w:tc>
          <w:tcPr>
            <w:tcW w:w="993" w:type="dxa"/>
            <w:shd w:val="clear" w:color="auto" w:fill="DEEAF6" w:themeFill="accent1" w:themeFillTint="33"/>
            <w:vAlign w:val="center"/>
          </w:tcPr>
          <w:p w:rsidR="002B0C1F" w:rsidRPr="002751FC" w:rsidRDefault="002B0C1F" w:rsidP="002611B2">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Devieri, %</w:t>
            </w:r>
          </w:p>
        </w:tc>
        <w:tc>
          <w:tcPr>
            <w:tcW w:w="1134" w:type="dxa"/>
            <w:shd w:val="clear" w:color="auto" w:fill="DEEAF6" w:themeFill="accent1" w:themeFillTint="33"/>
            <w:vAlign w:val="center"/>
          </w:tcPr>
          <w:p w:rsidR="002B0C1F" w:rsidRPr="002751FC" w:rsidRDefault="002B0C1F" w:rsidP="002611B2">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2017</w:t>
            </w:r>
          </w:p>
        </w:tc>
        <w:tc>
          <w:tcPr>
            <w:tcW w:w="992" w:type="dxa"/>
            <w:shd w:val="clear" w:color="auto" w:fill="DEEAF6" w:themeFill="accent1" w:themeFillTint="33"/>
            <w:vAlign w:val="center"/>
          </w:tcPr>
          <w:p w:rsidR="002B0C1F" w:rsidRPr="002751FC" w:rsidRDefault="002B0C1F" w:rsidP="002611B2">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Devieri, %</w:t>
            </w:r>
          </w:p>
        </w:tc>
        <w:tc>
          <w:tcPr>
            <w:tcW w:w="992" w:type="dxa"/>
            <w:shd w:val="clear" w:color="auto" w:fill="DEEAF6" w:themeFill="accent1" w:themeFillTint="33"/>
            <w:vAlign w:val="center"/>
          </w:tcPr>
          <w:p w:rsidR="002B0C1F" w:rsidRPr="002751FC" w:rsidRDefault="002B0C1F" w:rsidP="002611B2">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2018</w:t>
            </w:r>
          </w:p>
        </w:tc>
        <w:tc>
          <w:tcPr>
            <w:tcW w:w="997" w:type="dxa"/>
            <w:shd w:val="clear" w:color="auto" w:fill="DEEAF6" w:themeFill="accent1" w:themeFillTint="33"/>
            <w:vAlign w:val="center"/>
          </w:tcPr>
          <w:p w:rsidR="002B0C1F" w:rsidRPr="002751FC" w:rsidRDefault="002B0C1F" w:rsidP="002611B2">
            <w:pPr>
              <w:jc w:val="center"/>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Devieri, %</w:t>
            </w:r>
          </w:p>
        </w:tc>
      </w:tr>
      <w:tr w:rsidR="002B0C1F" w:rsidRPr="002751FC" w:rsidTr="002611B2">
        <w:trPr>
          <w:trHeight w:val="241"/>
        </w:trPr>
        <w:tc>
          <w:tcPr>
            <w:tcW w:w="2518" w:type="dxa"/>
          </w:tcPr>
          <w:p w:rsidR="002B0C1F" w:rsidRPr="002751FC" w:rsidRDefault="002B0C1F" w:rsidP="00085EA3">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PIB, </w:t>
            </w:r>
            <w:proofErr w:type="spellStart"/>
            <w:r w:rsidRPr="002751FC">
              <w:rPr>
                <w:rFonts w:asciiTheme="majorHAnsi" w:eastAsia="Times New Roman" w:hAnsiTheme="majorHAnsi" w:cstheme="majorHAnsi"/>
                <w:sz w:val="20"/>
                <w:szCs w:val="20"/>
                <w:lang w:val="ro-MD"/>
              </w:rPr>
              <w:t>mil.MDL</w:t>
            </w:r>
            <w:proofErr w:type="spellEnd"/>
          </w:p>
        </w:tc>
        <w:tc>
          <w:tcPr>
            <w:tcW w:w="1134" w:type="dxa"/>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145753,6</w:t>
            </w:r>
          </w:p>
        </w:tc>
        <w:tc>
          <w:tcPr>
            <w:tcW w:w="992" w:type="dxa"/>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160814,6</w:t>
            </w:r>
          </w:p>
        </w:tc>
        <w:tc>
          <w:tcPr>
            <w:tcW w:w="993" w:type="dxa"/>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+10,3%</w:t>
            </w:r>
          </w:p>
        </w:tc>
        <w:tc>
          <w:tcPr>
            <w:tcW w:w="1134" w:type="dxa"/>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178880,9</w:t>
            </w:r>
          </w:p>
        </w:tc>
        <w:tc>
          <w:tcPr>
            <w:tcW w:w="992" w:type="dxa"/>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+11,2%</w:t>
            </w:r>
          </w:p>
        </w:tc>
        <w:tc>
          <w:tcPr>
            <w:tcW w:w="992" w:type="dxa"/>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190016,0</w:t>
            </w:r>
          </w:p>
        </w:tc>
        <w:tc>
          <w:tcPr>
            <w:tcW w:w="997" w:type="dxa"/>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+6,2%</w:t>
            </w:r>
          </w:p>
        </w:tc>
      </w:tr>
      <w:tr w:rsidR="002B0C1F" w:rsidRPr="002751FC" w:rsidTr="002611B2">
        <w:trPr>
          <w:trHeight w:val="189"/>
        </w:trPr>
        <w:tc>
          <w:tcPr>
            <w:tcW w:w="2518" w:type="dxa"/>
          </w:tcPr>
          <w:p w:rsidR="002B0C1F" w:rsidRPr="002751FC" w:rsidRDefault="002B0C1F" w:rsidP="00085EA3">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Exportul de vinuri, </w:t>
            </w:r>
            <w:proofErr w:type="spellStart"/>
            <w:r w:rsidRPr="002751FC">
              <w:rPr>
                <w:rFonts w:asciiTheme="majorHAnsi" w:eastAsia="Times New Roman" w:hAnsiTheme="majorHAnsi" w:cstheme="majorHAnsi"/>
                <w:sz w:val="20"/>
                <w:szCs w:val="20"/>
                <w:lang w:val="ro-MD"/>
              </w:rPr>
              <w:t>mil.MDL</w:t>
            </w:r>
            <w:proofErr w:type="spellEnd"/>
          </w:p>
        </w:tc>
        <w:tc>
          <w:tcPr>
            <w:tcW w:w="1134" w:type="dxa"/>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2323,5</w:t>
            </w:r>
          </w:p>
        </w:tc>
        <w:tc>
          <w:tcPr>
            <w:tcW w:w="992" w:type="dxa"/>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2535,9</w:t>
            </w:r>
          </w:p>
        </w:tc>
        <w:tc>
          <w:tcPr>
            <w:tcW w:w="993" w:type="dxa"/>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+9,1%</w:t>
            </w:r>
          </w:p>
        </w:tc>
        <w:tc>
          <w:tcPr>
            <w:tcW w:w="1134" w:type="dxa"/>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2802,9</w:t>
            </w:r>
          </w:p>
        </w:tc>
        <w:tc>
          <w:tcPr>
            <w:tcW w:w="992" w:type="dxa"/>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+10,%</w:t>
            </w:r>
          </w:p>
        </w:tc>
        <w:tc>
          <w:tcPr>
            <w:tcW w:w="992" w:type="dxa"/>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2826,6</w:t>
            </w:r>
          </w:p>
        </w:tc>
        <w:tc>
          <w:tcPr>
            <w:tcW w:w="997" w:type="dxa"/>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+0,8%</w:t>
            </w:r>
          </w:p>
        </w:tc>
      </w:tr>
      <w:tr w:rsidR="002B0C1F" w:rsidRPr="002751FC" w:rsidTr="002611B2">
        <w:trPr>
          <w:trHeight w:val="137"/>
        </w:trPr>
        <w:tc>
          <w:tcPr>
            <w:tcW w:w="2518" w:type="dxa"/>
            <w:shd w:val="clear" w:color="auto" w:fill="DEEAF6" w:themeFill="accent1" w:themeFillTint="33"/>
          </w:tcPr>
          <w:p w:rsidR="002B0C1F" w:rsidRPr="002751FC" w:rsidRDefault="002B0C1F" w:rsidP="00085EA3">
            <w:pPr>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în PIB</w:t>
            </w:r>
          </w:p>
        </w:tc>
        <w:tc>
          <w:tcPr>
            <w:tcW w:w="1134" w:type="dxa"/>
            <w:shd w:val="clear" w:color="auto" w:fill="DEEAF6" w:themeFill="accent1" w:themeFillTint="33"/>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1,59%</w:t>
            </w:r>
          </w:p>
        </w:tc>
        <w:tc>
          <w:tcPr>
            <w:tcW w:w="992" w:type="dxa"/>
            <w:shd w:val="clear" w:color="auto" w:fill="DEEAF6" w:themeFill="accent1" w:themeFillTint="33"/>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1,58%</w:t>
            </w:r>
          </w:p>
        </w:tc>
        <w:tc>
          <w:tcPr>
            <w:tcW w:w="993" w:type="dxa"/>
            <w:shd w:val="clear" w:color="auto" w:fill="DEEAF6" w:themeFill="accent1" w:themeFillTint="33"/>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-0.01 </w:t>
            </w:r>
            <w:proofErr w:type="spellStart"/>
            <w:r w:rsidRPr="002751FC">
              <w:rPr>
                <w:rFonts w:asciiTheme="majorHAnsi" w:eastAsia="Times New Roman" w:hAnsiTheme="majorHAnsi" w:cstheme="majorHAnsi"/>
                <w:sz w:val="20"/>
                <w:szCs w:val="20"/>
                <w:lang w:val="ro-MD"/>
              </w:rPr>
              <w:t>p.p.</w:t>
            </w:r>
            <w:proofErr w:type="spellEnd"/>
          </w:p>
        </w:tc>
        <w:tc>
          <w:tcPr>
            <w:tcW w:w="1134" w:type="dxa"/>
            <w:shd w:val="clear" w:color="auto" w:fill="DEEAF6" w:themeFill="accent1" w:themeFillTint="33"/>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1,57%</w:t>
            </w:r>
          </w:p>
        </w:tc>
        <w:tc>
          <w:tcPr>
            <w:tcW w:w="992" w:type="dxa"/>
            <w:shd w:val="clear" w:color="auto" w:fill="DEEAF6" w:themeFill="accent1" w:themeFillTint="33"/>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-0.01 </w:t>
            </w:r>
            <w:proofErr w:type="spellStart"/>
            <w:r w:rsidRPr="002751FC">
              <w:rPr>
                <w:rFonts w:asciiTheme="majorHAnsi" w:eastAsia="Times New Roman" w:hAnsiTheme="majorHAnsi" w:cstheme="majorHAnsi"/>
                <w:sz w:val="20"/>
                <w:szCs w:val="20"/>
                <w:lang w:val="ro-MD"/>
              </w:rPr>
              <w:t>p.p.</w:t>
            </w:r>
            <w:proofErr w:type="spellEnd"/>
          </w:p>
        </w:tc>
        <w:tc>
          <w:tcPr>
            <w:tcW w:w="992" w:type="dxa"/>
            <w:shd w:val="clear" w:color="auto" w:fill="DEEAF6" w:themeFill="accent1" w:themeFillTint="33"/>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1,49%</w:t>
            </w:r>
          </w:p>
        </w:tc>
        <w:tc>
          <w:tcPr>
            <w:tcW w:w="997" w:type="dxa"/>
            <w:shd w:val="clear" w:color="auto" w:fill="DEEAF6" w:themeFill="accent1" w:themeFillTint="33"/>
            <w:vAlign w:val="center"/>
          </w:tcPr>
          <w:p w:rsidR="002B0C1F" w:rsidRPr="002751FC" w:rsidRDefault="002B0C1F" w:rsidP="00932875">
            <w:pPr>
              <w:jc w:val="right"/>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-0,08 </w:t>
            </w:r>
            <w:proofErr w:type="spellStart"/>
            <w:r w:rsidRPr="002751FC">
              <w:rPr>
                <w:rFonts w:asciiTheme="majorHAnsi" w:eastAsia="Times New Roman" w:hAnsiTheme="majorHAnsi" w:cstheme="majorHAnsi"/>
                <w:sz w:val="20"/>
                <w:szCs w:val="20"/>
                <w:lang w:val="ro-MD"/>
              </w:rPr>
              <w:t>p.p.</w:t>
            </w:r>
            <w:proofErr w:type="spellEnd"/>
          </w:p>
        </w:tc>
      </w:tr>
    </w:tbl>
    <w:p w:rsidR="002B0C1F" w:rsidRPr="002751FC" w:rsidRDefault="002B0C1F" w:rsidP="00243401">
      <w:pPr>
        <w:spacing w:after="0" w:line="240" w:lineRule="auto"/>
        <w:jc w:val="both"/>
        <w:rPr>
          <w:rFonts w:asciiTheme="majorHAnsi" w:eastAsia="Times New Roman" w:hAnsiTheme="majorHAnsi" w:cstheme="majorHAnsi"/>
          <w:sz w:val="16"/>
          <w:szCs w:val="16"/>
          <w:lang w:val="ro-MD"/>
        </w:rPr>
      </w:pPr>
      <w:r w:rsidRPr="002751FC">
        <w:rPr>
          <w:rFonts w:asciiTheme="majorHAnsi" w:eastAsia="Times New Roman" w:hAnsiTheme="majorHAnsi" w:cstheme="majorHAnsi"/>
          <w:b/>
          <w:sz w:val="16"/>
          <w:szCs w:val="16"/>
          <w:lang w:val="ro-MD"/>
        </w:rPr>
        <w:t>Sursa</w:t>
      </w:r>
      <w:r w:rsidRPr="002751FC">
        <w:rPr>
          <w:rFonts w:asciiTheme="majorHAnsi" w:eastAsia="Times New Roman" w:hAnsiTheme="majorHAnsi" w:cstheme="majorHAnsi"/>
          <w:sz w:val="16"/>
          <w:szCs w:val="16"/>
          <w:lang w:val="ro-MD"/>
        </w:rPr>
        <w:t xml:space="preserve">: Datele BNS </w:t>
      </w:r>
      <w:r w:rsidR="00640311" w:rsidRPr="002751FC">
        <w:rPr>
          <w:rFonts w:asciiTheme="majorHAnsi" w:eastAsia="Times New Roman" w:hAnsiTheme="majorHAnsi" w:cstheme="majorHAnsi"/>
          <w:sz w:val="16"/>
          <w:szCs w:val="16"/>
          <w:lang w:val="ro-MD"/>
        </w:rPr>
        <w:t>ş</w:t>
      </w:r>
      <w:r w:rsidRPr="002751FC">
        <w:rPr>
          <w:rFonts w:asciiTheme="majorHAnsi" w:eastAsia="Times New Roman" w:hAnsiTheme="majorHAnsi" w:cstheme="majorHAnsi"/>
          <w:sz w:val="16"/>
          <w:szCs w:val="16"/>
          <w:lang w:val="ro-MD"/>
        </w:rPr>
        <w:t>i ONVV.</w:t>
      </w:r>
    </w:p>
    <w:p w:rsidR="002B0C1F" w:rsidRPr="002751FC" w:rsidRDefault="002B0C1F" w:rsidP="00243401">
      <w:pPr>
        <w:spacing w:after="0" w:line="240" w:lineRule="auto"/>
        <w:jc w:val="both"/>
        <w:rPr>
          <w:rFonts w:asciiTheme="majorHAnsi" w:eastAsia="Times New Roman" w:hAnsiTheme="majorHAnsi" w:cstheme="majorHAnsi"/>
          <w:sz w:val="28"/>
          <w:szCs w:val="28"/>
          <w:highlight w:val="yellow"/>
          <w:lang w:val="ro-MD"/>
        </w:rPr>
      </w:pP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Datele din Tabel relevă că ritmul de creștere a PIB este mai accelerat (+30,4%) față de 2015 decât cel al exporturilor de vinuri (+21,6%), ceea ce a determinat diminuarea în dinamică a ponderii exporturilor de vinuri în PIB cu 0,1 </w:t>
      </w:r>
      <w:proofErr w:type="spellStart"/>
      <w:r w:rsidRPr="002751FC">
        <w:rPr>
          <w:rFonts w:asciiTheme="majorHAnsi" w:eastAsia="Times New Roman" w:hAnsiTheme="majorHAnsi" w:cstheme="majorHAnsi"/>
          <w:sz w:val="28"/>
          <w:szCs w:val="28"/>
          <w:lang w:val="ro-MD"/>
        </w:rPr>
        <w:t>p.p.</w:t>
      </w:r>
      <w:proofErr w:type="spellEnd"/>
      <w:r w:rsidRPr="002751FC">
        <w:rPr>
          <w:rFonts w:asciiTheme="majorHAnsi" w:eastAsia="Times New Roman" w:hAnsiTheme="majorHAnsi" w:cstheme="majorHAnsi"/>
          <w:sz w:val="28"/>
          <w:szCs w:val="28"/>
          <w:lang w:val="ro-MD"/>
        </w:rPr>
        <w:t xml:space="preserve"> față de anul 2015.</w:t>
      </w: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p>
    <w:p w:rsidR="002B0C1F" w:rsidRPr="002751FC" w:rsidRDefault="002B0C1F" w:rsidP="00243401">
      <w:pPr>
        <w:spacing w:after="0" w:line="240" w:lineRule="auto"/>
        <w:jc w:val="both"/>
        <w:rPr>
          <w:rFonts w:asciiTheme="majorHAnsi" w:eastAsia="Times New Roman" w:hAnsiTheme="majorHAnsi" w:cstheme="majorHAnsi"/>
          <w:i/>
          <w:sz w:val="28"/>
          <w:szCs w:val="28"/>
          <w:lang w:val="ro-MD"/>
        </w:rPr>
      </w:pPr>
      <w:r w:rsidRPr="002751FC">
        <w:rPr>
          <w:rFonts w:asciiTheme="majorHAnsi" w:eastAsia="Times New Roman" w:hAnsiTheme="majorHAnsi" w:cstheme="majorHAnsi"/>
          <w:sz w:val="28"/>
          <w:szCs w:val="28"/>
          <w:lang w:val="ro-MD"/>
        </w:rPr>
        <w:t xml:space="preserve">În anul 2018, urmare a participării în cadrul a 29 de concursuri </w:t>
      </w:r>
      <w:r w:rsidR="00640311" w:rsidRPr="002751FC">
        <w:rPr>
          <w:rFonts w:asciiTheme="majorHAnsi" w:eastAsia="Times New Roman" w:hAnsiTheme="majorHAnsi" w:cstheme="majorHAnsi"/>
          <w:sz w:val="28"/>
          <w:szCs w:val="28"/>
          <w:lang w:val="ro-MD"/>
        </w:rPr>
        <w:t>ş</w:t>
      </w:r>
      <w:r w:rsidRPr="002751FC">
        <w:rPr>
          <w:rFonts w:asciiTheme="majorHAnsi" w:eastAsia="Times New Roman" w:hAnsiTheme="majorHAnsi" w:cstheme="majorHAnsi"/>
          <w:sz w:val="28"/>
          <w:szCs w:val="28"/>
          <w:lang w:val="ro-MD"/>
        </w:rPr>
        <w:t>i expoziții internaț</w:t>
      </w:r>
      <w:r w:rsidR="00640311" w:rsidRPr="002751FC">
        <w:rPr>
          <w:rFonts w:asciiTheme="majorHAnsi" w:eastAsia="Times New Roman" w:hAnsiTheme="majorHAnsi" w:cstheme="majorHAnsi"/>
          <w:sz w:val="28"/>
          <w:szCs w:val="28"/>
          <w:lang w:val="ro-MD"/>
        </w:rPr>
        <w:t xml:space="preserve">ionale, </w:t>
      </w:r>
      <w:r w:rsidRPr="002751FC">
        <w:rPr>
          <w:rFonts w:asciiTheme="majorHAnsi" w:eastAsia="Times New Roman" w:hAnsiTheme="majorHAnsi" w:cstheme="majorHAnsi"/>
          <w:sz w:val="28"/>
          <w:szCs w:val="28"/>
          <w:lang w:val="ro-MD"/>
        </w:rPr>
        <w:t>calitatea vinurilor produse în RM a fost apreciată înalt, fiind obț</w:t>
      </w:r>
      <w:r w:rsidR="00640311" w:rsidRPr="002751FC">
        <w:rPr>
          <w:rFonts w:asciiTheme="majorHAnsi" w:eastAsia="Times New Roman" w:hAnsiTheme="majorHAnsi" w:cstheme="majorHAnsi"/>
          <w:sz w:val="28"/>
          <w:szCs w:val="28"/>
          <w:lang w:val="ro-MD"/>
        </w:rPr>
        <w:t>inute</w:t>
      </w:r>
      <w:r w:rsidRPr="002751FC">
        <w:rPr>
          <w:rFonts w:asciiTheme="majorHAnsi" w:eastAsia="Times New Roman" w:hAnsiTheme="majorHAnsi" w:cstheme="majorHAnsi"/>
          <w:sz w:val="28"/>
          <w:szCs w:val="28"/>
          <w:lang w:val="ro-MD"/>
        </w:rPr>
        <w:t xml:space="preserve"> 188 medalii de aur, 153 medalii de argint și 95 medalii de bronz. </w:t>
      </w:r>
      <w:r w:rsidRPr="002751FC">
        <w:rPr>
          <w:rFonts w:asciiTheme="majorHAnsi" w:eastAsia="Times New Roman" w:hAnsiTheme="majorHAnsi" w:cstheme="majorHAnsi"/>
          <w:i/>
          <w:sz w:val="28"/>
          <w:szCs w:val="28"/>
          <w:lang w:val="ro-MD"/>
        </w:rPr>
        <w:t xml:space="preserve">Situația este prezentată în Anexa nr.11 la </w:t>
      </w:r>
      <w:r w:rsidR="009E765A" w:rsidRPr="002751FC">
        <w:rPr>
          <w:rFonts w:asciiTheme="majorHAnsi" w:eastAsia="Times New Roman" w:hAnsiTheme="majorHAnsi" w:cstheme="majorHAnsi"/>
          <w:i/>
          <w:sz w:val="28"/>
          <w:szCs w:val="28"/>
          <w:lang w:val="ro-MD"/>
        </w:rPr>
        <w:t>p</w:t>
      </w:r>
      <w:r w:rsidRPr="002751FC">
        <w:rPr>
          <w:rFonts w:asciiTheme="majorHAnsi" w:eastAsia="Times New Roman" w:hAnsiTheme="majorHAnsi" w:cstheme="majorHAnsi"/>
          <w:i/>
          <w:sz w:val="28"/>
          <w:szCs w:val="28"/>
          <w:lang w:val="ro-MD"/>
        </w:rPr>
        <w:t>rezentul Raport de audit.</w:t>
      </w:r>
    </w:p>
    <w:p w:rsidR="002B0C1F" w:rsidRPr="002751FC" w:rsidRDefault="002B0C1F" w:rsidP="00243401">
      <w:pPr>
        <w:spacing w:after="0" w:line="240" w:lineRule="auto"/>
        <w:jc w:val="both"/>
        <w:rPr>
          <w:rFonts w:asciiTheme="majorHAnsi" w:eastAsia="Times New Roman" w:hAnsiTheme="majorHAnsi" w:cstheme="majorHAnsi"/>
          <w:i/>
          <w:sz w:val="28"/>
          <w:szCs w:val="28"/>
          <w:lang w:val="ro-MD"/>
        </w:rPr>
      </w:pPr>
    </w:p>
    <w:p w:rsidR="002B0C1F" w:rsidRPr="002751FC" w:rsidRDefault="002B0C1F" w:rsidP="00243401">
      <w:pPr>
        <w:spacing w:after="0" w:line="240" w:lineRule="auto"/>
        <w:jc w:val="both"/>
        <w:rPr>
          <w:rFonts w:asciiTheme="majorHAnsi" w:eastAsia="Times New Roman" w:hAnsiTheme="majorHAnsi" w:cstheme="majorHAnsi"/>
          <w:i/>
          <w:sz w:val="28"/>
          <w:szCs w:val="28"/>
          <w:lang w:val="ro-MD"/>
        </w:rPr>
      </w:pPr>
      <w:r w:rsidRPr="002751FC">
        <w:rPr>
          <w:rFonts w:asciiTheme="majorHAnsi" w:eastAsia="Times New Roman" w:hAnsiTheme="majorHAnsi" w:cstheme="majorHAnsi"/>
          <w:sz w:val="28"/>
          <w:szCs w:val="28"/>
          <w:lang w:val="ro-MD"/>
        </w:rPr>
        <w:t xml:space="preserve">Din totalul de 29 </w:t>
      </w:r>
      <w:r w:rsidR="009E765A" w:rsidRPr="002751FC">
        <w:rPr>
          <w:rFonts w:asciiTheme="majorHAnsi" w:eastAsia="Times New Roman" w:hAnsiTheme="majorHAnsi" w:cstheme="majorHAnsi"/>
          <w:sz w:val="28"/>
          <w:szCs w:val="28"/>
          <w:lang w:val="ro-MD"/>
        </w:rPr>
        <w:t xml:space="preserve">de </w:t>
      </w:r>
      <w:r w:rsidRPr="002751FC">
        <w:rPr>
          <w:rFonts w:asciiTheme="majorHAnsi" w:eastAsia="Times New Roman" w:hAnsiTheme="majorHAnsi" w:cstheme="majorHAnsi"/>
          <w:sz w:val="28"/>
          <w:szCs w:val="28"/>
          <w:lang w:val="ro-MD"/>
        </w:rPr>
        <w:t xml:space="preserve">concursuri </w:t>
      </w:r>
      <w:r w:rsidR="00640311" w:rsidRPr="002751FC">
        <w:rPr>
          <w:rFonts w:asciiTheme="majorHAnsi" w:eastAsia="Times New Roman" w:hAnsiTheme="majorHAnsi" w:cstheme="majorHAnsi"/>
          <w:sz w:val="28"/>
          <w:szCs w:val="28"/>
          <w:lang w:val="ro-MD"/>
        </w:rPr>
        <w:t>ş</w:t>
      </w:r>
      <w:r w:rsidRPr="002751FC">
        <w:rPr>
          <w:rFonts w:asciiTheme="majorHAnsi" w:eastAsia="Times New Roman" w:hAnsiTheme="majorHAnsi" w:cstheme="majorHAnsi"/>
          <w:sz w:val="28"/>
          <w:szCs w:val="28"/>
          <w:lang w:val="ro-MD"/>
        </w:rPr>
        <w:t>i expoziții internaționale, par</w:t>
      </w:r>
      <w:r w:rsidR="00640311" w:rsidRPr="002751FC">
        <w:rPr>
          <w:rFonts w:asciiTheme="majorHAnsi" w:eastAsia="Times New Roman" w:hAnsiTheme="majorHAnsi" w:cstheme="majorHAnsi"/>
          <w:sz w:val="28"/>
          <w:szCs w:val="28"/>
          <w:lang w:val="ro-MD"/>
        </w:rPr>
        <w:t>t</w:t>
      </w:r>
      <w:r w:rsidRPr="002751FC">
        <w:rPr>
          <w:rFonts w:asciiTheme="majorHAnsi" w:eastAsia="Times New Roman" w:hAnsiTheme="majorHAnsi" w:cstheme="majorHAnsi"/>
          <w:sz w:val="28"/>
          <w:szCs w:val="28"/>
          <w:lang w:val="ro-MD"/>
        </w:rPr>
        <w:t>iciparea la 8 (27,6%) a fost finanțată din mijloacele FVV (882,9 mii MDL)</w:t>
      </w:r>
      <w:r w:rsidR="009E765A"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iar participarea la 21 de evenimente a </w:t>
      </w:r>
      <w:r w:rsidR="009E765A" w:rsidRPr="002751FC">
        <w:rPr>
          <w:rFonts w:asciiTheme="majorHAnsi" w:eastAsia="Times New Roman" w:hAnsiTheme="majorHAnsi" w:cstheme="majorHAnsi"/>
          <w:sz w:val="28"/>
          <w:szCs w:val="28"/>
          <w:lang w:val="ro-MD"/>
        </w:rPr>
        <w:t>f</w:t>
      </w:r>
      <w:r w:rsidRPr="002751FC">
        <w:rPr>
          <w:rFonts w:asciiTheme="majorHAnsi" w:eastAsia="Times New Roman" w:hAnsiTheme="majorHAnsi" w:cstheme="majorHAnsi"/>
          <w:sz w:val="28"/>
          <w:szCs w:val="28"/>
          <w:lang w:val="ro-MD"/>
        </w:rPr>
        <w:t>ost finanțată integral de producătorii vinicoli, fiind obținute 232 de medalii, din care 82 de aur, 85 din argint și 65 din bronz.</w:t>
      </w:r>
    </w:p>
    <w:p w:rsidR="002B0C1F" w:rsidRPr="002751FC" w:rsidRDefault="002B0C1F" w:rsidP="00243401">
      <w:pPr>
        <w:pStyle w:val="ac"/>
        <w:ind w:left="0"/>
        <w:outlineLvl w:val="0"/>
        <w:rPr>
          <w:rFonts w:asciiTheme="majorHAnsi" w:hAnsiTheme="majorHAnsi" w:cstheme="majorHAnsi"/>
          <w:szCs w:val="28"/>
          <w:lang w:val="ro-MD" w:eastAsia="en-US"/>
        </w:rPr>
      </w:pPr>
    </w:p>
    <w:p w:rsidR="002B0C1F" w:rsidRPr="002751FC" w:rsidRDefault="002B0C1F" w:rsidP="00243401">
      <w:pPr>
        <w:pStyle w:val="ac"/>
        <w:ind w:left="0"/>
        <w:rPr>
          <w:rFonts w:asciiTheme="majorHAnsi" w:hAnsiTheme="majorHAnsi" w:cstheme="majorHAnsi"/>
          <w:b/>
          <w:szCs w:val="28"/>
          <w:lang w:val="ro-MD"/>
        </w:rPr>
      </w:pPr>
      <w:r w:rsidRPr="002751FC">
        <w:rPr>
          <w:rFonts w:asciiTheme="majorHAnsi" w:hAnsiTheme="majorHAnsi" w:cstheme="majorHAnsi"/>
          <w:b/>
          <w:szCs w:val="28"/>
          <w:lang w:val="ro-MD"/>
        </w:rPr>
        <w:t>Deși exporturile înregistrează tendințe de creștere, acestea nu au atins țintele stabilite în</w:t>
      </w:r>
      <w:r w:rsidR="00640311" w:rsidRPr="002751FC">
        <w:rPr>
          <w:rFonts w:asciiTheme="majorHAnsi" w:hAnsiTheme="majorHAnsi" w:cstheme="majorHAnsi"/>
          <w:b/>
          <w:szCs w:val="28"/>
          <w:lang w:val="ro-MD"/>
        </w:rPr>
        <w:t xml:space="preserve"> Planul</w:t>
      </w:r>
      <w:r w:rsidRPr="002751FC">
        <w:rPr>
          <w:rFonts w:asciiTheme="majorHAnsi" w:hAnsiTheme="majorHAnsi" w:cstheme="majorHAnsi"/>
          <w:b/>
          <w:szCs w:val="28"/>
          <w:lang w:val="ro-MD"/>
        </w:rPr>
        <w:t xml:space="preserve"> Strategic pentru </w:t>
      </w:r>
      <w:r w:rsidR="009E765A" w:rsidRPr="002751FC">
        <w:rPr>
          <w:rFonts w:asciiTheme="majorHAnsi" w:hAnsiTheme="majorHAnsi" w:cstheme="majorHAnsi"/>
          <w:b/>
          <w:szCs w:val="28"/>
          <w:lang w:val="ro-MD"/>
        </w:rPr>
        <w:t>perioada</w:t>
      </w:r>
      <w:r w:rsidRPr="002751FC">
        <w:rPr>
          <w:rFonts w:asciiTheme="majorHAnsi" w:hAnsiTheme="majorHAnsi" w:cstheme="majorHAnsi"/>
          <w:b/>
          <w:szCs w:val="28"/>
          <w:lang w:val="ro-MD"/>
        </w:rPr>
        <w:t xml:space="preserve"> 2017-2020</w:t>
      </w:r>
    </w:p>
    <w:p w:rsidR="002B0C1F" w:rsidRPr="002751FC" w:rsidRDefault="002B0C1F" w:rsidP="00243401">
      <w:pPr>
        <w:pStyle w:val="ac"/>
        <w:ind w:left="862"/>
        <w:rPr>
          <w:rFonts w:asciiTheme="majorHAnsi" w:hAnsiTheme="majorHAnsi" w:cstheme="majorHAnsi"/>
          <w:b/>
          <w:szCs w:val="28"/>
          <w:lang w:val="ro-MD"/>
        </w:rPr>
      </w:pPr>
    </w:p>
    <w:p w:rsidR="002B0C1F" w:rsidRPr="002751FC" w:rsidRDefault="002B0C1F" w:rsidP="00243401">
      <w:pPr>
        <w:pStyle w:val="ac"/>
        <w:ind w:left="0"/>
        <w:rPr>
          <w:rFonts w:asciiTheme="majorHAnsi" w:hAnsiTheme="majorHAnsi" w:cstheme="majorHAnsi"/>
          <w:szCs w:val="28"/>
          <w:lang w:val="ro-MD"/>
        </w:rPr>
      </w:pPr>
      <w:r w:rsidRPr="002751FC">
        <w:rPr>
          <w:rFonts w:asciiTheme="majorHAnsi" w:hAnsiTheme="majorHAnsi" w:cstheme="majorHAnsi"/>
          <w:szCs w:val="28"/>
          <w:lang w:val="ro-MD"/>
        </w:rPr>
        <w:t>ONVV are stabilite i</w:t>
      </w:r>
      <w:r w:rsidR="00640311" w:rsidRPr="002751FC">
        <w:rPr>
          <w:rFonts w:asciiTheme="majorHAnsi" w:hAnsiTheme="majorHAnsi" w:cstheme="majorHAnsi"/>
          <w:szCs w:val="28"/>
          <w:lang w:val="ro-MD"/>
        </w:rPr>
        <w:t>ndicatori</w:t>
      </w:r>
      <w:r w:rsidR="009E765A" w:rsidRPr="002751FC">
        <w:rPr>
          <w:rFonts w:asciiTheme="majorHAnsi" w:hAnsiTheme="majorHAnsi" w:cstheme="majorHAnsi"/>
          <w:szCs w:val="28"/>
          <w:lang w:val="ro-MD"/>
        </w:rPr>
        <w:t>-</w:t>
      </w:r>
      <w:r w:rsidRPr="002751FC">
        <w:rPr>
          <w:rFonts w:asciiTheme="majorHAnsi" w:hAnsiTheme="majorHAnsi" w:cstheme="majorHAnsi"/>
          <w:szCs w:val="28"/>
          <w:lang w:val="ro-MD"/>
        </w:rPr>
        <w:t>țintă atât în bugetul ONVV</w:t>
      </w:r>
      <w:r w:rsidRPr="002751FC">
        <w:rPr>
          <w:rStyle w:val="ab"/>
          <w:rFonts w:asciiTheme="majorHAnsi" w:hAnsiTheme="majorHAnsi" w:cstheme="majorHAnsi"/>
          <w:szCs w:val="28"/>
          <w:lang w:val="ro-MD"/>
        </w:rPr>
        <w:footnoteReference w:id="125"/>
      </w:r>
      <w:r w:rsidR="009E765A" w:rsidRPr="002751FC">
        <w:rPr>
          <w:rFonts w:asciiTheme="majorHAnsi" w:hAnsiTheme="majorHAnsi" w:cstheme="majorHAnsi"/>
          <w:szCs w:val="28"/>
          <w:lang w:val="ro-MD"/>
        </w:rPr>
        <w:t>,</w:t>
      </w:r>
      <w:r w:rsidRPr="002751FC">
        <w:rPr>
          <w:rFonts w:asciiTheme="majorHAnsi" w:hAnsiTheme="majorHAnsi" w:cstheme="majorHAnsi"/>
          <w:szCs w:val="28"/>
          <w:lang w:val="ro-MD"/>
        </w:rPr>
        <w:t xml:space="preserve"> cât și în Planul Strategic pentru an</w:t>
      </w:r>
      <w:r w:rsidR="009E765A" w:rsidRPr="002751FC">
        <w:rPr>
          <w:rFonts w:asciiTheme="majorHAnsi" w:hAnsiTheme="majorHAnsi" w:cstheme="majorHAnsi"/>
          <w:szCs w:val="28"/>
          <w:lang w:val="ro-MD"/>
        </w:rPr>
        <w:t>ii</w:t>
      </w:r>
      <w:r w:rsidRPr="002751FC">
        <w:rPr>
          <w:rFonts w:asciiTheme="majorHAnsi" w:hAnsiTheme="majorHAnsi" w:cstheme="majorHAnsi"/>
          <w:szCs w:val="28"/>
          <w:lang w:val="ro-MD"/>
        </w:rPr>
        <w:t xml:space="preserve"> 2017-</w:t>
      </w:r>
      <w:r w:rsidR="00CF13C7" w:rsidRPr="002751FC">
        <w:rPr>
          <w:rFonts w:asciiTheme="majorHAnsi" w:hAnsiTheme="majorHAnsi" w:cstheme="majorHAnsi"/>
          <w:szCs w:val="28"/>
          <w:lang w:val="ro-MD"/>
        </w:rPr>
        <w:t>2020</w:t>
      </w:r>
      <w:r w:rsidRPr="002751FC">
        <w:rPr>
          <w:rStyle w:val="ab"/>
          <w:rFonts w:asciiTheme="majorHAnsi" w:hAnsiTheme="majorHAnsi" w:cstheme="majorHAnsi"/>
          <w:szCs w:val="28"/>
          <w:lang w:val="ro-MD"/>
        </w:rPr>
        <w:footnoteReference w:id="126"/>
      </w:r>
      <w:r w:rsidRPr="002751FC">
        <w:rPr>
          <w:rFonts w:asciiTheme="majorHAnsi" w:hAnsiTheme="majorHAnsi" w:cstheme="majorHAnsi"/>
          <w:szCs w:val="28"/>
          <w:lang w:val="ro-MD"/>
        </w:rPr>
        <w:t>.</w:t>
      </w: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p>
    <w:p w:rsidR="002B0C1F" w:rsidRPr="002751FC" w:rsidRDefault="002B0C1F" w:rsidP="00243401">
      <w:pPr>
        <w:pStyle w:val="ac"/>
        <w:numPr>
          <w:ilvl w:val="0"/>
          <w:numId w:val="34"/>
        </w:numPr>
        <w:ind w:left="0" w:firstLine="567"/>
        <w:rPr>
          <w:rFonts w:asciiTheme="majorHAnsi" w:hAnsiTheme="majorHAnsi" w:cstheme="majorHAnsi"/>
          <w:i/>
          <w:szCs w:val="28"/>
          <w:lang w:val="ro-MD"/>
        </w:rPr>
      </w:pPr>
      <w:r w:rsidRPr="002751FC">
        <w:rPr>
          <w:rFonts w:asciiTheme="majorHAnsi" w:hAnsiTheme="majorHAnsi" w:cstheme="majorHAnsi"/>
          <w:szCs w:val="28"/>
          <w:lang w:val="ro-MD"/>
        </w:rPr>
        <w:t>Analiza realizării indicatorilor de performanță aprobați în bugetul ONVV pentru anul 2018 a relevat că o parte din ace</w:t>
      </w:r>
      <w:r w:rsidR="006B107F">
        <w:rPr>
          <w:rFonts w:asciiTheme="majorHAnsi" w:hAnsiTheme="majorHAnsi" w:cstheme="majorHAnsi"/>
          <w:szCs w:val="28"/>
          <w:lang w:val="ro-MD"/>
        </w:rPr>
        <w:t>știa</w:t>
      </w:r>
      <w:r w:rsidRPr="002751FC">
        <w:rPr>
          <w:rFonts w:asciiTheme="majorHAnsi" w:hAnsiTheme="majorHAnsi" w:cstheme="majorHAnsi"/>
          <w:szCs w:val="28"/>
          <w:lang w:val="ro-MD"/>
        </w:rPr>
        <w:t xml:space="preserve"> nu au fost realizați la nivelul stabilit. </w:t>
      </w:r>
      <w:r w:rsidRPr="002751FC">
        <w:rPr>
          <w:rFonts w:asciiTheme="majorHAnsi" w:hAnsiTheme="majorHAnsi" w:cstheme="majorHAnsi"/>
          <w:i/>
          <w:szCs w:val="28"/>
          <w:lang w:val="ro-MD"/>
        </w:rPr>
        <w:t>Vezi Tabelul de mai jos.</w:t>
      </w:r>
    </w:p>
    <w:p w:rsidR="0064231C" w:rsidRPr="002751FC" w:rsidRDefault="0064231C" w:rsidP="00243401">
      <w:pPr>
        <w:spacing w:after="0" w:line="240" w:lineRule="auto"/>
        <w:jc w:val="both"/>
        <w:rPr>
          <w:rFonts w:asciiTheme="majorHAnsi" w:eastAsia="Times New Roman" w:hAnsiTheme="majorHAnsi" w:cstheme="majorHAnsi"/>
          <w:b/>
          <w:sz w:val="20"/>
          <w:szCs w:val="20"/>
          <w:lang w:val="ro-MD"/>
        </w:rPr>
      </w:pPr>
    </w:p>
    <w:p w:rsidR="00FB33E1" w:rsidRPr="002751FC" w:rsidRDefault="00FB33E1" w:rsidP="00CF13C7">
      <w:pPr>
        <w:spacing w:after="0" w:line="240" w:lineRule="auto"/>
        <w:jc w:val="right"/>
        <w:rPr>
          <w:rFonts w:asciiTheme="majorHAnsi" w:eastAsia="Times New Roman" w:hAnsiTheme="majorHAnsi" w:cstheme="majorHAnsi"/>
          <w:b/>
          <w:sz w:val="20"/>
          <w:szCs w:val="20"/>
          <w:lang w:val="ro-MD"/>
        </w:rPr>
      </w:pPr>
    </w:p>
    <w:p w:rsidR="00FB33E1" w:rsidRPr="002751FC" w:rsidRDefault="00FB33E1" w:rsidP="00CF13C7">
      <w:pPr>
        <w:spacing w:after="0" w:line="240" w:lineRule="auto"/>
        <w:jc w:val="right"/>
        <w:rPr>
          <w:rFonts w:asciiTheme="majorHAnsi" w:eastAsia="Times New Roman" w:hAnsiTheme="majorHAnsi" w:cstheme="majorHAnsi"/>
          <w:b/>
          <w:sz w:val="20"/>
          <w:szCs w:val="20"/>
          <w:lang w:val="ro-MD"/>
        </w:rPr>
      </w:pPr>
    </w:p>
    <w:p w:rsidR="00FB33E1" w:rsidRPr="002751FC" w:rsidRDefault="00FB33E1" w:rsidP="00CF13C7">
      <w:pPr>
        <w:spacing w:after="0" w:line="240" w:lineRule="auto"/>
        <w:jc w:val="right"/>
        <w:rPr>
          <w:rFonts w:asciiTheme="majorHAnsi" w:eastAsia="Times New Roman" w:hAnsiTheme="majorHAnsi" w:cstheme="majorHAnsi"/>
          <w:b/>
          <w:sz w:val="20"/>
          <w:szCs w:val="20"/>
          <w:lang w:val="ro-MD"/>
        </w:rPr>
      </w:pPr>
    </w:p>
    <w:p w:rsidR="00CF13C7" w:rsidRPr="002751FC" w:rsidRDefault="0067027E" w:rsidP="00CF13C7">
      <w:pPr>
        <w:spacing w:after="0" w:line="240" w:lineRule="auto"/>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Tabelul nr.1</w:t>
      </w:r>
      <w:r w:rsidR="001C03CB" w:rsidRPr="002751FC">
        <w:rPr>
          <w:rFonts w:asciiTheme="majorHAnsi" w:eastAsia="Times New Roman" w:hAnsiTheme="majorHAnsi" w:cstheme="majorHAnsi"/>
          <w:b/>
          <w:sz w:val="20"/>
          <w:szCs w:val="20"/>
          <w:lang w:val="ro-MD"/>
        </w:rPr>
        <w:t>9</w:t>
      </w:r>
    </w:p>
    <w:p w:rsidR="002B0C1F" w:rsidRPr="002751FC" w:rsidRDefault="002B0C1F" w:rsidP="0067027E">
      <w:pPr>
        <w:spacing w:after="0" w:line="240" w:lineRule="auto"/>
        <w:jc w:val="center"/>
        <w:rPr>
          <w:rFonts w:asciiTheme="majorHAnsi" w:eastAsia="Times New Roman" w:hAnsiTheme="majorHAnsi" w:cstheme="majorHAnsi"/>
          <w:sz w:val="28"/>
          <w:szCs w:val="28"/>
          <w:lang w:val="ro-MD"/>
        </w:rPr>
      </w:pPr>
      <w:r w:rsidRPr="00E031FA">
        <w:rPr>
          <w:rFonts w:asciiTheme="majorHAnsi" w:eastAsia="Times New Roman" w:hAnsiTheme="majorHAnsi" w:cstheme="majorHAnsi"/>
          <w:b/>
          <w:sz w:val="20"/>
          <w:szCs w:val="20"/>
          <w:lang w:val="ro-MD"/>
        </w:rPr>
        <w:t xml:space="preserve">Sinteza indicatorilor de performanță </w:t>
      </w:r>
      <w:r w:rsidR="0064231C" w:rsidRPr="00E031FA">
        <w:rPr>
          <w:rFonts w:asciiTheme="majorHAnsi" w:eastAsia="Times New Roman" w:hAnsiTheme="majorHAnsi" w:cstheme="majorHAnsi"/>
          <w:b/>
          <w:sz w:val="20"/>
          <w:szCs w:val="20"/>
          <w:lang w:val="ro-MD"/>
        </w:rPr>
        <w:t>r</w:t>
      </w:r>
      <w:r w:rsidR="00A2726B" w:rsidRPr="00E031FA">
        <w:rPr>
          <w:rFonts w:asciiTheme="majorHAnsi" w:eastAsia="Times New Roman" w:hAnsiTheme="majorHAnsi" w:cstheme="majorHAnsi"/>
          <w:b/>
          <w:sz w:val="20"/>
          <w:szCs w:val="20"/>
          <w:lang w:val="ro-MD"/>
        </w:rPr>
        <w:t>ealizați în anul 2018</w:t>
      </w:r>
    </w:p>
    <w:tbl>
      <w:tblPr>
        <w:tblStyle w:val="ae"/>
        <w:tblW w:w="9942" w:type="dxa"/>
        <w:tblLook w:val="04A0" w:firstRow="1" w:lastRow="0" w:firstColumn="1" w:lastColumn="0" w:noHBand="0" w:noVBand="1"/>
      </w:tblPr>
      <w:tblGrid>
        <w:gridCol w:w="1271"/>
        <w:gridCol w:w="3482"/>
        <w:gridCol w:w="864"/>
        <w:gridCol w:w="883"/>
        <w:gridCol w:w="837"/>
        <w:gridCol w:w="790"/>
        <w:gridCol w:w="1815"/>
      </w:tblGrid>
      <w:tr w:rsidR="008C4C8C" w:rsidRPr="002751FC" w:rsidTr="00FE457E">
        <w:trPr>
          <w:trHeight w:val="239"/>
        </w:trPr>
        <w:tc>
          <w:tcPr>
            <w:tcW w:w="1271" w:type="dxa"/>
            <w:tcBorders>
              <w:bottom w:val="single" w:sz="4" w:space="0" w:color="auto"/>
            </w:tcBorders>
            <w:shd w:val="clear" w:color="auto" w:fill="DEEAF6" w:themeFill="accent1" w:themeFillTint="33"/>
            <w:vAlign w:val="center"/>
          </w:tcPr>
          <w:p w:rsidR="008C4C8C" w:rsidRPr="002751FC" w:rsidRDefault="008C4C8C" w:rsidP="00BD0F12">
            <w:pPr>
              <w:jc w:val="center"/>
              <w:rPr>
                <w:rFonts w:asciiTheme="majorHAnsi" w:eastAsia="Times New Roman" w:hAnsiTheme="majorHAnsi" w:cstheme="majorHAnsi"/>
                <w:b/>
                <w:sz w:val="18"/>
                <w:szCs w:val="18"/>
                <w:lang w:val="ro-MD"/>
              </w:rPr>
            </w:pPr>
            <w:r w:rsidRPr="002751FC">
              <w:rPr>
                <w:rFonts w:asciiTheme="majorHAnsi" w:eastAsia="Times New Roman" w:hAnsiTheme="majorHAnsi" w:cstheme="majorHAnsi"/>
                <w:b/>
                <w:sz w:val="18"/>
                <w:szCs w:val="18"/>
                <w:lang w:val="ro-MD"/>
              </w:rPr>
              <w:t>Categoria</w:t>
            </w:r>
          </w:p>
        </w:tc>
        <w:tc>
          <w:tcPr>
            <w:tcW w:w="3482" w:type="dxa"/>
            <w:shd w:val="clear" w:color="auto" w:fill="DEEAF6" w:themeFill="accent1" w:themeFillTint="33"/>
            <w:vAlign w:val="center"/>
          </w:tcPr>
          <w:p w:rsidR="008C4C8C" w:rsidRPr="002751FC" w:rsidRDefault="008C4C8C" w:rsidP="00BD0F12">
            <w:pPr>
              <w:jc w:val="center"/>
              <w:rPr>
                <w:rFonts w:asciiTheme="majorHAnsi" w:eastAsia="Times New Roman" w:hAnsiTheme="majorHAnsi" w:cstheme="majorHAnsi"/>
                <w:b/>
                <w:sz w:val="18"/>
                <w:szCs w:val="18"/>
                <w:lang w:val="ro-MD"/>
              </w:rPr>
            </w:pPr>
            <w:r w:rsidRPr="002751FC">
              <w:rPr>
                <w:rFonts w:asciiTheme="majorHAnsi" w:eastAsia="Times New Roman" w:hAnsiTheme="majorHAnsi" w:cstheme="majorHAnsi"/>
                <w:b/>
                <w:sz w:val="18"/>
                <w:szCs w:val="18"/>
                <w:lang w:val="ro-MD"/>
              </w:rPr>
              <w:t>Indicatorii</w:t>
            </w:r>
          </w:p>
        </w:tc>
        <w:tc>
          <w:tcPr>
            <w:tcW w:w="864" w:type="dxa"/>
            <w:shd w:val="clear" w:color="auto" w:fill="DEEAF6" w:themeFill="accent1" w:themeFillTint="33"/>
            <w:vAlign w:val="center"/>
          </w:tcPr>
          <w:p w:rsidR="008C4C8C" w:rsidRPr="002751FC" w:rsidRDefault="008C4C8C" w:rsidP="00BD0F12">
            <w:pPr>
              <w:jc w:val="center"/>
              <w:rPr>
                <w:rFonts w:asciiTheme="majorHAnsi" w:eastAsia="Times New Roman" w:hAnsiTheme="majorHAnsi" w:cstheme="majorHAnsi"/>
                <w:b/>
                <w:sz w:val="18"/>
                <w:szCs w:val="18"/>
                <w:lang w:val="ro-MD"/>
              </w:rPr>
            </w:pPr>
            <w:proofErr w:type="spellStart"/>
            <w:r w:rsidRPr="002751FC">
              <w:rPr>
                <w:rFonts w:asciiTheme="majorHAnsi" w:eastAsia="Times New Roman" w:hAnsiTheme="majorHAnsi" w:cstheme="majorHAnsi"/>
                <w:b/>
                <w:sz w:val="18"/>
                <w:szCs w:val="18"/>
                <w:lang w:val="ro-MD"/>
              </w:rPr>
              <w:t>U</w:t>
            </w:r>
            <w:r w:rsidR="00E051F1" w:rsidRPr="002751FC">
              <w:rPr>
                <w:rFonts w:asciiTheme="majorHAnsi" w:eastAsia="Times New Roman" w:hAnsiTheme="majorHAnsi" w:cstheme="majorHAnsi"/>
                <w:b/>
                <w:sz w:val="18"/>
                <w:szCs w:val="18"/>
                <w:lang w:val="ro-MD"/>
              </w:rPr>
              <w:t>n</w:t>
            </w:r>
            <w:r w:rsidRPr="002751FC">
              <w:rPr>
                <w:rFonts w:asciiTheme="majorHAnsi" w:eastAsia="Times New Roman" w:hAnsiTheme="majorHAnsi" w:cstheme="majorHAnsi"/>
                <w:b/>
                <w:sz w:val="18"/>
                <w:szCs w:val="18"/>
                <w:lang w:val="ro-MD"/>
              </w:rPr>
              <w:t>.m</w:t>
            </w:r>
            <w:r w:rsidR="00E051F1" w:rsidRPr="002751FC">
              <w:rPr>
                <w:rFonts w:asciiTheme="majorHAnsi" w:eastAsia="Times New Roman" w:hAnsiTheme="majorHAnsi" w:cstheme="majorHAnsi"/>
                <w:b/>
                <w:sz w:val="18"/>
                <w:szCs w:val="18"/>
                <w:lang w:val="ro-MD"/>
              </w:rPr>
              <w:t>ăs</w:t>
            </w:r>
            <w:proofErr w:type="spellEnd"/>
            <w:r w:rsidRPr="002751FC">
              <w:rPr>
                <w:rFonts w:asciiTheme="majorHAnsi" w:eastAsia="Times New Roman" w:hAnsiTheme="majorHAnsi" w:cstheme="majorHAnsi"/>
                <w:b/>
                <w:sz w:val="18"/>
                <w:szCs w:val="18"/>
                <w:lang w:val="ro-MD"/>
              </w:rPr>
              <w:t>.</w:t>
            </w:r>
          </w:p>
        </w:tc>
        <w:tc>
          <w:tcPr>
            <w:tcW w:w="883" w:type="dxa"/>
            <w:shd w:val="clear" w:color="auto" w:fill="DEEAF6" w:themeFill="accent1" w:themeFillTint="33"/>
            <w:vAlign w:val="center"/>
          </w:tcPr>
          <w:p w:rsidR="008C4C8C" w:rsidRPr="002751FC" w:rsidRDefault="00E051F1" w:rsidP="00BD0F12">
            <w:pPr>
              <w:jc w:val="center"/>
              <w:rPr>
                <w:rFonts w:asciiTheme="majorHAnsi" w:eastAsia="Times New Roman" w:hAnsiTheme="majorHAnsi" w:cstheme="majorHAnsi"/>
                <w:b/>
                <w:sz w:val="18"/>
                <w:szCs w:val="18"/>
                <w:lang w:val="ro-MD"/>
              </w:rPr>
            </w:pPr>
            <w:r w:rsidRPr="002751FC">
              <w:rPr>
                <w:rFonts w:asciiTheme="majorHAnsi" w:eastAsia="Times New Roman" w:hAnsiTheme="majorHAnsi" w:cstheme="majorHAnsi"/>
                <w:b/>
                <w:sz w:val="18"/>
                <w:szCs w:val="18"/>
                <w:lang w:val="ro-MD"/>
              </w:rPr>
              <w:t>P</w:t>
            </w:r>
            <w:r w:rsidR="008C4C8C" w:rsidRPr="002751FC">
              <w:rPr>
                <w:rFonts w:asciiTheme="majorHAnsi" w:eastAsia="Times New Roman" w:hAnsiTheme="majorHAnsi" w:cstheme="majorHAnsi"/>
                <w:b/>
                <w:sz w:val="18"/>
                <w:szCs w:val="18"/>
                <w:lang w:val="ro-MD"/>
              </w:rPr>
              <w:t>lanificat</w:t>
            </w:r>
          </w:p>
        </w:tc>
        <w:tc>
          <w:tcPr>
            <w:tcW w:w="837" w:type="dxa"/>
            <w:shd w:val="clear" w:color="auto" w:fill="DEEAF6" w:themeFill="accent1" w:themeFillTint="33"/>
            <w:vAlign w:val="center"/>
          </w:tcPr>
          <w:p w:rsidR="008C4C8C" w:rsidRPr="002751FC" w:rsidRDefault="00E051F1" w:rsidP="00BD0F12">
            <w:pPr>
              <w:jc w:val="center"/>
              <w:rPr>
                <w:rFonts w:asciiTheme="majorHAnsi" w:eastAsia="Times New Roman" w:hAnsiTheme="majorHAnsi" w:cstheme="majorHAnsi"/>
                <w:b/>
                <w:sz w:val="18"/>
                <w:szCs w:val="18"/>
                <w:lang w:val="ro-MD"/>
              </w:rPr>
            </w:pPr>
            <w:r w:rsidRPr="002751FC">
              <w:rPr>
                <w:rFonts w:asciiTheme="majorHAnsi" w:eastAsia="Times New Roman" w:hAnsiTheme="majorHAnsi" w:cstheme="majorHAnsi"/>
                <w:b/>
                <w:sz w:val="18"/>
                <w:szCs w:val="18"/>
                <w:lang w:val="ro-MD"/>
              </w:rPr>
              <w:t>R</w:t>
            </w:r>
            <w:r w:rsidR="008C4C8C" w:rsidRPr="002751FC">
              <w:rPr>
                <w:rFonts w:asciiTheme="majorHAnsi" w:eastAsia="Times New Roman" w:hAnsiTheme="majorHAnsi" w:cstheme="majorHAnsi"/>
                <w:b/>
                <w:sz w:val="18"/>
                <w:szCs w:val="18"/>
                <w:lang w:val="ro-MD"/>
              </w:rPr>
              <w:t>ealizat</w:t>
            </w:r>
          </w:p>
        </w:tc>
        <w:tc>
          <w:tcPr>
            <w:tcW w:w="790" w:type="dxa"/>
            <w:shd w:val="clear" w:color="auto" w:fill="DEEAF6" w:themeFill="accent1" w:themeFillTint="33"/>
            <w:vAlign w:val="center"/>
          </w:tcPr>
          <w:p w:rsidR="008C4C8C" w:rsidRPr="002751FC" w:rsidRDefault="00E051F1" w:rsidP="00BD0F12">
            <w:pPr>
              <w:jc w:val="center"/>
              <w:rPr>
                <w:rFonts w:asciiTheme="majorHAnsi" w:eastAsia="Times New Roman" w:hAnsiTheme="majorHAnsi" w:cstheme="majorHAnsi"/>
                <w:b/>
                <w:sz w:val="18"/>
                <w:szCs w:val="18"/>
                <w:lang w:val="ro-MD"/>
              </w:rPr>
            </w:pPr>
            <w:r w:rsidRPr="002751FC">
              <w:rPr>
                <w:rFonts w:asciiTheme="majorHAnsi" w:eastAsia="Times New Roman" w:hAnsiTheme="majorHAnsi" w:cstheme="majorHAnsi"/>
                <w:b/>
                <w:sz w:val="18"/>
                <w:szCs w:val="18"/>
                <w:lang w:val="ro-MD"/>
              </w:rPr>
              <w:t>D</w:t>
            </w:r>
            <w:r w:rsidR="008C4C8C" w:rsidRPr="002751FC">
              <w:rPr>
                <w:rFonts w:asciiTheme="majorHAnsi" w:eastAsia="Times New Roman" w:hAnsiTheme="majorHAnsi" w:cstheme="majorHAnsi"/>
                <w:b/>
                <w:sz w:val="18"/>
                <w:szCs w:val="18"/>
                <w:lang w:val="ro-MD"/>
              </w:rPr>
              <w:t>evieri</w:t>
            </w:r>
          </w:p>
        </w:tc>
        <w:tc>
          <w:tcPr>
            <w:tcW w:w="1815" w:type="dxa"/>
            <w:shd w:val="clear" w:color="auto" w:fill="DEEAF6" w:themeFill="accent1" w:themeFillTint="33"/>
            <w:vAlign w:val="center"/>
          </w:tcPr>
          <w:p w:rsidR="008C4C8C" w:rsidRPr="002751FC" w:rsidRDefault="00313EF4" w:rsidP="00FE457E">
            <w:pPr>
              <w:jc w:val="center"/>
              <w:rPr>
                <w:rFonts w:asciiTheme="majorHAnsi" w:eastAsia="Times New Roman" w:hAnsiTheme="majorHAnsi" w:cstheme="majorHAnsi"/>
                <w:b/>
                <w:sz w:val="18"/>
                <w:szCs w:val="18"/>
                <w:lang w:val="ro-MD"/>
              </w:rPr>
            </w:pPr>
            <w:r w:rsidRPr="002751FC">
              <w:rPr>
                <w:rFonts w:asciiTheme="majorHAnsi" w:eastAsia="Times New Roman" w:hAnsiTheme="majorHAnsi" w:cstheme="majorHAnsi"/>
                <w:b/>
                <w:sz w:val="18"/>
                <w:szCs w:val="18"/>
                <w:lang w:val="ro-MD"/>
              </w:rPr>
              <w:t>C</w:t>
            </w:r>
            <w:r w:rsidR="008C4C8C" w:rsidRPr="002751FC">
              <w:rPr>
                <w:rFonts w:asciiTheme="majorHAnsi" w:eastAsia="Times New Roman" w:hAnsiTheme="majorHAnsi" w:cstheme="majorHAnsi"/>
                <w:b/>
                <w:sz w:val="18"/>
                <w:szCs w:val="18"/>
                <w:lang w:val="ro-MD"/>
              </w:rPr>
              <w:t>auza</w:t>
            </w:r>
          </w:p>
        </w:tc>
      </w:tr>
      <w:tr w:rsidR="008C4C8C" w:rsidRPr="002751FC" w:rsidTr="00935746">
        <w:trPr>
          <w:trHeight w:val="129"/>
        </w:trPr>
        <w:tc>
          <w:tcPr>
            <w:tcW w:w="1271" w:type="dxa"/>
            <w:tcBorders>
              <w:top w:val="single" w:sz="4" w:space="0" w:color="auto"/>
              <w:left w:val="single" w:sz="4" w:space="0" w:color="auto"/>
              <w:bottom w:val="nil"/>
              <w:right w:val="single" w:sz="4" w:space="0" w:color="auto"/>
            </w:tcBorders>
          </w:tcPr>
          <w:p w:rsidR="008C4C8C" w:rsidRPr="002751FC" w:rsidRDefault="008C4C8C" w:rsidP="008C4C8C">
            <w:pPr>
              <w:tabs>
                <w:tab w:val="left" w:pos="334"/>
              </w:tabs>
              <w:ind w:left="-35"/>
              <w:rPr>
                <w:rFonts w:asciiTheme="majorHAnsi" w:hAnsiTheme="majorHAnsi" w:cstheme="majorHAnsi"/>
                <w:sz w:val="18"/>
                <w:szCs w:val="18"/>
                <w:lang w:val="ro-MD"/>
              </w:rPr>
            </w:pPr>
          </w:p>
        </w:tc>
        <w:tc>
          <w:tcPr>
            <w:tcW w:w="3482" w:type="dxa"/>
            <w:tcBorders>
              <w:left w:val="single" w:sz="4" w:space="0" w:color="auto"/>
            </w:tcBorders>
          </w:tcPr>
          <w:p w:rsidR="008C4C8C" w:rsidRPr="002751FC" w:rsidRDefault="008C4C8C" w:rsidP="002710DF">
            <w:pPr>
              <w:pStyle w:val="ac"/>
              <w:numPr>
                <w:ilvl w:val="1"/>
                <w:numId w:val="9"/>
              </w:numPr>
              <w:tabs>
                <w:tab w:val="left" w:pos="334"/>
              </w:tabs>
              <w:ind w:left="-35" w:firstLine="0"/>
              <w:rPr>
                <w:rFonts w:asciiTheme="majorHAnsi" w:hAnsiTheme="majorHAnsi" w:cstheme="majorHAnsi"/>
                <w:sz w:val="18"/>
                <w:szCs w:val="18"/>
                <w:lang w:val="ro-MD"/>
              </w:rPr>
            </w:pPr>
            <w:r w:rsidRPr="002751FC">
              <w:rPr>
                <w:rFonts w:asciiTheme="majorHAnsi" w:hAnsiTheme="majorHAnsi" w:cstheme="majorHAnsi"/>
                <w:sz w:val="18"/>
                <w:szCs w:val="18"/>
                <w:lang w:val="ro-MD"/>
              </w:rPr>
              <w:t>Ponderea exportului de produse vinicole</w:t>
            </w:r>
          </w:p>
        </w:tc>
        <w:tc>
          <w:tcPr>
            <w:tcW w:w="864" w:type="dxa"/>
          </w:tcPr>
          <w:p w:rsidR="008C4C8C" w:rsidRPr="002751FC" w:rsidRDefault="008C4C8C" w:rsidP="00343316">
            <w:pPr>
              <w:jc w:val="center"/>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w:t>
            </w:r>
          </w:p>
        </w:tc>
        <w:tc>
          <w:tcPr>
            <w:tcW w:w="883" w:type="dxa"/>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7%</w:t>
            </w:r>
          </w:p>
        </w:tc>
        <w:tc>
          <w:tcPr>
            <w:tcW w:w="837"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6,2%</w:t>
            </w:r>
          </w:p>
        </w:tc>
        <w:tc>
          <w:tcPr>
            <w:tcW w:w="790"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color w:val="FF0000"/>
                <w:sz w:val="18"/>
                <w:szCs w:val="18"/>
                <w:lang w:val="ro-MD"/>
              </w:rPr>
              <w:t>-0,8%</w:t>
            </w:r>
          </w:p>
        </w:tc>
        <w:tc>
          <w:tcPr>
            <w:tcW w:w="1815" w:type="dxa"/>
            <w:shd w:val="clear" w:color="auto" w:fill="FFFFFF" w:themeFill="background1"/>
          </w:tcPr>
          <w:p w:rsidR="008C4C8C" w:rsidRPr="002751FC" w:rsidRDefault="008C4C8C" w:rsidP="0067027E">
            <w:pPr>
              <w:jc w:val="both"/>
              <w:rPr>
                <w:rFonts w:asciiTheme="majorHAnsi" w:eastAsia="Times New Roman" w:hAnsiTheme="majorHAnsi" w:cstheme="majorHAnsi"/>
                <w:sz w:val="18"/>
                <w:szCs w:val="18"/>
                <w:lang w:val="ro-MD"/>
              </w:rPr>
            </w:pPr>
          </w:p>
        </w:tc>
      </w:tr>
      <w:tr w:rsidR="008C4C8C" w:rsidRPr="002751FC" w:rsidTr="00935746">
        <w:trPr>
          <w:trHeight w:val="317"/>
        </w:trPr>
        <w:tc>
          <w:tcPr>
            <w:tcW w:w="1271" w:type="dxa"/>
            <w:tcBorders>
              <w:top w:val="nil"/>
              <w:left w:val="single" w:sz="4" w:space="0" w:color="auto"/>
              <w:bottom w:val="nil"/>
              <w:right w:val="single" w:sz="4" w:space="0" w:color="auto"/>
            </w:tcBorders>
            <w:vAlign w:val="center"/>
          </w:tcPr>
          <w:p w:rsidR="008C4C8C" w:rsidRPr="002751FC" w:rsidRDefault="008C4C8C" w:rsidP="008C4C8C">
            <w:pPr>
              <w:tabs>
                <w:tab w:val="left" w:pos="388"/>
              </w:tabs>
              <w:ind w:left="-35"/>
              <w:jc w:val="center"/>
              <w:rPr>
                <w:rFonts w:asciiTheme="majorHAnsi" w:hAnsiTheme="majorHAnsi" w:cstheme="majorHAnsi"/>
                <w:sz w:val="18"/>
                <w:szCs w:val="18"/>
                <w:lang w:val="ro-MD"/>
              </w:rPr>
            </w:pPr>
            <w:r w:rsidRPr="002751FC">
              <w:rPr>
                <w:rFonts w:asciiTheme="majorHAnsi" w:hAnsiTheme="majorHAnsi" w:cstheme="majorHAnsi"/>
                <w:sz w:val="18"/>
                <w:szCs w:val="18"/>
                <w:lang w:val="ro-MD"/>
              </w:rPr>
              <w:t>De rezultat</w:t>
            </w:r>
          </w:p>
        </w:tc>
        <w:tc>
          <w:tcPr>
            <w:tcW w:w="3482" w:type="dxa"/>
            <w:tcBorders>
              <w:left w:val="single" w:sz="4" w:space="0" w:color="auto"/>
            </w:tcBorders>
          </w:tcPr>
          <w:p w:rsidR="008C4C8C" w:rsidRPr="002751FC" w:rsidRDefault="008C4C8C" w:rsidP="002710DF">
            <w:pPr>
              <w:pStyle w:val="ac"/>
              <w:numPr>
                <w:ilvl w:val="1"/>
                <w:numId w:val="9"/>
              </w:numPr>
              <w:tabs>
                <w:tab w:val="left" w:pos="388"/>
              </w:tabs>
              <w:ind w:left="-35" w:firstLine="0"/>
              <w:rPr>
                <w:rFonts w:asciiTheme="majorHAnsi" w:hAnsiTheme="majorHAnsi" w:cstheme="majorHAnsi"/>
                <w:sz w:val="18"/>
                <w:szCs w:val="18"/>
                <w:lang w:val="ro-MD"/>
              </w:rPr>
            </w:pPr>
            <w:r w:rsidRPr="002751FC">
              <w:rPr>
                <w:rFonts w:asciiTheme="majorHAnsi" w:hAnsiTheme="majorHAnsi" w:cstheme="majorHAnsi"/>
                <w:sz w:val="18"/>
                <w:szCs w:val="18"/>
                <w:lang w:val="ro-MD"/>
              </w:rPr>
              <w:t>Ponderea volumului de comercializare a producției vitivinicole pe piața internă</w:t>
            </w:r>
          </w:p>
        </w:tc>
        <w:tc>
          <w:tcPr>
            <w:tcW w:w="864" w:type="dxa"/>
          </w:tcPr>
          <w:p w:rsidR="008C4C8C" w:rsidRPr="002751FC" w:rsidRDefault="008C4C8C" w:rsidP="00343316">
            <w:pPr>
              <w:jc w:val="center"/>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w:t>
            </w:r>
          </w:p>
        </w:tc>
        <w:tc>
          <w:tcPr>
            <w:tcW w:w="883" w:type="dxa"/>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7%</w:t>
            </w:r>
          </w:p>
        </w:tc>
        <w:tc>
          <w:tcPr>
            <w:tcW w:w="837"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10%</w:t>
            </w:r>
          </w:p>
        </w:tc>
        <w:tc>
          <w:tcPr>
            <w:tcW w:w="790"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+3%</w:t>
            </w:r>
          </w:p>
        </w:tc>
        <w:tc>
          <w:tcPr>
            <w:tcW w:w="1815" w:type="dxa"/>
            <w:shd w:val="clear" w:color="auto" w:fill="FFFFFF" w:themeFill="background1"/>
          </w:tcPr>
          <w:p w:rsidR="008C4C8C" w:rsidRPr="002751FC" w:rsidRDefault="008C4C8C" w:rsidP="0067027E">
            <w:pPr>
              <w:jc w:val="both"/>
              <w:rPr>
                <w:rFonts w:asciiTheme="majorHAnsi" w:eastAsia="Times New Roman" w:hAnsiTheme="majorHAnsi" w:cstheme="majorHAnsi"/>
                <w:sz w:val="18"/>
                <w:szCs w:val="18"/>
                <w:lang w:val="ro-MD"/>
              </w:rPr>
            </w:pPr>
          </w:p>
        </w:tc>
      </w:tr>
      <w:tr w:rsidR="008C4C8C" w:rsidRPr="002751FC" w:rsidTr="00935746">
        <w:trPr>
          <w:trHeight w:val="317"/>
        </w:trPr>
        <w:tc>
          <w:tcPr>
            <w:tcW w:w="1271" w:type="dxa"/>
            <w:tcBorders>
              <w:top w:val="nil"/>
              <w:left w:val="single" w:sz="4" w:space="0" w:color="auto"/>
              <w:bottom w:val="single" w:sz="4" w:space="0" w:color="auto"/>
              <w:right w:val="single" w:sz="4" w:space="0" w:color="auto"/>
            </w:tcBorders>
          </w:tcPr>
          <w:p w:rsidR="008C4C8C" w:rsidRPr="002751FC" w:rsidRDefault="008C4C8C" w:rsidP="008C4C8C">
            <w:pPr>
              <w:tabs>
                <w:tab w:val="left" w:pos="252"/>
              </w:tabs>
              <w:ind w:left="-35"/>
              <w:rPr>
                <w:rFonts w:asciiTheme="majorHAnsi" w:hAnsiTheme="majorHAnsi" w:cstheme="majorHAnsi"/>
                <w:sz w:val="18"/>
                <w:szCs w:val="18"/>
                <w:lang w:val="ro-MD"/>
              </w:rPr>
            </w:pPr>
          </w:p>
        </w:tc>
        <w:tc>
          <w:tcPr>
            <w:tcW w:w="3482" w:type="dxa"/>
            <w:tcBorders>
              <w:left w:val="single" w:sz="4" w:space="0" w:color="auto"/>
            </w:tcBorders>
          </w:tcPr>
          <w:p w:rsidR="008C4C8C" w:rsidRPr="002751FC" w:rsidRDefault="008C4C8C" w:rsidP="002710DF">
            <w:pPr>
              <w:pStyle w:val="ac"/>
              <w:numPr>
                <w:ilvl w:val="1"/>
                <w:numId w:val="9"/>
              </w:numPr>
              <w:tabs>
                <w:tab w:val="left" w:pos="252"/>
              </w:tabs>
              <w:ind w:left="-35" w:firstLine="0"/>
              <w:rPr>
                <w:rFonts w:asciiTheme="majorHAnsi" w:hAnsiTheme="majorHAnsi" w:cstheme="majorHAnsi"/>
                <w:sz w:val="18"/>
                <w:szCs w:val="18"/>
                <w:lang w:val="ro-MD"/>
              </w:rPr>
            </w:pPr>
            <w:r w:rsidRPr="002751FC">
              <w:rPr>
                <w:rFonts w:asciiTheme="majorHAnsi" w:hAnsiTheme="majorHAnsi" w:cstheme="majorHAnsi"/>
                <w:sz w:val="18"/>
                <w:szCs w:val="18"/>
                <w:lang w:val="ro-MD"/>
              </w:rPr>
              <w:t xml:space="preserve"> Ponderea volumului comercializat al produselor vitivinicole cu brandul de țară</w:t>
            </w:r>
          </w:p>
        </w:tc>
        <w:tc>
          <w:tcPr>
            <w:tcW w:w="864" w:type="dxa"/>
          </w:tcPr>
          <w:p w:rsidR="008C4C8C" w:rsidRPr="002751FC" w:rsidRDefault="008C4C8C" w:rsidP="00343316">
            <w:pPr>
              <w:jc w:val="center"/>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w:t>
            </w:r>
          </w:p>
        </w:tc>
        <w:tc>
          <w:tcPr>
            <w:tcW w:w="883" w:type="dxa"/>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6%</w:t>
            </w:r>
          </w:p>
        </w:tc>
        <w:tc>
          <w:tcPr>
            <w:tcW w:w="837"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6%</w:t>
            </w:r>
          </w:p>
        </w:tc>
        <w:tc>
          <w:tcPr>
            <w:tcW w:w="790"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w:t>
            </w:r>
          </w:p>
        </w:tc>
        <w:tc>
          <w:tcPr>
            <w:tcW w:w="1815" w:type="dxa"/>
            <w:shd w:val="clear" w:color="auto" w:fill="FFFFFF" w:themeFill="background1"/>
          </w:tcPr>
          <w:p w:rsidR="008C4C8C" w:rsidRPr="002751FC" w:rsidRDefault="008C4C8C" w:rsidP="0067027E">
            <w:pPr>
              <w:jc w:val="both"/>
              <w:rPr>
                <w:rFonts w:asciiTheme="majorHAnsi" w:eastAsia="Times New Roman" w:hAnsiTheme="majorHAnsi" w:cstheme="majorHAnsi"/>
                <w:sz w:val="18"/>
                <w:szCs w:val="18"/>
                <w:lang w:val="ro-MD"/>
              </w:rPr>
            </w:pPr>
          </w:p>
        </w:tc>
      </w:tr>
      <w:tr w:rsidR="008C4C8C" w:rsidRPr="002751FC" w:rsidTr="00935746">
        <w:trPr>
          <w:trHeight w:val="317"/>
        </w:trPr>
        <w:tc>
          <w:tcPr>
            <w:tcW w:w="1271" w:type="dxa"/>
            <w:tcBorders>
              <w:top w:val="single" w:sz="4" w:space="0" w:color="auto"/>
              <w:left w:val="single" w:sz="4" w:space="0" w:color="auto"/>
              <w:bottom w:val="nil"/>
              <w:right w:val="single" w:sz="4" w:space="0" w:color="auto"/>
            </w:tcBorders>
          </w:tcPr>
          <w:p w:rsidR="008C4C8C" w:rsidRPr="002751FC" w:rsidRDefault="008C4C8C" w:rsidP="008C4C8C">
            <w:pPr>
              <w:tabs>
                <w:tab w:val="left" w:pos="293"/>
              </w:tabs>
              <w:ind w:left="-35"/>
              <w:rPr>
                <w:rFonts w:asciiTheme="majorHAnsi" w:hAnsiTheme="majorHAnsi" w:cstheme="majorHAnsi"/>
                <w:sz w:val="18"/>
                <w:szCs w:val="18"/>
                <w:lang w:val="ro-MD"/>
              </w:rPr>
            </w:pPr>
          </w:p>
        </w:tc>
        <w:tc>
          <w:tcPr>
            <w:tcW w:w="3482" w:type="dxa"/>
            <w:tcBorders>
              <w:left w:val="single" w:sz="4" w:space="0" w:color="auto"/>
            </w:tcBorders>
          </w:tcPr>
          <w:p w:rsidR="008C4C8C" w:rsidRPr="002751FC" w:rsidRDefault="008C4C8C" w:rsidP="002710DF">
            <w:pPr>
              <w:pStyle w:val="ac"/>
              <w:numPr>
                <w:ilvl w:val="1"/>
                <w:numId w:val="17"/>
              </w:numPr>
              <w:tabs>
                <w:tab w:val="left" w:pos="293"/>
              </w:tabs>
              <w:ind w:left="-35" w:firstLine="0"/>
              <w:rPr>
                <w:rFonts w:asciiTheme="majorHAnsi" w:hAnsiTheme="majorHAnsi" w:cstheme="majorHAnsi"/>
                <w:sz w:val="18"/>
                <w:szCs w:val="18"/>
                <w:lang w:val="ro-MD"/>
              </w:rPr>
            </w:pPr>
            <w:r w:rsidRPr="002751FC">
              <w:rPr>
                <w:rFonts w:asciiTheme="majorHAnsi" w:hAnsiTheme="majorHAnsi" w:cstheme="majorHAnsi"/>
                <w:sz w:val="18"/>
                <w:szCs w:val="18"/>
                <w:lang w:val="ro-MD"/>
              </w:rPr>
              <w:t xml:space="preserve">Numărul de manifestații internaționale și naționale pentru promovarea produselor vitivinicole cu suportul FVV </w:t>
            </w:r>
          </w:p>
        </w:tc>
        <w:tc>
          <w:tcPr>
            <w:tcW w:w="864" w:type="dxa"/>
          </w:tcPr>
          <w:p w:rsidR="008C4C8C" w:rsidRPr="002751FC" w:rsidRDefault="008C4C8C" w:rsidP="00343316">
            <w:pPr>
              <w:jc w:val="center"/>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unit.</w:t>
            </w:r>
          </w:p>
        </w:tc>
        <w:tc>
          <w:tcPr>
            <w:tcW w:w="883" w:type="dxa"/>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30</w:t>
            </w:r>
          </w:p>
        </w:tc>
        <w:tc>
          <w:tcPr>
            <w:tcW w:w="837"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43</w:t>
            </w:r>
          </w:p>
        </w:tc>
        <w:tc>
          <w:tcPr>
            <w:tcW w:w="790"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+13</w:t>
            </w:r>
          </w:p>
        </w:tc>
        <w:tc>
          <w:tcPr>
            <w:tcW w:w="1815" w:type="dxa"/>
            <w:shd w:val="clear" w:color="auto" w:fill="FFFFFF" w:themeFill="background1"/>
          </w:tcPr>
          <w:p w:rsidR="008C4C8C" w:rsidRPr="002751FC" w:rsidRDefault="008C4C8C" w:rsidP="0067027E">
            <w:pPr>
              <w:jc w:val="both"/>
              <w:rPr>
                <w:rFonts w:asciiTheme="majorHAnsi" w:eastAsia="Times New Roman" w:hAnsiTheme="majorHAnsi" w:cstheme="majorHAnsi"/>
                <w:sz w:val="18"/>
                <w:szCs w:val="18"/>
                <w:lang w:val="ro-MD"/>
              </w:rPr>
            </w:pPr>
          </w:p>
        </w:tc>
      </w:tr>
      <w:tr w:rsidR="008C4C8C" w:rsidRPr="002751FC" w:rsidTr="00935746">
        <w:trPr>
          <w:trHeight w:val="453"/>
        </w:trPr>
        <w:tc>
          <w:tcPr>
            <w:tcW w:w="1271" w:type="dxa"/>
            <w:tcBorders>
              <w:top w:val="nil"/>
              <w:left w:val="single" w:sz="4" w:space="0" w:color="auto"/>
              <w:bottom w:val="nil"/>
              <w:right w:val="single" w:sz="4" w:space="0" w:color="auto"/>
            </w:tcBorders>
            <w:vAlign w:val="center"/>
          </w:tcPr>
          <w:p w:rsidR="008C4C8C" w:rsidRPr="002751FC" w:rsidRDefault="008C4C8C" w:rsidP="00FE457E">
            <w:pPr>
              <w:tabs>
                <w:tab w:val="left" w:pos="361"/>
              </w:tabs>
              <w:ind w:left="-35"/>
              <w:jc w:val="center"/>
              <w:rPr>
                <w:rFonts w:asciiTheme="majorHAnsi" w:hAnsiTheme="majorHAnsi" w:cstheme="majorHAnsi"/>
                <w:sz w:val="18"/>
                <w:szCs w:val="18"/>
                <w:lang w:val="ro-MD"/>
              </w:rPr>
            </w:pPr>
            <w:r w:rsidRPr="002751FC">
              <w:rPr>
                <w:rFonts w:asciiTheme="majorHAnsi" w:hAnsiTheme="majorHAnsi" w:cstheme="majorHAnsi"/>
                <w:sz w:val="18"/>
                <w:szCs w:val="18"/>
                <w:lang w:val="ro-MD"/>
              </w:rPr>
              <w:t>De produs</w:t>
            </w:r>
          </w:p>
        </w:tc>
        <w:tc>
          <w:tcPr>
            <w:tcW w:w="3482" w:type="dxa"/>
            <w:tcBorders>
              <w:left w:val="single" w:sz="4" w:space="0" w:color="auto"/>
            </w:tcBorders>
          </w:tcPr>
          <w:p w:rsidR="008C4C8C" w:rsidRPr="002751FC" w:rsidRDefault="008C4C8C" w:rsidP="002710DF">
            <w:pPr>
              <w:pStyle w:val="ac"/>
              <w:numPr>
                <w:ilvl w:val="1"/>
                <w:numId w:val="17"/>
              </w:numPr>
              <w:tabs>
                <w:tab w:val="left" w:pos="361"/>
              </w:tabs>
              <w:ind w:left="-35" w:firstLine="0"/>
              <w:rPr>
                <w:rFonts w:asciiTheme="majorHAnsi" w:hAnsiTheme="majorHAnsi" w:cstheme="majorHAnsi"/>
                <w:sz w:val="18"/>
                <w:szCs w:val="18"/>
                <w:lang w:val="ro-MD"/>
              </w:rPr>
            </w:pPr>
            <w:r w:rsidRPr="002751FC">
              <w:rPr>
                <w:rFonts w:asciiTheme="majorHAnsi" w:hAnsiTheme="majorHAnsi" w:cstheme="majorHAnsi"/>
                <w:sz w:val="18"/>
                <w:szCs w:val="18"/>
                <w:lang w:val="ro-MD"/>
              </w:rPr>
              <w:t>Numărul de companii înregistrate în programul de implementare a brandului de țară la produse vitivinicole</w:t>
            </w:r>
          </w:p>
        </w:tc>
        <w:tc>
          <w:tcPr>
            <w:tcW w:w="864" w:type="dxa"/>
          </w:tcPr>
          <w:p w:rsidR="008C4C8C" w:rsidRPr="002751FC" w:rsidRDefault="008C4C8C" w:rsidP="00343316">
            <w:pPr>
              <w:jc w:val="center"/>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unit.</w:t>
            </w:r>
          </w:p>
        </w:tc>
        <w:tc>
          <w:tcPr>
            <w:tcW w:w="883" w:type="dxa"/>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10</w:t>
            </w:r>
          </w:p>
        </w:tc>
        <w:tc>
          <w:tcPr>
            <w:tcW w:w="837"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w:t>
            </w:r>
          </w:p>
        </w:tc>
        <w:tc>
          <w:tcPr>
            <w:tcW w:w="790"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color w:val="FF0000"/>
                <w:sz w:val="18"/>
                <w:szCs w:val="18"/>
                <w:lang w:val="ro-MD"/>
              </w:rPr>
              <w:t>-9</w:t>
            </w:r>
          </w:p>
        </w:tc>
        <w:tc>
          <w:tcPr>
            <w:tcW w:w="1815" w:type="dxa"/>
            <w:shd w:val="clear" w:color="auto" w:fill="FFFFFF" w:themeFill="background1"/>
          </w:tcPr>
          <w:p w:rsidR="008C4C8C" w:rsidRPr="002751FC" w:rsidRDefault="008C4C8C" w:rsidP="0067027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a parvenit o singură solicitare</w:t>
            </w:r>
          </w:p>
        </w:tc>
      </w:tr>
      <w:tr w:rsidR="008C4C8C" w:rsidRPr="002751FC" w:rsidTr="00935746">
        <w:trPr>
          <w:trHeight w:val="317"/>
        </w:trPr>
        <w:tc>
          <w:tcPr>
            <w:tcW w:w="1271" w:type="dxa"/>
            <w:tcBorders>
              <w:top w:val="nil"/>
              <w:left w:val="single" w:sz="4" w:space="0" w:color="auto"/>
              <w:bottom w:val="nil"/>
              <w:right w:val="single" w:sz="4" w:space="0" w:color="auto"/>
            </w:tcBorders>
            <w:vAlign w:val="center"/>
          </w:tcPr>
          <w:p w:rsidR="008C4C8C" w:rsidRPr="002751FC" w:rsidRDefault="008C4C8C" w:rsidP="00FE457E">
            <w:pPr>
              <w:tabs>
                <w:tab w:val="left" w:pos="280"/>
              </w:tabs>
              <w:ind w:left="-35"/>
              <w:jc w:val="center"/>
              <w:rPr>
                <w:rFonts w:asciiTheme="majorHAnsi" w:hAnsiTheme="majorHAnsi" w:cstheme="majorHAnsi"/>
                <w:sz w:val="18"/>
                <w:szCs w:val="18"/>
                <w:lang w:val="ro-MD"/>
              </w:rPr>
            </w:pPr>
          </w:p>
        </w:tc>
        <w:tc>
          <w:tcPr>
            <w:tcW w:w="3482" w:type="dxa"/>
            <w:tcBorders>
              <w:left w:val="single" w:sz="4" w:space="0" w:color="auto"/>
            </w:tcBorders>
          </w:tcPr>
          <w:p w:rsidR="008C4C8C" w:rsidRPr="002751FC" w:rsidRDefault="008C4C8C" w:rsidP="002710DF">
            <w:pPr>
              <w:pStyle w:val="ac"/>
              <w:numPr>
                <w:ilvl w:val="1"/>
                <w:numId w:val="17"/>
              </w:numPr>
              <w:tabs>
                <w:tab w:val="left" w:pos="280"/>
              </w:tabs>
              <w:ind w:left="-35" w:firstLine="0"/>
              <w:rPr>
                <w:rFonts w:asciiTheme="majorHAnsi" w:hAnsiTheme="majorHAnsi" w:cstheme="majorHAnsi"/>
                <w:sz w:val="18"/>
                <w:szCs w:val="18"/>
                <w:lang w:val="ro-MD"/>
              </w:rPr>
            </w:pPr>
            <w:r w:rsidRPr="002751FC">
              <w:rPr>
                <w:rFonts w:asciiTheme="majorHAnsi" w:hAnsiTheme="majorHAnsi" w:cstheme="majorHAnsi"/>
                <w:sz w:val="18"/>
                <w:szCs w:val="18"/>
                <w:lang w:val="ro-MD"/>
              </w:rPr>
              <w:t>Numărul de companii înregistrate care produc produse vitivinicole cu IGP/DOP</w:t>
            </w:r>
          </w:p>
        </w:tc>
        <w:tc>
          <w:tcPr>
            <w:tcW w:w="864" w:type="dxa"/>
          </w:tcPr>
          <w:p w:rsidR="008C4C8C" w:rsidRPr="002751FC" w:rsidRDefault="008C4C8C" w:rsidP="00343316">
            <w:pPr>
              <w:jc w:val="center"/>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unit.</w:t>
            </w:r>
          </w:p>
        </w:tc>
        <w:tc>
          <w:tcPr>
            <w:tcW w:w="883" w:type="dxa"/>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5</w:t>
            </w:r>
          </w:p>
        </w:tc>
        <w:tc>
          <w:tcPr>
            <w:tcW w:w="837"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6</w:t>
            </w:r>
          </w:p>
        </w:tc>
        <w:tc>
          <w:tcPr>
            <w:tcW w:w="790"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w:t>
            </w:r>
          </w:p>
        </w:tc>
        <w:tc>
          <w:tcPr>
            <w:tcW w:w="1815" w:type="dxa"/>
            <w:shd w:val="clear" w:color="auto" w:fill="FFFFFF" w:themeFill="background1"/>
          </w:tcPr>
          <w:p w:rsidR="008C4C8C" w:rsidRPr="002751FC" w:rsidRDefault="008C4C8C" w:rsidP="0067027E">
            <w:pPr>
              <w:jc w:val="both"/>
              <w:rPr>
                <w:rFonts w:asciiTheme="majorHAnsi" w:eastAsia="Times New Roman" w:hAnsiTheme="majorHAnsi" w:cstheme="majorHAnsi"/>
                <w:sz w:val="18"/>
                <w:szCs w:val="18"/>
                <w:lang w:val="ro-MD"/>
              </w:rPr>
            </w:pPr>
          </w:p>
        </w:tc>
      </w:tr>
      <w:tr w:rsidR="008C4C8C" w:rsidRPr="002751FC" w:rsidTr="00935746">
        <w:trPr>
          <w:trHeight w:val="317"/>
        </w:trPr>
        <w:tc>
          <w:tcPr>
            <w:tcW w:w="1271" w:type="dxa"/>
            <w:tcBorders>
              <w:top w:val="nil"/>
              <w:left w:val="single" w:sz="4" w:space="0" w:color="auto"/>
              <w:bottom w:val="single" w:sz="4" w:space="0" w:color="auto"/>
              <w:right w:val="single" w:sz="4" w:space="0" w:color="auto"/>
            </w:tcBorders>
          </w:tcPr>
          <w:p w:rsidR="008C4C8C" w:rsidRPr="002751FC" w:rsidRDefault="008C4C8C" w:rsidP="008C4C8C">
            <w:pPr>
              <w:tabs>
                <w:tab w:val="left" w:pos="184"/>
                <w:tab w:val="left" w:pos="366"/>
              </w:tabs>
              <w:ind w:left="-35"/>
              <w:rPr>
                <w:rFonts w:asciiTheme="majorHAnsi" w:hAnsiTheme="majorHAnsi" w:cstheme="majorHAnsi"/>
                <w:sz w:val="18"/>
                <w:szCs w:val="18"/>
                <w:lang w:val="ro-MD"/>
              </w:rPr>
            </w:pPr>
          </w:p>
        </w:tc>
        <w:tc>
          <w:tcPr>
            <w:tcW w:w="3482" w:type="dxa"/>
            <w:tcBorders>
              <w:left w:val="single" w:sz="4" w:space="0" w:color="auto"/>
            </w:tcBorders>
          </w:tcPr>
          <w:p w:rsidR="008C4C8C" w:rsidRPr="002751FC" w:rsidRDefault="008C4C8C" w:rsidP="002710DF">
            <w:pPr>
              <w:pStyle w:val="ac"/>
              <w:numPr>
                <w:ilvl w:val="1"/>
                <w:numId w:val="17"/>
              </w:numPr>
              <w:tabs>
                <w:tab w:val="left" w:pos="184"/>
                <w:tab w:val="left" w:pos="366"/>
              </w:tabs>
              <w:ind w:left="-35" w:firstLine="0"/>
              <w:rPr>
                <w:rFonts w:asciiTheme="majorHAnsi" w:hAnsiTheme="majorHAnsi" w:cstheme="majorHAnsi"/>
                <w:sz w:val="18"/>
                <w:szCs w:val="18"/>
                <w:lang w:val="ro-MD"/>
              </w:rPr>
            </w:pPr>
            <w:r w:rsidRPr="002751FC">
              <w:rPr>
                <w:rFonts w:asciiTheme="majorHAnsi" w:hAnsiTheme="majorHAnsi" w:cstheme="majorHAnsi"/>
                <w:sz w:val="18"/>
                <w:szCs w:val="18"/>
                <w:lang w:val="ro-MD"/>
              </w:rPr>
              <w:t xml:space="preserve">Numărul de unități vinicole înregistrate în RVV </w:t>
            </w:r>
          </w:p>
        </w:tc>
        <w:tc>
          <w:tcPr>
            <w:tcW w:w="864" w:type="dxa"/>
          </w:tcPr>
          <w:p w:rsidR="008C4C8C" w:rsidRPr="002751FC" w:rsidRDefault="008C4C8C" w:rsidP="00343316">
            <w:pPr>
              <w:jc w:val="center"/>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unit.</w:t>
            </w:r>
          </w:p>
        </w:tc>
        <w:tc>
          <w:tcPr>
            <w:tcW w:w="883" w:type="dxa"/>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10</w:t>
            </w:r>
          </w:p>
        </w:tc>
        <w:tc>
          <w:tcPr>
            <w:tcW w:w="837"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10</w:t>
            </w:r>
          </w:p>
        </w:tc>
        <w:tc>
          <w:tcPr>
            <w:tcW w:w="790"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w:t>
            </w:r>
          </w:p>
        </w:tc>
        <w:tc>
          <w:tcPr>
            <w:tcW w:w="1815" w:type="dxa"/>
            <w:shd w:val="clear" w:color="auto" w:fill="FFFFFF" w:themeFill="background1"/>
          </w:tcPr>
          <w:p w:rsidR="008C4C8C" w:rsidRPr="002751FC" w:rsidRDefault="008C4C8C" w:rsidP="0067027E">
            <w:pPr>
              <w:jc w:val="both"/>
              <w:rPr>
                <w:rFonts w:asciiTheme="majorHAnsi" w:eastAsia="Times New Roman" w:hAnsiTheme="majorHAnsi" w:cstheme="majorHAnsi"/>
                <w:sz w:val="18"/>
                <w:szCs w:val="18"/>
                <w:lang w:val="ro-MD"/>
              </w:rPr>
            </w:pPr>
          </w:p>
        </w:tc>
      </w:tr>
      <w:tr w:rsidR="008C4C8C" w:rsidRPr="002751FC" w:rsidTr="00935746">
        <w:trPr>
          <w:trHeight w:val="317"/>
        </w:trPr>
        <w:tc>
          <w:tcPr>
            <w:tcW w:w="1271" w:type="dxa"/>
            <w:tcBorders>
              <w:top w:val="single" w:sz="4" w:space="0" w:color="auto"/>
              <w:left w:val="single" w:sz="4" w:space="0" w:color="auto"/>
              <w:bottom w:val="nil"/>
              <w:right w:val="single" w:sz="4" w:space="0" w:color="auto"/>
            </w:tcBorders>
          </w:tcPr>
          <w:p w:rsidR="008C4C8C" w:rsidRPr="002751FC" w:rsidRDefault="008C4C8C" w:rsidP="00FF0964">
            <w:pPr>
              <w:pStyle w:val="ac"/>
              <w:tabs>
                <w:tab w:val="left" w:pos="318"/>
              </w:tabs>
              <w:ind w:left="-35"/>
              <w:rPr>
                <w:rFonts w:asciiTheme="majorHAnsi" w:hAnsiTheme="majorHAnsi" w:cstheme="majorHAnsi"/>
                <w:sz w:val="18"/>
                <w:szCs w:val="18"/>
                <w:lang w:val="ro-MD"/>
              </w:rPr>
            </w:pPr>
          </w:p>
        </w:tc>
        <w:tc>
          <w:tcPr>
            <w:tcW w:w="3482" w:type="dxa"/>
            <w:tcBorders>
              <w:left w:val="single" w:sz="4" w:space="0" w:color="auto"/>
            </w:tcBorders>
          </w:tcPr>
          <w:p w:rsidR="008C4C8C" w:rsidRPr="002751FC" w:rsidRDefault="008C4C8C" w:rsidP="00FF0964">
            <w:pPr>
              <w:pStyle w:val="ac"/>
              <w:tabs>
                <w:tab w:val="left" w:pos="318"/>
              </w:tabs>
              <w:ind w:left="-35"/>
              <w:rPr>
                <w:rFonts w:asciiTheme="majorHAnsi" w:hAnsiTheme="majorHAnsi" w:cstheme="majorHAnsi"/>
                <w:sz w:val="18"/>
                <w:szCs w:val="18"/>
                <w:lang w:val="ro-MD"/>
              </w:rPr>
            </w:pPr>
            <w:r w:rsidRPr="002751FC">
              <w:rPr>
                <w:rFonts w:asciiTheme="majorHAnsi" w:hAnsiTheme="majorHAnsi" w:cstheme="majorHAnsi"/>
                <w:sz w:val="18"/>
                <w:szCs w:val="18"/>
                <w:lang w:val="ro-MD"/>
              </w:rPr>
              <w:t>3.1. Cheltuieli pentru instruirea profesională a personalului din sectorul vitivinicol</w:t>
            </w:r>
          </w:p>
        </w:tc>
        <w:tc>
          <w:tcPr>
            <w:tcW w:w="864" w:type="dxa"/>
          </w:tcPr>
          <w:p w:rsidR="008C4C8C" w:rsidRPr="002751FC" w:rsidRDefault="008C4C8C" w:rsidP="003C123E">
            <w:pPr>
              <w:jc w:val="center"/>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 xml:space="preserve">mii </w:t>
            </w:r>
            <w:r w:rsidR="003C123E" w:rsidRPr="002751FC">
              <w:rPr>
                <w:rFonts w:asciiTheme="majorHAnsi" w:eastAsia="Times New Roman" w:hAnsiTheme="majorHAnsi" w:cstheme="majorHAnsi"/>
                <w:sz w:val="18"/>
                <w:szCs w:val="18"/>
                <w:lang w:val="ro-MD"/>
              </w:rPr>
              <w:t>MDL</w:t>
            </w:r>
          </w:p>
        </w:tc>
        <w:tc>
          <w:tcPr>
            <w:tcW w:w="883" w:type="dxa"/>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1500</w:t>
            </w:r>
          </w:p>
        </w:tc>
        <w:tc>
          <w:tcPr>
            <w:tcW w:w="837"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1071,7</w:t>
            </w:r>
          </w:p>
        </w:tc>
        <w:tc>
          <w:tcPr>
            <w:tcW w:w="790"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color w:val="FF0000"/>
                <w:sz w:val="18"/>
                <w:szCs w:val="18"/>
                <w:lang w:val="ro-MD"/>
              </w:rPr>
              <w:t>-428,3</w:t>
            </w:r>
          </w:p>
        </w:tc>
        <w:tc>
          <w:tcPr>
            <w:tcW w:w="1815" w:type="dxa"/>
            <w:shd w:val="clear" w:color="auto" w:fill="FFFFFF" w:themeFill="background1"/>
          </w:tcPr>
          <w:p w:rsidR="008C4C8C" w:rsidRPr="002751FC" w:rsidRDefault="008C4C8C" w:rsidP="0067027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au fost amânate 2 seminare pentru 2019</w:t>
            </w:r>
          </w:p>
        </w:tc>
      </w:tr>
      <w:tr w:rsidR="008C4C8C" w:rsidRPr="002751FC" w:rsidTr="00935746">
        <w:trPr>
          <w:trHeight w:val="317"/>
        </w:trPr>
        <w:tc>
          <w:tcPr>
            <w:tcW w:w="1271" w:type="dxa"/>
            <w:tcBorders>
              <w:top w:val="nil"/>
              <w:left w:val="single" w:sz="4" w:space="0" w:color="auto"/>
              <w:bottom w:val="single" w:sz="4" w:space="0" w:color="auto"/>
              <w:right w:val="single" w:sz="4" w:space="0" w:color="auto"/>
            </w:tcBorders>
          </w:tcPr>
          <w:p w:rsidR="00430B6F" w:rsidRPr="002751FC" w:rsidRDefault="00A406BC" w:rsidP="00A406BC">
            <w:pPr>
              <w:tabs>
                <w:tab w:val="left" w:pos="293"/>
              </w:tabs>
              <w:jc w:val="center"/>
              <w:rPr>
                <w:rFonts w:asciiTheme="majorHAnsi" w:hAnsiTheme="majorHAnsi" w:cstheme="majorHAnsi"/>
                <w:sz w:val="18"/>
                <w:szCs w:val="18"/>
                <w:lang w:val="ro-MD"/>
              </w:rPr>
            </w:pPr>
            <w:r w:rsidRPr="002751FC">
              <w:rPr>
                <w:rFonts w:asciiTheme="majorHAnsi" w:hAnsiTheme="majorHAnsi" w:cstheme="majorHAnsi"/>
                <w:sz w:val="18"/>
                <w:szCs w:val="18"/>
                <w:lang w:val="ro-MD"/>
              </w:rPr>
              <w:t xml:space="preserve">De </w:t>
            </w:r>
            <w:r w:rsidR="007B77B4" w:rsidRPr="002751FC">
              <w:rPr>
                <w:rFonts w:asciiTheme="majorHAnsi" w:hAnsiTheme="majorHAnsi" w:cstheme="majorHAnsi"/>
                <w:sz w:val="18"/>
                <w:szCs w:val="18"/>
                <w:lang w:val="ro-MD"/>
              </w:rPr>
              <w:t>eficiență</w:t>
            </w:r>
          </w:p>
          <w:p w:rsidR="008C4C8C" w:rsidRPr="002751FC" w:rsidRDefault="00430B6F" w:rsidP="00430B6F">
            <w:pPr>
              <w:tabs>
                <w:tab w:val="left" w:pos="840"/>
              </w:tabs>
              <w:rPr>
                <w:rFonts w:asciiTheme="majorHAnsi" w:hAnsiTheme="majorHAnsi" w:cstheme="majorHAnsi"/>
                <w:sz w:val="18"/>
                <w:szCs w:val="18"/>
                <w:lang w:val="ro-MD"/>
              </w:rPr>
            </w:pPr>
            <w:r w:rsidRPr="002751FC">
              <w:rPr>
                <w:rFonts w:asciiTheme="majorHAnsi" w:hAnsiTheme="majorHAnsi" w:cstheme="majorHAnsi"/>
                <w:sz w:val="18"/>
                <w:szCs w:val="18"/>
                <w:lang w:val="ro-MD"/>
              </w:rPr>
              <w:tab/>
            </w:r>
          </w:p>
        </w:tc>
        <w:tc>
          <w:tcPr>
            <w:tcW w:w="3482" w:type="dxa"/>
            <w:tcBorders>
              <w:left w:val="single" w:sz="4" w:space="0" w:color="auto"/>
            </w:tcBorders>
          </w:tcPr>
          <w:p w:rsidR="008C4C8C" w:rsidRPr="002751FC" w:rsidRDefault="008C4C8C" w:rsidP="00FF0964">
            <w:pPr>
              <w:pStyle w:val="ac"/>
              <w:tabs>
                <w:tab w:val="left" w:pos="293"/>
              </w:tabs>
              <w:ind w:left="-35"/>
              <w:rPr>
                <w:rFonts w:asciiTheme="majorHAnsi" w:hAnsiTheme="majorHAnsi" w:cstheme="majorHAnsi"/>
                <w:sz w:val="18"/>
                <w:szCs w:val="18"/>
                <w:lang w:val="ro-MD"/>
              </w:rPr>
            </w:pPr>
            <w:r w:rsidRPr="002751FC">
              <w:rPr>
                <w:rFonts w:asciiTheme="majorHAnsi" w:hAnsiTheme="majorHAnsi" w:cstheme="majorHAnsi"/>
                <w:sz w:val="18"/>
                <w:szCs w:val="18"/>
                <w:lang w:val="ro-MD"/>
              </w:rPr>
              <w:t>3.2. Costul de promovare a producț</w:t>
            </w:r>
            <w:r w:rsidR="000E484E" w:rsidRPr="002751FC">
              <w:rPr>
                <w:rFonts w:asciiTheme="majorHAnsi" w:hAnsiTheme="majorHAnsi" w:cstheme="majorHAnsi"/>
                <w:sz w:val="18"/>
                <w:szCs w:val="18"/>
                <w:lang w:val="ro-MD"/>
              </w:rPr>
              <w:t xml:space="preserve">iei vitivinicole cu brandul de </w:t>
            </w:r>
            <w:proofErr w:type="spellStart"/>
            <w:r w:rsidR="000E484E" w:rsidRPr="002751FC">
              <w:rPr>
                <w:rFonts w:asciiTheme="majorHAnsi" w:hAnsiTheme="majorHAnsi" w:cstheme="majorHAnsi"/>
                <w:sz w:val="18"/>
                <w:szCs w:val="18"/>
                <w:lang w:val="ro-MD"/>
              </w:rPr>
              <w:t>ţ</w:t>
            </w:r>
            <w:r w:rsidRPr="002751FC">
              <w:rPr>
                <w:rFonts w:asciiTheme="majorHAnsi" w:hAnsiTheme="majorHAnsi" w:cstheme="majorHAnsi"/>
                <w:sz w:val="18"/>
                <w:szCs w:val="18"/>
                <w:lang w:val="ro-MD"/>
              </w:rPr>
              <w:t>ară</w:t>
            </w:r>
            <w:proofErr w:type="spellEnd"/>
            <w:r w:rsidRPr="002751FC">
              <w:rPr>
                <w:rFonts w:asciiTheme="majorHAnsi" w:hAnsiTheme="majorHAnsi" w:cstheme="majorHAnsi"/>
                <w:sz w:val="18"/>
                <w:szCs w:val="18"/>
                <w:lang w:val="ro-MD"/>
              </w:rPr>
              <w:t xml:space="preserve"> în medie pe o companie</w:t>
            </w:r>
          </w:p>
        </w:tc>
        <w:tc>
          <w:tcPr>
            <w:tcW w:w="864" w:type="dxa"/>
          </w:tcPr>
          <w:p w:rsidR="008C4C8C" w:rsidRPr="002751FC" w:rsidRDefault="008C4C8C" w:rsidP="003C123E">
            <w:pPr>
              <w:jc w:val="center"/>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 xml:space="preserve">mii </w:t>
            </w:r>
            <w:r w:rsidR="003C123E" w:rsidRPr="002751FC">
              <w:rPr>
                <w:rFonts w:asciiTheme="majorHAnsi" w:eastAsia="Times New Roman" w:hAnsiTheme="majorHAnsi" w:cstheme="majorHAnsi"/>
                <w:sz w:val="18"/>
                <w:szCs w:val="18"/>
                <w:lang w:val="ro-MD"/>
              </w:rPr>
              <w:t>MDL</w:t>
            </w:r>
          </w:p>
        </w:tc>
        <w:tc>
          <w:tcPr>
            <w:tcW w:w="883" w:type="dxa"/>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142,0</w:t>
            </w:r>
          </w:p>
        </w:tc>
        <w:tc>
          <w:tcPr>
            <w:tcW w:w="837"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146,1</w:t>
            </w:r>
          </w:p>
        </w:tc>
        <w:tc>
          <w:tcPr>
            <w:tcW w:w="790" w:type="dxa"/>
            <w:shd w:val="clear" w:color="auto" w:fill="FFFFFF" w:themeFill="background1"/>
            <w:vAlign w:val="bottom"/>
          </w:tcPr>
          <w:p w:rsidR="008C4C8C" w:rsidRPr="002751FC" w:rsidRDefault="008C4C8C" w:rsidP="00935746">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+4,1</w:t>
            </w:r>
          </w:p>
        </w:tc>
        <w:tc>
          <w:tcPr>
            <w:tcW w:w="1815" w:type="dxa"/>
            <w:shd w:val="clear" w:color="auto" w:fill="FFFFFF" w:themeFill="background1"/>
          </w:tcPr>
          <w:p w:rsidR="008C4C8C" w:rsidRPr="002751FC" w:rsidRDefault="008C4C8C" w:rsidP="0067027E">
            <w:pPr>
              <w:jc w:val="both"/>
              <w:rPr>
                <w:rFonts w:asciiTheme="majorHAnsi" w:eastAsia="Times New Roman" w:hAnsiTheme="majorHAnsi" w:cstheme="majorHAnsi"/>
                <w:sz w:val="18"/>
                <w:szCs w:val="18"/>
                <w:lang w:val="ro-MD"/>
              </w:rPr>
            </w:pPr>
          </w:p>
        </w:tc>
      </w:tr>
    </w:tbl>
    <w:p w:rsidR="002B0C1F" w:rsidRPr="002751FC" w:rsidRDefault="002B0C1F" w:rsidP="00243401">
      <w:pPr>
        <w:spacing w:after="0" w:line="240"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b/>
          <w:sz w:val="20"/>
          <w:szCs w:val="20"/>
          <w:lang w:val="ro-MD"/>
        </w:rPr>
        <w:t>Sursa:</w:t>
      </w:r>
      <w:r w:rsidRPr="002751FC">
        <w:rPr>
          <w:rFonts w:asciiTheme="majorHAnsi" w:eastAsia="Times New Roman" w:hAnsiTheme="majorHAnsi" w:cstheme="majorHAnsi"/>
          <w:sz w:val="20"/>
          <w:szCs w:val="20"/>
          <w:lang w:val="ro-MD"/>
        </w:rPr>
        <w:t xml:space="preserve"> Datele ONVV.</w:t>
      </w: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p>
    <w:p w:rsidR="002B0C1F" w:rsidRPr="002751FC" w:rsidRDefault="002B0C1F" w:rsidP="00243401">
      <w:pPr>
        <w:spacing w:after="0" w:line="240" w:lineRule="auto"/>
        <w:jc w:val="both"/>
        <w:rPr>
          <w:rFonts w:asciiTheme="majorHAnsi" w:eastAsia="Times New Roman" w:hAnsiTheme="majorHAnsi" w:cstheme="majorHAnsi"/>
          <w:i/>
          <w:sz w:val="28"/>
          <w:szCs w:val="28"/>
          <w:lang w:val="ro-MD"/>
        </w:rPr>
      </w:pPr>
      <w:r w:rsidRPr="002751FC">
        <w:rPr>
          <w:rFonts w:asciiTheme="majorHAnsi" w:eastAsia="Times New Roman" w:hAnsiTheme="majorHAnsi" w:cstheme="majorHAnsi"/>
          <w:sz w:val="28"/>
          <w:szCs w:val="28"/>
          <w:lang w:val="ro-MD"/>
        </w:rPr>
        <w:t>Analiza realizării indicatorului 2.3. „Numărul de companii înregistrate care produc produse vitivinicole cu IGP/DOP” denotă că</w:t>
      </w:r>
      <w:r w:rsidR="009E765A"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w:t>
      </w:r>
      <w:r w:rsidR="0064231C" w:rsidRPr="002751FC">
        <w:rPr>
          <w:rFonts w:asciiTheme="majorHAnsi" w:eastAsia="Times New Roman" w:hAnsiTheme="majorHAnsi" w:cstheme="majorHAnsi"/>
          <w:sz w:val="28"/>
          <w:szCs w:val="28"/>
          <w:lang w:val="ro-MD"/>
        </w:rPr>
        <w:t>pe parcu</w:t>
      </w:r>
      <w:r w:rsidRPr="002751FC">
        <w:rPr>
          <w:rFonts w:asciiTheme="majorHAnsi" w:eastAsia="Times New Roman" w:hAnsiTheme="majorHAnsi" w:cstheme="majorHAnsi"/>
          <w:sz w:val="28"/>
          <w:szCs w:val="28"/>
          <w:lang w:val="ro-MD"/>
        </w:rPr>
        <w:t>rsul anilor 2016-2018</w:t>
      </w:r>
      <w:r w:rsidR="009E765A"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la AGEPI au fost în</w:t>
      </w:r>
      <w:r w:rsidR="0064231C" w:rsidRPr="002751FC">
        <w:rPr>
          <w:rFonts w:asciiTheme="majorHAnsi" w:eastAsia="Times New Roman" w:hAnsiTheme="majorHAnsi" w:cstheme="majorHAnsi"/>
          <w:sz w:val="28"/>
          <w:szCs w:val="28"/>
          <w:lang w:val="ro-MD"/>
        </w:rPr>
        <w:t>reg</w:t>
      </w:r>
      <w:r w:rsidRPr="002751FC">
        <w:rPr>
          <w:rFonts w:asciiTheme="majorHAnsi" w:eastAsia="Times New Roman" w:hAnsiTheme="majorHAnsi" w:cstheme="majorHAnsi"/>
          <w:sz w:val="28"/>
          <w:szCs w:val="28"/>
          <w:lang w:val="ro-MD"/>
        </w:rPr>
        <w:t>ist</w:t>
      </w:r>
      <w:r w:rsidR="0064231C" w:rsidRPr="002751FC">
        <w:rPr>
          <w:rFonts w:asciiTheme="majorHAnsi" w:eastAsia="Times New Roman" w:hAnsiTheme="majorHAnsi" w:cstheme="majorHAnsi"/>
          <w:sz w:val="28"/>
          <w:szCs w:val="28"/>
          <w:lang w:val="ro-MD"/>
        </w:rPr>
        <w:t>r</w:t>
      </w:r>
      <w:r w:rsidRPr="002751FC">
        <w:rPr>
          <w:rFonts w:asciiTheme="majorHAnsi" w:eastAsia="Times New Roman" w:hAnsiTheme="majorHAnsi" w:cstheme="majorHAnsi"/>
          <w:sz w:val="28"/>
          <w:szCs w:val="28"/>
          <w:lang w:val="ro-MD"/>
        </w:rPr>
        <w:t xml:space="preserve">ate 70 de companii, din care în anul 2018 </w:t>
      </w:r>
      <w:r w:rsidR="009E765A"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 xml:space="preserve"> 6 companii, sau cu o companie mai mult față de indicatorul planificat. </w:t>
      </w:r>
      <w:r w:rsidRPr="002751FC">
        <w:rPr>
          <w:rFonts w:asciiTheme="majorHAnsi" w:eastAsia="Times New Roman" w:hAnsiTheme="majorHAnsi" w:cstheme="majorHAnsi"/>
          <w:i/>
          <w:sz w:val="28"/>
          <w:szCs w:val="28"/>
          <w:lang w:val="ro-MD"/>
        </w:rPr>
        <w:t>Sinteza numărului de companii înregistrate în anii 2016-2018, care produc produse vitivinicole cu IGP/DOP</w:t>
      </w:r>
      <w:r w:rsidR="00D83160" w:rsidRPr="002751FC">
        <w:rPr>
          <w:rFonts w:asciiTheme="majorHAnsi" w:eastAsia="Times New Roman" w:hAnsiTheme="majorHAnsi" w:cstheme="majorHAnsi"/>
          <w:i/>
          <w:sz w:val="28"/>
          <w:szCs w:val="28"/>
          <w:lang w:val="ro-MD"/>
        </w:rPr>
        <w:t>,</w:t>
      </w:r>
      <w:r w:rsidRPr="002751FC">
        <w:rPr>
          <w:rFonts w:asciiTheme="majorHAnsi" w:eastAsia="Times New Roman" w:hAnsiTheme="majorHAnsi" w:cstheme="majorHAnsi"/>
          <w:i/>
          <w:sz w:val="28"/>
          <w:szCs w:val="28"/>
          <w:lang w:val="ro-MD"/>
        </w:rPr>
        <w:t xml:space="preserve"> se prezintă în Figura de mai jos.</w:t>
      </w:r>
    </w:p>
    <w:p w:rsidR="008C3E3E" w:rsidRPr="002751FC" w:rsidRDefault="008C3E3E" w:rsidP="00243401">
      <w:pPr>
        <w:spacing w:after="0" w:line="240" w:lineRule="auto"/>
        <w:jc w:val="both"/>
        <w:rPr>
          <w:rFonts w:asciiTheme="majorHAnsi" w:eastAsia="Times New Roman" w:hAnsiTheme="majorHAnsi" w:cstheme="majorHAnsi"/>
          <w:sz w:val="28"/>
          <w:szCs w:val="28"/>
          <w:lang w:val="ro-MD"/>
        </w:rPr>
      </w:pPr>
    </w:p>
    <w:p w:rsidR="002B0C1F" w:rsidRPr="002751FC" w:rsidRDefault="002B0C1F" w:rsidP="00243401">
      <w:pPr>
        <w:spacing w:after="0" w:line="240" w:lineRule="auto"/>
        <w:jc w:val="both"/>
        <w:rPr>
          <w:rFonts w:asciiTheme="majorHAnsi" w:eastAsia="Times New Roman" w:hAnsiTheme="majorHAnsi" w:cstheme="majorHAnsi"/>
          <w:b/>
          <w:sz w:val="28"/>
          <w:szCs w:val="28"/>
          <w:lang w:val="ro-MD"/>
        </w:rPr>
      </w:pPr>
      <w:r w:rsidRPr="002751FC">
        <w:rPr>
          <w:rFonts w:asciiTheme="majorHAnsi" w:eastAsia="Times New Roman" w:hAnsiTheme="majorHAnsi" w:cstheme="majorHAnsi"/>
          <w:b/>
          <w:sz w:val="28"/>
          <w:szCs w:val="28"/>
          <w:lang w:val="ro-MD"/>
        </w:rPr>
        <w:t>Figura nr.1 Num</w:t>
      </w:r>
      <w:r w:rsidR="00B64F3C" w:rsidRPr="002751FC">
        <w:rPr>
          <w:rFonts w:asciiTheme="majorHAnsi" w:eastAsia="Times New Roman" w:hAnsiTheme="majorHAnsi" w:cstheme="majorHAnsi"/>
          <w:b/>
          <w:sz w:val="28"/>
          <w:szCs w:val="28"/>
          <w:lang w:val="ro-MD"/>
        </w:rPr>
        <w:t>ă</w:t>
      </w:r>
      <w:r w:rsidRPr="002751FC">
        <w:rPr>
          <w:rFonts w:asciiTheme="majorHAnsi" w:eastAsia="Times New Roman" w:hAnsiTheme="majorHAnsi" w:cstheme="majorHAnsi"/>
          <w:b/>
          <w:sz w:val="28"/>
          <w:szCs w:val="28"/>
          <w:lang w:val="ro-MD"/>
        </w:rPr>
        <w:t xml:space="preserve">rul de companii înregistrate </w:t>
      </w:r>
      <w:r w:rsidR="00B64F3C" w:rsidRPr="002751FC">
        <w:rPr>
          <w:rFonts w:asciiTheme="majorHAnsi" w:eastAsia="Times New Roman" w:hAnsiTheme="majorHAnsi" w:cstheme="majorHAnsi"/>
          <w:b/>
          <w:sz w:val="28"/>
          <w:szCs w:val="28"/>
          <w:lang w:val="ro-MD"/>
        </w:rPr>
        <w:t>î</w:t>
      </w:r>
      <w:r w:rsidRPr="002751FC">
        <w:rPr>
          <w:rFonts w:asciiTheme="majorHAnsi" w:eastAsia="Times New Roman" w:hAnsiTheme="majorHAnsi" w:cstheme="majorHAnsi"/>
          <w:b/>
          <w:sz w:val="28"/>
          <w:szCs w:val="28"/>
          <w:lang w:val="ro-MD"/>
        </w:rPr>
        <w:t>n anii 2016-2018 care produc produse vitivinicole cu IGP/DOP</w:t>
      </w:r>
    </w:p>
    <w:tbl>
      <w:tblPr>
        <w:tblStyle w:val="ae"/>
        <w:tblW w:w="0" w:type="auto"/>
        <w:tblLook w:val="04A0" w:firstRow="1" w:lastRow="0" w:firstColumn="1" w:lastColumn="0" w:noHBand="0" w:noVBand="1"/>
      </w:tblPr>
      <w:tblGrid>
        <w:gridCol w:w="4806"/>
        <w:gridCol w:w="4866"/>
      </w:tblGrid>
      <w:tr w:rsidR="002B0C1F" w:rsidRPr="002751FC" w:rsidTr="008C3E3E">
        <w:tc>
          <w:tcPr>
            <w:tcW w:w="4806" w:type="dxa"/>
          </w:tcPr>
          <w:p w:rsidR="002B0C1F" w:rsidRPr="002751FC" w:rsidRDefault="002B0C1F" w:rsidP="00243401">
            <w:pPr>
              <w:spacing w:after="160" w:line="259" w:lineRule="auto"/>
              <w:jc w:val="both"/>
              <w:rPr>
                <w:rFonts w:asciiTheme="majorHAnsi" w:eastAsia="Times New Roman" w:hAnsiTheme="majorHAnsi" w:cstheme="majorHAnsi"/>
                <w:b/>
                <w:sz w:val="28"/>
                <w:szCs w:val="28"/>
                <w:lang w:val="ro-MD"/>
              </w:rPr>
            </w:pPr>
            <w:r w:rsidRPr="002751FC">
              <w:rPr>
                <w:rFonts w:asciiTheme="majorHAnsi" w:eastAsia="Times New Roman" w:hAnsiTheme="majorHAnsi" w:cstheme="majorHAnsi"/>
                <w:b/>
                <w:noProof/>
                <w:sz w:val="28"/>
                <w:szCs w:val="28"/>
                <w:lang w:val="ru-RU" w:eastAsia="ru-RU"/>
              </w:rPr>
              <w:drawing>
                <wp:inline distT="0" distB="0" distL="0" distR="0" wp14:anchorId="314EEB33" wp14:editId="3BA1E190">
                  <wp:extent cx="2824073" cy="2232444"/>
                  <wp:effectExtent l="57150" t="19050" r="33427"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866" w:type="dxa"/>
          </w:tcPr>
          <w:p w:rsidR="002B0C1F" w:rsidRPr="002751FC" w:rsidRDefault="002B0C1F" w:rsidP="00243401">
            <w:pPr>
              <w:spacing w:after="160" w:line="259" w:lineRule="auto"/>
              <w:jc w:val="both"/>
              <w:rPr>
                <w:rFonts w:asciiTheme="majorHAnsi" w:eastAsia="Times New Roman" w:hAnsiTheme="majorHAnsi" w:cstheme="majorHAnsi"/>
                <w:b/>
                <w:sz w:val="28"/>
                <w:szCs w:val="28"/>
                <w:lang w:val="ro-MD"/>
              </w:rPr>
            </w:pPr>
            <w:r w:rsidRPr="002751FC">
              <w:rPr>
                <w:rFonts w:asciiTheme="majorHAnsi" w:eastAsia="Times New Roman" w:hAnsiTheme="majorHAnsi" w:cstheme="majorHAnsi"/>
                <w:b/>
                <w:noProof/>
                <w:sz w:val="28"/>
                <w:szCs w:val="28"/>
                <w:lang w:val="ru-RU" w:eastAsia="ru-RU"/>
              </w:rPr>
              <w:drawing>
                <wp:inline distT="0" distB="0" distL="0" distR="0" wp14:anchorId="4C572994" wp14:editId="46E2EB8E">
                  <wp:extent cx="2920389" cy="2251494"/>
                  <wp:effectExtent l="19050" t="0" r="13311"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64231C" w:rsidRPr="002751FC" w:rsidRDefault="0064231C" w:rsidP="0064231C">
      <w:pPr>
        <w:spacing w:after="0" w:line="240"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b/>
          <w:sz w:val="20"/>
          <w:szCs w:val="20"/>
          <w:lang w:val="ro-MD"/>
        </w:rPr>
        <w:lastRenderedPageBreak/>
        <w:t>Sursa:</w:t>
      </w:r>
      <w:r w:rsidRPr="002751FC">
        <w:rPr>
          <w:rFonts w:asciiTheme="majorHAnsi" w:eastAsia="Times New Roman" w:hAnsiTheme="majorHAnsi" w:cstheme="majorHAnsi"/>
          <w:sz w:val="20"/>
          <w:szCs w:val="20"/>
          <w:lang w:val="ro-MD"/>
        </w:rPr>
        <w:t xml:space="preserve"> Datele ONVV.</w:t>
      </w:r>
    </w:p>
    <w:p w:rsidR="002B0C1F" w:rsidRPr="002751FC" w:rsidRDefault="002B0C1F" w:rsidP="00243401">
      <w:pPr>
        <w:spacing w:after="0" w:line="240" w:lineRule="auto"/>
        <w:jc w:val="both"/>
        <w:rPr>
          <w:rFonts w:asciiTheme="majorHAnsi" w:eastAsia="Times New Roman" w:hAnsiTheme="majorHAnsi" w:cstheme="majorHAnsi"/>
          <w:b/>
          <w:sz w:val="28"/>
          <w:szCs w:val="28"/>
          <w:lang w:val="ro-MD"/>
        </w:rPr>
      </w:pP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Datele analizate denotă că cele mai multe companii care produc produse vitivinicole cu IGP/DOP sunt </w:t>
      </w:r>
      <w:r w:rsidR="00E45299" w:rsidRPr="002751FC">
        <w:rPr>
          <w:rFonts w:asciiTheme="majorHAnsi" w:eastAsia="Times New Roman" w:hAnsiTheme="majorHAnsi" w:cstheme="majorHAnsi"/>
          <w:sz w:val="28"/>
          <w:szCs w:val="28"/>
          <w:lang w:val="ro-MD"/>
        </w:rPr>
        <w:t>înregistrate</w:t>
      </w:r>
      <w:r w:rsidRPr="002751FC">
        <w:rPr>
          <w:rFonts w:asciiTheme="majorHAnsi" w:eastAsia="Times New Roman" w:hAnsiTheme="majorHAnsi" w:cstheme="majorHAnsi"/>
          <w:sz w:val="28"/>
          <w:szCs w:val="28"/>
          <w:lang w:val="ro-MD"/>
        </w:rPr>
        <w:t xml:space="preserve"> la Asociația vitivinicolă a regiunii geografice delimitate </w:t>
      </w:r>
      <w:r w:rsidR="00D83160"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Codru</w:t>
      </w:r>
      <w:r w:rsidR="00D83160" w:rsidRPr="002751FC">
        <w:rPr>
          <w:rFonts w:asciiTheme="majorHAnsi" w:eastAsia="Times New Roman" w:hAnsiTheme="majorHAnsi" w:cstheme="majorHAnsi"/>
          <w:sz w:val="28"/>
          <w:szCs w:val="28"/>
          <w:lang w:val="ro-MD"/>
        </w:rPr>
        <w:t>”</w:t>
      </w:r>
      <w:r w:rsidRPr="002751FC">
        <w:rPr>
          <w:rFonts w:asciiTheme="majorHAnsi" w:eastAsia="Times New Roman" w:hAnsiTheme="majorHAnsi" w:cstheme="majorHAnsi"/>
          <w:sz w:val="28"/>
          <w:szCs w:val="28"/>
          <w:lang w:val="ro-MD"/>
        </w:rPr>
        <w:t>.</w:t>
      </w:r>
    </w:p>
    <w:p w:rsidR="002B0C1F" w:rsidRPr="00C347EB" w:rsidRDefault="002B0C1F" w:rsidP="00243401">
      <w:pPr>
        <w:spacing w:after="0" w:line="240" w:lineRule="auto"/>
        <w:jc w:val="both"/>
        <w:rPr>
          <w:rFonts w:asciiTheme="majorHAnsi" w:eastAsia="Times New Roman" w:hAnsiTheme="majorHAnsi" w:cstheme="majorHAnsi"/>
          <w:sz w:val="28"/>
          <w:szCs w:val="28"/>
          <w:lang w:val="ro-MD"/>
        </w:rPr>
      </w:pP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De asemenea, nu a fost realizat la nivelul stabilit indicatorul 1.1. „Ponderea exportului produselor vinicole”, nivelul de realizare </w:t>
      </w:r>
      <w:r w:rsidR="00B64F3C" w:rsidRPr="002751FC">
        <w:rPr>
          <w:rFonts w:asciiTheme="majorHAnsi" w:eastAsia="Times New Roman" w:hAnsiTheme="majorHAnsi" w:cstheme="majorHAnsi"/>
          <w:sz w:val="28"/>
          <w:szCs w:val="28"/>
          <w:lang w:val="ro-MD"/>
        </w:rPr>
        <w:t>c</w:t>
      </w:r>
      <w:r w:rsidRPr="002751FC">
        <w:rPr>
          <w:rFonts w:asciiTheme="majorHAnsi" w:eastAsia="Times New Roman" w:hAnsiTheme="majorHAnsi" w:cstheme="majorHAnsi"/>
          <w:sz w:val="28"/>
          <w:szCs w:val="28"/>
          <w:lang w:val="ro-MD"/>
        </w:rPr>
        <w:t>onstituind 6,2%.</w:t>
      </w:r>
    </w:p>
    <w:p w:rsidR="002B0C1F" w:rsidRPr="002751FC" w:rsidRDefault="002B0C1F" w:rsidP="00243401">
      <w:pPr>
        <w:spacing w:after="0" w:line="240" w:lineRule="auto"/>
        <w:jc w:val="both"/>
        <w:rPr>
          <w:rFonts w:asciiTheme="majorHAnsi" w:eastAsia="Times New Roman" w:hAnsiTheme="majorHAnsi" w:cstheme="majorHAnsi"/>
          <w:sz w:val="28"/>
          <w:szCs w:val="28"/>
          <w:lang w:val="ro-MD"/>
        </w:rPr>
      </w:pPr>
    </w:p>
    <w:p w:rsidR="002B0C1F" w:rsidRPr="002751FC" w:rsidRDefault="002B0C1F" w:rsidP="00243401">
      <w:pPr>
        <w:pStyle w:val="ac"/>
        <w:numPr>
          <w:ilvl w:val="0"/>
          <w:numId w:val="34"/>
        </w:numPr>
        <w:ind w:left="0" w:firstLine="567"/>
        <w:rPr>
          <w:rFonts w:asciiTheme="majorHAnsi" w:hAnsiTheme="majorHAnsi" w:cstheme="majorHAnsi"/>
          <w:i/>
          <w:szCs w:val="28"/>
          <w:lang w:val="ro-MD"/>
        </w:rPr>
      </w:pPr>
      <w:r w:rsidRPr="002751FC">
        <w:rPr>
          <w:rFonts w:asciiTheme="majorHAnsi" w:hAnsiTheme="majorHAnsi" w:cstheme="majorHAnsi"/>
          <w:szCs w:val="28"/>
          <w:lang w:val="ro-MD"/>
        </w:rPr>
        <w:t xml:space="preserve"> Analiza realizării indicatorilor de performanță </w:t>
      </w:r>
      <w:r w:rsidR="00E45299" w:rsidRPr="002751FC">
        <w:rPr>
          <w:rFonts w:asciiTheme="majorHAnsi" w:hAnsiTheme="majorHAnsi" w:cstheme="majorHAnsi"/>
          <w:szCs w:val="28"/>
          <w:lang w:val="ro-MD"/>
        </w:rPr>
        <w:t>inclu</w:t>
      </w:r>
      <w:r w:rsidR="00D83160" w:rsidRPr="002751FC">
        <w:rPr>
          <w:rFonts w:asciiTheme="majorHAnsi" w:hAnsiTheme="majorHAnsi" w:cstheme="majorHAnsi"/>
          <w:szCs w:val="28"/>
          <w:lang w:val="ro-MD"/>
        </w:rPr>
        <w:t>și</w:t>
      </w:r>
      <w:r w:rsidRPr="002751FC">
        <w:rPr>
          <w:rFonts w:asciiTheme="majorHAnsi" w:hAnsiTheme="majorHAnsi" w:cstheme="majorHAnsi"/>
          <w:szCs w:val="28"/>
          <w:lang w:val="ro-MD"/>
        </w:rPr>
        <w:t xml:space="preserve"> în Planul </w:t>
      </w:r>
      <w:r w:rsidR="00E45299" w:rsidRPr="002751FC">
        <w:rPr>
          <w:rFonts w:asciiTheme="majorHAnsi" w:hAnsiTheme="majorHAnsi" w:cstheme="majorHAnsi"/>
          <w:szCs w:val="28"/>
          <w:lang w:val="ro-MD"/>
        </w:rPr>
        <w:t>Strategic</w:t>
      </w:r>
      <w:r w:rsidRPr="002751FC">
        <w:rPr>
          <w:rFonts w:asciiTheme="majorHAnsi" w:hAnsiTheme="majorHAnsi" w:cstheme="majorHAnsi"/>
          <w:szCs w:val="28"/>
          <w:lang w:val="ro-MD"/>
        </w:rPr>
        <w:t xml:space="preserve"> de asemenea denotă realizarea parțială a acestora pentru anul 2018. </w:t>
      </w:r>
      <w:r w:rsidRPr="002751FC">
        <w:rPr>
          <w:rFonts w:asciiTheme="majorHAnsi" w:hAnsiTheme="majorHAnsi" w:cstheme="majorHAnsi"/>
          <w:i/>
          <w:szCs w:val="28"/>
          <w:lang w:val="ro-MD"/>
        </w:rPr>
        <w:t>Sinteza realizării indicatoril</w:t>
      </w:r>
      <w:r w:rsidR="00E45299" w:rsidRPr="002751FC">
        <w:rPr>
          <w:rFonts w:asciiTheme="majorHAnsi" w:hAnsiTheme="majorHAnsi" w:cstheme="majorHAnsi"/>
          <w:i/>
          <w:szCs w:val="28"/>
          <w:lang w:val="ro-MD"/>
        </w:rPr>
        <w:t>or</w:t>
      </w:r>
      <w:r w:rsidRPr="002751FC">
        <w:rPr>
          <w:rFonts w:asciiTheme="majorHAnsi" w:hAnsiTheme="majorHAnsi" w:cstheme="majorHAnsi"/>
          <w:i/>
          <w:szCs w:val="28"/>
          <w:lang w:val="ro-MD"/>
        </w:rPr>
        <w:t xml:space="preserve"> este prezentată în </w:t>
      </w:r>
      <w:r w:rsidR="00262235">
        <w:rPr>
          <w:rFonts w:asciiTheme="majorHAnsi" w:hAnsiTheme="majorHAnsi" w:cstheme="majorHAnsi"/>
          <w:i/>
          <w:szCs w:val="28"/>
          <w:lang w:val="ro-MD"/>
        </w:rPr>
        <w:t>t</w:t>
      </w:r>
      <w:r w:rsidRPr="002751FC">
        <w:rPr>
          <w:rFonts w:asciiTheme="majorHAnsi" w:hAnsiTheme="majorHAnsi" w:cstheme="majorHAnsi"/>
          <w:i/>
          <w:szCs w:val="28"/>
          <w:lang w:val="ro-MD"/>
        </w:rPr>
        <w:t xml:space="preserve">abelul nr.19. </w:t>
      </w:r>
    </w:p>
    <w:p w:rsidR="00CF13C7" w:rsidRPr="002751FC" w:rsidRDefault="00C16257" w:rsidP="00CF13C7">
      <w:pPr>
        <w:spacing w:after="0" w:line="240" w:lineRule="auto"/>
        <w:jc w:val="right"/>
        <w:rPr>
          <w:rFonts w:asciiTheme="majorHAnsi" w:eastAsia="Times New Roman" w:hAnsiTheme="majorHAnsi" w:cstheme="majorHAnsi"/>
          <w:b/>
          <w:sz w:val="20"/>
          <w:szCs w:val="20"/>
          <w:lang w:val="ro-MD"/>
        </w:rPr>
      </w:pPr>
      <w:r w:rsidRPr="002751FC">
        <w:rPr>
          <w:rFonts w:asciiTheme="majorHAnsi" w:eastAsia="Times New Roman" w:hAnsiTheme="majorHAnsi" w:cstheme="majorHAnsi"/>
          <w:b/>
          <w:sz w:val="20"/>
          <w:szCs w:val="20"/>
          <w:lang w:val="ro-MD"/>
        </w:rPr>
        <w:t>Tabelul nr.</w:t>
      </w:r>
      <w:r w:rsidR="001C03CB" w:rsidRPr="002751FC">
        <w:rPr>
          <w:rFonts w:asciiTheme="majorHAnsi" w:eastAsia="Times New Roman" w:hAnsiTheme="majorHAnsi" w:cstheme="majorHAnsi"/>
          <w:b/>
          <w:sz w:val="20"/>
          <w:szCs w:val="20"/>
          <w:lang w:val="ro-MD"/>
        </w:rPr>
        <w:t>20</w:t>
      </w:r>
    </w:p>
    <w:p w:rsidR="00C16257" w:rsidRPr="002751FC" w:rsidRDefault="00C16257" w:rsidP="008C3E3E">
      <w:pPr>
        <w:spacing w:after="0" w:line="240" w:lineRule="auto"/>
        <w:jc w:val="center"/>
        <w:rPr>
          <w:rFonts w:asciiTheme="majorHAnsi" w:eastAsia="Times New Roman" w:hAnsiTheme="majorHAnsi" w:cstheme="majorHAnsi"/>
          <w:sz w:val="28"/>
          <w:szCs w:val="28"/>
          <w:lang w:val="ro-MD"/>
        </w:rPr>
      </w:pPr>
      <w:r w:rsidRPr="002751FC">
        <w:rPr>
          <w:rFonts w:asciiTheme="majorHAnsi" w:eastAsia="Times New Roman" w:hAnsiTheme="majorHAnsi" w:cstheme="majorHAnsi"/>
          <w:b/>
          <w:sz w:val="20"/>
          <w:szCs w:val="20"/>
          <w:lang w:val="ro-MD"/>
        </w:rPr>
        <w:t xml:space="preserve">Sinteza realizării indicatorilor de performanță </w:t>
      </w:r>
      <w:r w:rsidR="00E45299" w:rsidRPr="002751FC">
        <w:rPr>
          <w:rFonts w:asciiTheme="majorHAnsi" w:eastAsia="Times New Roman" w:hAnsiTheme="majorHAnsi" w:cstheme="majorHAnsi"/>
          <w:b/>
          <w:sz w:val="20"/>
          <w:szCs w:val="20"/>
          <w:lang w:val="ro-MD"/>
        </w:rPr>
        <w:t>r</w:t>
      </w:r>
      <w:r w:rsidRPr="002751FC">
        <w:rPr>
          <w:rFonts w:asciiTheme="majorHAnsi" w:eastAsia="Times New Roman" w:hAnsiTheme="majorHAnsi" w:cstheme="majorHAnsi"/>
          <w:b/>
          <w:sz w:val="20"/>
          <w:szCs w:val="20"/>
          <w:lang w:val="ro-MD"/>
        </w:rPr>
        <w:t>ealizați în anul 2018</w:t>
      </w:r>
    </w:p>
    <w:tbl>
      <w:tblPr>
        <w:tblStyle w:val="ae"/>
        <w:tblW w:w="9749" w:type="dxa"/>
        <w:tblLayout w:type="fixed"/>
        <w:tblLook w:val="04A0" w:firstRow="1" w:lastRow="0" w:firstColumn="1" w:lastColumn="0" w:noHBand="0" w:noVBand="1"/>
      </w:tblPr>
      <w:tblGrid>
        <w:gridCol w:w="846"/>
        <w:gridCol w:w="3855"/>
        <w:gridCol w:w="845"/>
        <w:gridCol w:w="880"/>
        <w:gridCol w:w="799"/>
        <w:gridCol w:w="1275"/>
        <w:gridCol w:w="1249"/>
      </w:tblGrid>
      <w:tr w:rsidR="00C16257" w:rsidRPr="002751FC" w:rsidTr="008B439D">
        <w:trPr>
          <w:trHeight w:val="319"/>
        </w:trPr>
        <w:tc>
          <w:tcPr>
            <w:tcW w:w="846" w:type="dxa"/>
            <w:shd w:val="clear" w:color="auto" w:fill="DEEAF6" w:themeFill="accent1" w:themeFillTint="33"/>
            <w:vAlign w:val="center"/>
          </w:tcPr>
          <w:p w:rsidR="00C16257" w:rsidRPr="002751FC" w:rsidRDefault="00C16257" w:rsidP="00422011">
            <w:pPr>
              <w:jc w:val="center"/>
              <w:rPr>
                <w:rFonts w:asciiTheme="majorHAnsi" w:eastAsia="Times New Roman" w:hAnsiTheme="majorHAnsi" w:cstheme="majorHAnsi"/>
                <w:b/>
                <w:sz w:val="18"/>
                <w:szCs w:val="18"/>
                <w:lang w:val="ro-MD"/>
              </w:rPr>
            </w:pPr>
            <w:proofErr w:type="spellStart"/>
            <w:r w:rsidRPr="002751FC">
              <w:rPr>
                <w:rFonts w:asciiTheme="majorHAnsi" w:eastAsia="Times New Roman" w:hAnsiTheme="majorHAnsi" w:cstheme="majorHAnsi"/>
                <w:b/>
                <w:sz w:val="18"/>
                <w:szCs w:val="18"/>
                <w:lang w:val="ro-MD"/>
              </w:rPr>
              <w:t>Nr.d</w:t>
            </w:r>
            <w:proofErr w:type="spellEnd"/>
            <w:r w:rsidRPr="002751FC">
              <w:rPr>
                <w:rFonts w:asciiTheme="majorHAnsi" w:eastAsia="Times New Roman" w:hAnsiTheme="majorHAnsi" w:cstheme="majorHAnsi"/>
                <w:b/>
                <w:sz w:val="18"/>
                <w:szCs w:val="18"/>
                <w:lang w:val="ro-MD"/>
              </w:rPr>
              <w:t>/o</w:t>
            </w:r>
          </w:p>
        </w:tc>
        <w:tc>
          <w:tcPr>
            <w:tcW w:w="3855" w:type="dxa"/>
            <w:shd w:val="clear" w:color="auto" w:fill="DEEAF6" w:themeFill="accent1" w:themeFillTint="33"/>
            <w:vAlign w:val="center"/>
          </w:tcPr>
          <w:p w:rsidR="00C16257" w:rsidRPr="002751FC" w:rsidRDefault="00E45299" w:rsidP="00422011">
            <w:pPr>
              <w:jc w:val="center"/>
              <w:rPr>
                <w:rFonts w:asciiTheme="majorHAnsi" w:eastAsia="Times New Roman" w:hAnsiTheme="majorHAnsi" w:cstheme="majorHAnsi"/>
                <w:b/>
                <w:sz w:val="18"/>
                <w:szCs w:val="18"/>
                <w:lang w:val="ro-MD"/>
              </w:rPr>
            </w:pPr>
            <w:r w:rsidRPr="002751FC">
              <w:rPr>
                <w:rFonts w:asciiTheme="majorHAnsi" w:eastAsia="Times New Roman" w:hAnsiTheme="majorHAnsi" w:cstheme="majorHAnsi"/>
                <w:b/>
                <w:sz w:val="18"/>
                <w:szCs w:val="18"/>
                <w:lang w:val="ro-MD"/>
              </w:rPr>
              <w:t>Indicatori</w:t>
            </w:r>
          </w:p>
        </w:tc>
        <w:tc>
          <w:tcPr>
            <w:tcW w:w="845" w:type="dxa"/>
            <w:shd w:val="clear" w:color="auto" w:fill="DEEAF6" w:themeFill="accent1" w:themeFillTint="33"/>
            <w:vAlign w:val="center"/>
          </w:tcPr>
          <w:p w:rsidR="00C16257" w:rsidRPr="002751FC" w:rsidRDefault="00C16257" w:rsidP="00422011">
            <w:pPr>
              <w:jc w:val="center"/>
              <w:rPr>
                <w:rFonts w:asciiTheme="majorHAnsi" w:eastAsia="Times New Roman" w:hAnsiTheme="majorHAnsi" w:cstheme="majorHAnsi"/>
                <w:b/>
                <w:sz w:val="18"/>
                <w:szCs w:val="18"/>
                <w:lang w:val="ro-MD"/>
              </w:rPr>
            </w:pPr>
            <w:r w:rsidRPr="002751FC">
              <w:rPr>
                <w:rFonts w:asciiTheme="majorHAnsi" w:eastAsia="Times New Roman" w:hAnsiTheme="majorHAnsi" w:cstheme="majorHAnsi"/>
                <w:b/>
                <w:sz w:val="18"/>
                <w:szCs w:val="18"/>
                <w:lang w:val="ro-MD"/>
              </w:rPr>
              <w:t>U.</w:t>
            </w:r>
            <w:r w:rsidR="00D83160" w:rsidRPr="002751FC">
              <w:rPr>
                <w:rFonts w:asciiTheme="majorHAnsi" w:eastAsia="Times New Roman" w:hAnsiTheme="majorHAnsi" w:cstheme="majorHAnsi"/>
                <w:b/>
                <w:sz w:val="18"/>
                <w:szCs w:val="18"/>
                <w:lang w:val="ro-MD"/>
              </w:rPr>
              <w:t>M.</w:t>
            </w:r>
          </w:p>
        </w:tc>
        <w:tc>
          <w:tcPr>
            <w:tcW w:w="880" w:type="dxa"/>
            <w:shd w:val="clear" w:color="auto" w:fill="DEEAF6" w:themeFill="accent1" w:themeFillTint="33"/>
            <w:vAlign w:val="center"/>
          </w:tcPr>
          <w:p w:rsidR="00C16257" w:rsidRPr="002751FC" w:rsidRDefault="00422011" w:rsidP="00422011">
            <w:pPr>
              <w:jc w:val="center"/>
              <w:rPr>
                <w:rFonts w:asciiTheme="majorHAnsi" w:eastAsia="Times New Roman" w:hAnsiTheme="majorHAnsi" w:cstheme="majorHAnsi"/>
                <w:b/>
                <w:sz w:val="18"/>
                <w:szCs w:val="18"/>
                <w:lang w:val="ro-MD"/>
              </w:rPr>
            </w:pPr>
            <w:r w:rsidRPr="002751FC">
              <w:rPr>
                <w:rFonts w:asciiTheme="majorHAnsi" w:eastAsia="Times New Roman" w:hAnsiTheme="majorHAnsi" w:cstheme="majorHAnsi"/>
                <w:b/>
                <w:sz w:val="18"/>
                <w:szCs w:val="18"/>
                <w:lang w:val="ro-MD"/>
              </w:rPr>
              <w:t>P</w:t>
            </w:r>
            <w:r w:rsidR="00C16257" w:rsidRPr="002751FC">
              <w:rPr>
                <w:rFonts w:asciiTheme="majorHAnsi" w:eastAsia="Times New Roman" w:hAnsiTheme="majorHAnsi" w:cstheme="majorHAnsi"/>
                <w:b/>
                <w:sz w:val="18"/>
                <w:szCs w:val="18"/>
                <w:lang w:val="ro-MD"/>
              </w:rPr>
              <w:t>lanificat</w:t>
            </w:r>
          </w:p>
        </w:tc>
        <w:tc>
          <w:tcPr>
            <w:tcW w:w="799" w:type="dxa"/>
            <w:shd w:val="clear" w:color="auto" w:fill="DEEAF6" w:themeFill="accent1" w:themeFillTint="33"/>
            <w:vAlign w:val="center"/>
          </w:tcPr>
          <w:p w:rsidR="00C16257" w:rsidRPr="002751FC" w:rsidRDefault="00422011" w:rsidP="00422011">
            <w:pPr>
              <w:jc w:val="center"/>
              <w:rPr>
                <w:rFonts w:asciiTheme="majorHAnsi" w:eastAsia="Times New Roman" w:hAnsiTheme="majorHAnsi" w:cstheme="majorHAnsi"/>
                <w:b/>
                <w:sz w:val="18"/>
                <w:szCs w:val="18"/>
                <w:lang w:val="ro-MD"/>
              </w:rPr>
            </w:pPr>
            <w:r w:rsidRPr="002751FC">
              <w:rPr>
                <w:rFonts w:asciiTheme="majorHAnsi" w:eastAsia="Times New Roman" w:hAnsiTheme="majorHAnsi" w:cstheme="majorHAnsi"/>
                <w:b/>
                <w:sz w:val="18"/>
                <w:szCs w:val="18"/>
                <w:lang w:val="ro-MD"/>
              </w:rPr>
              <w:t>R</w:t>
            </w:r>
            <w:r w:rsidR="00C16257" w:rsidRPr="002751FC">
              <w:rPr>
                <w:rFonts w:asciiTheme="majorHAnsi" w:eastAsia="Times New Roman" w:hAnsiTheme="majorHAnsi" w:cstheme="majorHAnsi"/>
                <w:b/>
                <w:sz w:val="18"/>
                <w:szCs w:val="18"/>
                <w:lang w:val="ro-MD"/>
              </w:rPr>
              <w:t>ealizat</w:t>
            </w:r>
          </w:p>
        </w:tc>
        <w:tc>
          <w:tcPr>
            <w:tcW w:w="1275" w:type="dxa"/>
            <w:shd w:val="clear" w:color="auto" w:fill="DEEAF6" w:themeFill="accent1" w:themeFillTint="33"/>
            <w:vAlign w:val="center"/>
          </w:tcPr>
          <w:p w:rsidR="00C16257" w:rsidRPr="002751FC" w:rsidRDefault="00422011" w:rsidP="00422011">
            <w:pPr>
              <w:jc w:val="center"/>
              <w:rPr>
                <w:rFonts w:asciiTheme="majorHAnsi" w:eastAsia="Times New Roman" w:hAnsiTheme="majorHAnsi" w:cstheme="majorHAnsi"/>
                <w:b/>
                <w:sz w:val="18"/>
                <w:szCs w:val="18"/>
                <w:lang w:val="ro-MD"/>
              </w:rPr>
            </w:pPr>
            <w:r w:rsidRPr="002751FC">
              <w:rPr>
                <w:rFonts w:asciiTheme="majorHAnsi" w:eastAsia="Times New Roman" w:hAnsiTheme="majorHAnsi" w:cstheme="majorHAnsi"/>
                <w:b/>
                <w:sz w:val="18"/>
                <w:szCs w:val="18"/>
                <w:lang w:val="ro-MD"/>
              </w:rPr>
              <w:t>D</w:t>
            </w:r>
            <w:r w:rsidR="00C16257" w:rsidRPr="002751FC">
              <w:rPr>
                <w:rFonts w:asciiTheme="majorHAnsi" w:eastAsia="Times New Roman" w:hAnsiTheme="majorHAnsi" w:cstheme="majorHAnsi"/>
                <w:b/>
                <w:sz w:val="18"/>
                <w:szCs w:val="18"/>
                <w:lang w:val="ro-MD"/>
              </w:rPr>
              <w:t>evieri</w:t>
            </w:r>
          </w:p>
        </w:tc>
        <w:tc>
          <w:tcPr>
            <w:tcW w:w="1249" w:type="dxa"/>
            <w:shd w:val="clear" w:color="auto" w:fill="DEEAF6" w:themeFill="accent1" w:themeFillTint="33"/>
            <w:vAlign w:val="center"/>
          </w:tcPr>
          <w:p w:rsidR="00C16257" w:rsidRPr="002751FC" w:rsidRDefault="00422011" w:rsidP="00422011">
            <w:pPr>
              <w:jc w:val="center"/>
              <w:rPr>
                <w:rFonts w:asciiTheme="majorHAnsi" w:eastAsia="Times New Roman" w:hAnsiTheme="majorHAnsi" w:cstheme="majorHAnsi"/>
                <w:b/>
                <w:sz w:val="18"/>
                <w:szCs w:val="18"/>
                <w:lang w:val="ro-MD"/>
              </w:rPr>
            </w:pPr>
            <w:r w:rsidRPr="002751FC">
              <w:rPr>
                <w:rFonts w:asciiTheme="majorHAnsi" w:eastAsia="Times New Roman" w:hAnsiTheme="majorHAnsi" w:cstheme="majorHAnsi"/>
                <w:b/>
                <w:sz w:val="18"/>
                <w:szCs w:val="18"/>
                <w:lang w:val="ro-MD"/>
              </w:rPr>
              <w:t>C</w:t>
            </w:r>
            <w:r w:rsidR="00C16257" w:rsidRPr="002751FC">
              <w:rPr>
                <w:rFonts w:asciiTheme="majorHAnsi" w:eastAsia="Times New Roman" w:hAnsiTheme="majorHAnsi" w:cstheme="majorHAnsi"/>
                <w:b/>
                <w:sz w:val="18"/>
                <w:szCs w:val="18"/>
                <w:lang w:val="ro-MD"/>
              </w:rPr>
              <w:t>auza</w:t>
            </w:r>
          </w:p>
        </w:tc>
      </w:tr>
      <w:tr w:rsidR="00C16257" w:rsidRPr="002751FC" w:rsidTr="008B439D">
        <w:trPr>
          <w:trHeight w:val="129"/>
        </w:trPr>
        <w:tc>
          <w:tcPr>
            <w:tcW w:w="846" w:type="dxa"/>
          </w:tcPr>
          <w:p w:rsidR="00C16257" w:rsidRPr="002751FC" w:rsidRDefault="00C16257" w:rsidP="009E6E44">
            <w:pPr>
              <w:ind w:left="29"/>
              <w:rPr>
                <w:rFonts w:asciiTheme="majorHAnsi" w:hAnsiTheme="majorHAnsi" w:cstheme="majorHAnsi"/>
                <w:sz w:val="18"/>
                <w:szCs w:val="18"/>
                <w:lang w:val="ro-MD"/>
              </w:rPr>
            </w:pPr>
            <w:r w:rsidRPr="002751FC">
              <w:rPr>
                <w:rFonts w:asciiTheme="majorHAnsi" w:hAnsiTheme="majorHAnsi" w:cstheme="majorHAnsi"/>
                <w:sz w:val="18"/>
                <w:szCs w:val="18"/>
                <w:lang w:val="ro-MD"/>
              </w:rPr>
              <w:t>1</w:t>
            </w:r>
          </w:p>
        </w:tc>
        <w:tc>
          <w:tcPr>
            <w:tcW w:w="3855" w:type="dxa"/>
          </w:tcPr>
          <w:p w:rsidR="00C16257" w:rsidRPr="002751FC" w:rsidRDefault="00C16257" w:rsidP="008C3E3E">
            <w:pPr>
              <w:pStyle w:val="ac"/>
              <w:tabs>
                <w:tab w:val="left" w:pos="334"/>
              </w:tabs>
              <w:ind w:left="-35"/>
              <w:rPr>
                <w:rFonts w:asciiTheme="majorHAnsi" w:hAnsiTheme="majorHAnsi" w:cstheme="majorHAnsi"/>
                <w:sz w:val="18"/>
                <w:szCs w:val="18"/>
                <w:lang w:val="ro-MD"/>
              </w:rPr>
            </w:pPr>
            <w:r w:rsidRPr="002751FC">
              <w:rPr>
                <w:rFonts w:asciiTheme="majorHAnsi" w:hAnsiTheme="majorHAnsi" w:cstheme="majorHAnsi"/>
                <w:sz w:val="18"/>
                <w:szCs w:val="18"/>
                <w:lang w:val="ro-MD"/>
              </w:rPr>
              <w:t xml:space="preserve">Exportul vinurilor îmbuteliat, </w:t>
            </w:r>
            <w:proofErr w:type="spellStart"/>
            <w:r w:rsidRPr="002751FC">
              <w:rPr>
                <w:rFonts w:asciiTheme="majorHAnsi" w:hAnsiTheme="majorHAnsi" w:cstheme="majorHAnsi"/>
                <w:sz w:val="18"/>
                <w:szCs w:val="18"/>
                <w:lang w:val="ro-MD"/>
              </w:rPr>
              <w:t>mil.but</w:t>
            </w:r>
            <w:proofErr w:type="spellEnd"/>
          </w:p>
        </w:tc>
        <w:tc>
          <w:tcPr>
            <w:tcW w:w="845" w:type="dxa"/>
          </w:tcPr>
          <w:p w:rsidR="00C16257" w:rsidRPr="002751FC" w:rsidRDefault="00C16257" w:rsidP="008C3E3E">
            <w:pPr>
              <w:jc w:val="both"/>
              <w:rPr>
                <w:rFonts w:asciiTheme="majorHAnsi" w:eastAsia="Times New Roman" w:hAnsiTheme="majorHAnsi" w:cstheme="majorHAnsi"/>
                <w:sz w:val="18"/>
                <w:szCs w:val="18"/>
                <w:lang w:val="ro-MD"/>
              </w:rPr>
            </w:pPr>
            <w:proofErr w:type="spellStart"/>
            <w:r w:rsidRPr="002751FC">
              <w:rPr>
                <w:rFonts w:asciiTheme="majorHAnsi" w:eastAsia="Times New Roman" w:hAnsiTheme="majorHAnsi" w:cstheme="majorHAnsi"/>
                <w:sz w:val="18"/>
                <w:szCs w:val="18"/>
                <w:lang w:val="ro-MD"/>
              </w:rPr>
              <w:t>mln.but</w:t>
            </w:r>
            <w:proofErr w:type="spellEnd"/>
            <w:r w:rsidRPr="002751FC">
              <w:rPr>
                <w:rFonts w:asciiTheme="majorHAnsi" w:eastAsia="Times New Roman" w:hAnsiTheme="majorHAnsi" w:cstheme="majorHAnsi"/>
                <w:sz w:val="18"/>
                <w:szCs w:val="18"/>
                <w:lang w:val="ro-MD"/>
              </w:rPr>
              <w:t>.</w:t>
            </w:r>
          </w:p>
        </w:tc>
        <w:tc>
          <w:tcPr>
            <w:tcW w:w="880" w:type="dxa"/>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64</w:t>
            </w:r>
          </w:p>
        </w:tc>
        <w:tc>
          <w:tcPr>
            <w:tcW w:w="799" w:type="dxa"/>
            <w:shd w:val="clear" w:color="auto" w:fill="FFFFFF" w:themeFill="background1"/>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56,7</w:t>
            </w:r>
          </w:p>
        </w:tc>
        <w:tc>
          <w:tcPr>
            <w:tcW w:w="1275" w:type="dxa"/>
            <w:shd w:val="clear" w:color="auto" w:fill="FFFFFF" w:themeFill="background1"/>
          </w:tcPr>
          <w:p w:rsidR="00C16257" w:rsidRPr="002751FC" w:rsidRDefault="00C16257" w:rsidP="008B439D">
            <w:pPr>
              <w:jc w:val="right"/>
              <w:rPr>
                <w:rFonts w:asciiTheme="majorHAnsi" w:eastAsia="Times New Roman" w:hAnsiTheme="majorHAnsi" w:cstheme="majorHAnsi"/>
                <w:color w:val="FF0000"/>
                <w:sz w:val="18"/>
                <w:szCs w:val="18"/>
                <w:lang w:val="ro-MD"/>
              </w:rPr>
            </w:pPr>
            <w:r w:rsidRPr="002751FC">
              <w:rPr>
                <w:rFonts w:asciiTheme="majorHAnsi" w:eastAsia="Times New Roman" w:hAnsiTheme="majorHAnsi" w:cstheme="majorHAnsi"/>
                <w:color w:val="FF0000"/>
                <w:sz w:val="18"/>
                <w:szCs w:val="18"/>
                <w:lang w:val="ro-MD"/>
              </w:rPr>
              <w:t>-7,3</w:t>
            </w:r>
          </w:p>
        </w:tc>
        <w:tc>
          <w:tcPr>
            <w:tcW w:w="1249" w:type="dxa"/>
            <w:shd w:val="clear" w:color="auto" w:fill="FFFFFF" w:themeFill="background1"/>
          </w:tcPr>
          <w:p w:rsidR="00C16257" w:rsidRPr="002751FC" w:rsidRDefault="00C16257" w:rsidP="008C3E3E">
            <w:pPr>
              <w:jc w:val="both"/>
              <w:rPr>
                <w:rFonts w:asciiTheme="majorHAnsi" w:eastAsia="Times New Roman" w:hAnsiTheme="majorHAnsi" w:cstheme="majorHAnsi"/>
                <w:sz w:val="18"/>
                <w:szCs w:val="18"/>
                <w:lang w:val="ro-MD"/>
              </w:rPr>
            </w:pPr>
          </w:p>
        </w:tc>
      </w:tr>
      <w:tr w:rsidR="00C16257" w:rsidRPr="002751FC" w:rsidTr="008B439D">
        <w:trPr>
          <w:trHeight w:val="319"/>
        </w:trPr>
        <w:tc>
          <w:tcPr>
            <w:tcW w:w="846" w:type="dxa"/>
          </w:tcPr>
          <w:p w:rsidR="00C16257" w:rsidRPr="002751FC" w:rsidRDefault="00C16257" w:rsidP="009E6E44">
            <w:pPr>
              <w:tabs>
                <w:tab w:val="left" w:pos="388"/>
              </w:tabs>
              <w:ind w:left="29"/>
              <w:rPr>
                <w:rFonts w:asciiTheme="majorHAnsi" w:hAnsiTheme="majorHAnsi" w:cstheme="majorHAnsi"/>
                <w:sz w:val="18"/>
                <w:szCs w:val="18"/>
                <w:lang w:val="ro-MD"/>
              </w:rPr>
            </w:pPr>
            <w:r w:rsidRPr="002751FC">
              <w:rPr>
                <w:rFonts w:asciiTheme="majorHAnsi" w:hAnsiTheme="majorHAnsi" w:cstheme="majorHAnsi"/>
                <w:sz w:val="18"/>
                <w:szCs w:val="18"/>
                <w:lang w:val="ro-MD"/>
              </w:rPr>
              <w:t>2</w:t>
            </w:r>
          </w:p>
        </w:tc>
        <w:tc>
          <w:tcPr>
            <w:tcW w:w="3855" w:type="dxa"/>
          </w:tcPr>
          <w:p w:rsidR="00C16257" w:rsidRPr="002751FC" w:rsidRDefault="00C16257" w:rsidP="008C3E3E">
            <w:pPr>
              <w:pStyle w:val="ac"/>
              <w:tabs>
                <w:tab w:val="left" w:pos="388"/>
              </w:tabs>
              <w:ind w:left="0"/>
              <w:rPr>
                <w:rFonts w:asciiTheme="majorHAnsi" w:hAnsiTheme="majorHAnsi" w:cstheme="majorHAnsi"/>
                <w:sz w:val="18"/>
                <w:szCs w:val="18"/>
                <w:lang w:val="ro-MD"/>
              </w:rPr>
            </w:pPr>
            <w:r w:rsidRPr="002751FC">
              <w:rPr>
                <w:rFonts w:asciiTheme="majorHAnsi" w:hAnsiTheme="majorHAnsi" w:cstheme="majorHAnsi"/>
                <w:sz w:val="18"/>
                <w:szCs w:val="18"/>
                <w:lang w:val="ro-MD"/>
              </w:rPr>
              <w:t>Raportul vin în vra</w:t>
            </w:r>
            <w:r w:rsidR="00B64F3C" w:rsidRPr="002751FC">
              <w:rPr>
                <w:rFonts w:asciiTheme="majorHAnsi" w:hAnsiTheme="majorHAnsi" w:cstheme="majorHAnsi"/>
                <w:sz w:val="18"/>
                <w:szCs w:val="18"/>
                <w:lang w:val="ro-MD"/>
              </w:rPr>
              <w:t>c</w:t>
            </w:r>
            <w:r w:rsidRPr="002751FC">
              <w:rPr>
                <w:rFonts w:asciiTheme="majorHAnsi" w:hAnsiTheme="majorHAnsi" w:cstheme="majorHAnsi"/>
                <w:sz w:val="18"/>
                <w:szCs w:val="18"/>
                <w:lang w:val="ro-MD"/>
              </w:rPr>
              <w:t xml:space="preserve">/vin </w:t>
            </w:r>
            <w:r w:rsidR="00B64F3C" w:rsidRPr="002751FC">
              <w:rPr>
                <w:rFonts w:asciiTheme="majorHAnsi" w:hAnsiTheme="majorHAnsi" w:cstheme="majorHAnsi"/>
                <w:sz w:val="18"/>
                <w:szCs w:val="18"/>
                <w:lang w:val="ro-MD"/>
              </w:rPr>
              <w:t>îmbuteliat</w:t>
            </w:r>
            <w:r w:rsidRPr="002751FC">
              <w:rPr>
                <w:rFonts w:asciiTheme="majorHAnsi" w:hAnsiTheme="majorHAnsi" w:cstheme="majorHAnsi"/>
                <w:sz w:val="18"/>
                <w:szCs w:val="18"/>
                <w:lang w:val="ro-MD"/>
              </w:rPr>
              <w:t xml:space="preserve"> la export</w:t>
            </w:r>
          </w:p>
        </w:tc>
        <w:tc>
          <w:tcPr>
            <w:tcW w:w="845" w:type="dxa"/>
          </w:tcPr>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w:t>
            </w:r>
          </w:p>
        </w:tc>
        <w:tc>
          <w:tcPr>
            <w:tcW w:w="880" w:type="dxa"/>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33/67</w:t>
            </w:r>
          </w:p>
        </w:tc>
        <w:tc>
          <w:tcPr>
            <w:tcW w:w="799" w:type="dxa"/>
            <w:shd w:val="clear" w:color="auto" w:fill="FFFFFF" w:themeFill="background1"/>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67/33</w:t>
            </w:r>
          </w:p>
        </w:tc>
        <w:tc>
          <w:tcPr>
            <w:tcW w:w="1275" w:type="dxa"/>
            <w:shd w:val="clear" w:color="auto" w:fill="FFFFFF" w:themeFill="background1"/>
          </w:tcPr>
          <w:p w:rsidR="00C16257" w:rsidRPr="002751FC" w:rsidRDefault="00C16257" w:rsidP="008B439D">
            <w:pPr>
              <w:jc w:val="right"/>
              <w:rPr>
                <w:rFonts w:asciiTheme="majorHAnsi" w:eastAsia="Times New Roman" w:hAnsiTheme="majorHAnsi" w:cstheme="majorHAnsi"/>
                <w:color w:val="FF0000"/>
                <w:sz w:val="18"/>
                <w:szCs w:val="18"/>
                <w:lang w:val="ro-MD"/>
              </w:rPr>
            </w:pPr>
            <w:r w:rsidRPr="002751FC">
              <w:rPr>
                <w:rFonts w:asciiTheme="majorHAnsi" w:eastAsia="Times New Roman" w:hAnsiTheme="majorHAnsi" w:cstheme="majorHAnsi"/>
                <w:color w:val="FF0000"/>
                <w:sz w:val="18"/>
                <w:szCs w:val="18"/>
                <w:lang w:val="ro-MD"/>
              </w:rPr>
              <w:t>+34/-34</w:t>
            </w:r>
          </w:p>
        </w:tc>
        <w:tc>
          <w:tcPr>
            <w:tcW w:w="1249" w:type="dxa"/>
            <w:shd w:val="clear" w:color="auto" w:fill="FFFFFF" w:themeFill="background1"/>
          </w:tcPr>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Este influențat de solicitarea spor</w:t>
            </w:r>
            <w:r w:rsidR="00D83160" w:rsidRPr="002751FC">
              <w:rPr>
                <w:rFonts w:asciiTheme="majorHAnsi" w:eastAsia="Times New Roman" w:hAnsiTheme="majorHAnsi" w:cstheme="majorHAnsi"/>
                <w:sz w:val="18"/>
                <w:szCs w:val="18"/>
                <w:lang w:val="ro-MD"/>
              </w:rPr>
              <w:t>i</w:t>
            </w:r>
            <w:r w:rsidRPr="002751FC">
              <w:rPr>
                <w:rFonts w:asciiTheme="majorHAnsi" w:eastAsia="Times New Roman" w:hAnsiTheme="majorHAnsi" w:cstheme="majorHAnsi"/>
                <w:sz w:val="18"/>
                <w:szCs w:val="18"/>
                <w:lang w:val="ro-MD"/>
              </w:rPr>
              <w:t>tă a vinurilor în vra</w:t>
            </w:r>
            <w:r w:rsidR="00D83160" w:rsidRPr="002751FC">
              <w:rPr>
                <w:rFonts w:asciiTheme="majorHAnsi" w:eastAsia="Times New Roman" w:hAnsiTheme="majorHAnsi" w:cstheme="majorHAnsi"/>
                <w:sz w:val="18"/>
                <w:szCs w:val="18"/>
                <w:lang w:val="ro-MD"/>
              </w:rPr>
              <w:t>c</w:t>
            </w:r>
            <w:r w:rsidRPr="002751FC">
              <w:rPr>
                <w:rFonts w:asciiTheme="majorHAnsi" w:eastAsia="Times New Roman" w:hAnsiTheme="majorHAnsi" w:cstheme="majorHAnsi"/>
                <w:sz w:val="18"/>
                <w:szCs w:val="18"/>
                <w:lang w:val="ro-MD"/>
              </w:rPr>
              <w:t xml:space="preserve"> de către Bel</w:t>
            </w:r>
            <w:r w:rsidR="00D83160" w:rsidRPr="002751FC">
              <w:rPr>
                <w:rFonts w:asciiTheme="majorHAnsi" w:eastAsia="Times New Roman" w:hAnsiTheme="majorHAnsi" w:cstheme="majorHAnsi"/>
                <w:sz w:val="18"/>
                <w:szCs w:val="18"/>
                <w:lang w:val="ro-MD"/>
              </w:rPr>
              <w:t>a</w:t>
            </w:r>
            <w:r w:rsidRPr="002751FC">
              <w:rPr>
                <w:rFonts w:asciiTheme="majorHAnsi" w:eastAsia="Times New Roman" w:hAnsiTheme="majorHAnsi" w:cstheme="majorHAnsi"/>
                <w:sz w:val="18"/>
                <w:szCs w:val="18"/>
                <w:lang w:val="ro-MD"/>
              </w:rPr>
              <w:t>rus</w:t>
            </w:r>
          </w:p>
        </w:tc>
      </w:tr>
      <w:tr w:rsidR="00C16257" w:rsidRPr="002751FC" w:rsidTr="008B439D">
        <w:trPr>
          <w:trHeight w:val="319"/>
        </w:trPr>
        <w:tc>
          <w:tcPr>
            <w:tcW w:w="846" w:type="dxa"/>
          </w:tcPr>
          <w:p w:rsidR="00C16257" w:rsidRPr="002751FC" w:rsidRDefault="00E45299" w:rsidP="009E6E44">
            <w:pPr>
              <w:tabs>
                <w:tab w:val="left" w:pos="252"/>
              </w:tabs>
              <w:ind w:left="29"/>
              <w:rPr>
                <w:rFonts w:asciiTheme="majorHAnsi" w:hAnsiTheme="majorHAnsi" w:cstheme="majorHAnsi"/>
                <w:sz w:val="18"/>
                <w:szCs w:val="18"/>
                <w:lang w:val="ro-MD"/>
              </w:rPr>
            </w:pPr>
            <w:r w:rsidRPr="002751FC">
              <w:rPr>
                <w:rFonts w:asciiTheme="majorHAnsi" w:hAnsiTheme="majorHAnsi" w:cstheme="majorHAnsi"/>
                <w:sz w:val="18"/>
                <w:szCs w:val="18"/>
                <w:lang w:val="ro-MD"/>
              </w:rPr>
              <w:t>2</w:t>
            </w:r>
          </w:p>
        </w:tc>
        <w:tc>
          <w:tcPr>
            <w:tcW w:w="3855" w:type="dxa"/>
          </w:tcPr>
          <w:p w:rsidR="00C16257" w:rsidRPr="002751FC" w:rsidRDefault="00C16257" w:rsidP="008C3E3E">
            <w:pPr>
              <w:pStyle w:val="ac"/>
              <w:tabs>
                <w:tab w:val="left" w:pos="252"/>
              </w:tabs>
              <w:ind w:left="0"/>
              <w:rPr>
                <w:rFonts w:asciiTheme="majorHAnsi" w:hAnsiTheme="majorHAnsi" w:cstheme="majorHAnsi"/>
                <w:sz w:val="18"/>
                <w:szCs w:val="18"/>
                <w:lang w:val="ro-MD"/>
              </w:rPr>
            </w:pPr>
            <w:r w:rsidRPr="002751FC">
              <w:rPr>
                <w:rFonts w:asciiTheme="majorHAnsi" w:hAnsiTheme="majorHAnsi" w:cstheme="majorHAnsi"/>
                <w:sz w:val="18"/>
                <w:szCs w:val="18"/>
                <w:lang w:val="ro-MD"/>
              </w:rPr>
              <w:t>Raport cota vinului pe piețele țintă la export (% îmbuteliat/% total)</w:t>
            </w:r>
          </w:p>
        </w:tc>
        <w:tc>
          <w:tcPr>
            <w:tcW w:w="845" w:type="dxa"/>
          </w:tcPr>
          <w:p w:rsidR="00C16257" w:rsidRPr="002751FC" w:rsidRDefault="00C16257" w:rsidP="008C3E3E">
            <w:pPr>
              <w:jc w:val="both"/>
              <w:rPr>
                <w:rFonts w:asciiTheme="majorHAnsi" w:eastAsia="Times New Roman" w:hAnsiTheme="majorHAnsi" w:cstheme="majorHAnsi"/>
                <w:sz w:val="18"/>
                <w:szCs w:val="18"/>
                <w:lang w:val="ro-MD"/>
              </w:rPr>
            </w:pPr>
          </w:p>
        </w:tc>
        <w:tc>
          <w:tcPr>
            <w:tcW w:w="880" w:type="dxa"/>
          </w:tcPr>
          <w:p w:rsidR="00C16257" w:rsidRPr="002751FC" w:rsidRDefault="00C16257" w:rsidP="008B439D">
            <w:pPr>
              <w:jc w:val="right"/>
              <w:rPr>
                <w:rFonts w:asciiTheme="majorHAnsi" w:eastAsia="Times New Roman" w:hAnsiTheme="majorHAnsi" w:cstheme="majorHAnsi"/>
                <w:sz w:val="18"/>
                <w:szCs w:val="18"/>
                <w:lang w:val="ro-MD"/>
              </w:rPr>
            </w:pPr>
          </w:p>
        </w:tc>
        <w:tc>
          <w:tcPr>
            <w:tcW w:w="799"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p>
        </w:tc>
        <w:tc>
          <w:tcPr>
            <w:tcW w:w="1275"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p>
        </w:tc>
        <w:tc>
          <w:tcPr>
            <w:tcW w:w="1249" w:type="dxa"/>
            <w:shd w:val="clear" w:color="auto" w:fill="auto"/>
          </w:tcPr>
          <w:p w:rsidR="00C16257" w:rsidRPr="002751FC" w:rsidRDefault="00C16257" w:rsidP="008C3E3E">
            <w:pPr>
              <w:jc w:val="both"/>
              <w:rPr>
                <w:rFonts w:asciiTheme="majorHAnsi" w:eastAsia="Times New Roman" w:hAnsiTheme="majorHAnsi" w:cstheme="majorHAnsi"/>
                <w:sz w:val="18"/>
                <w:szCs w:val="18"/>
                <w:lang w:val="ro-MD"/>
              </w:rPr>
            </w:pPr>
          </w:p>
        </w:tc>
      </w:tr>
      <w:tr w:rsidR="00C16257" w:rsidRPr="002751FC" w:rsidTr="008B439D">
        <w:trPr>
          <w:trHeight w:val="319"/>
        </w:trPr>
        <w:tc>
          <w:tcPr>
            <w:tcW w:w="846" w:type="dxa"/>
          </w:tcPr>
          <w:p w:rsidR="00C16257" w:rsidRPr="002751FC" w:rsidRDefault="00C16257" w:rsidP="009E6E44">
            <w:pPr>
              <w:tabs>
                <w:tab w:val="left" w:pos="293"/>
              </w:tabs>
              <w:ind w:left="29"/>
              <w:rPr>
                <w:rFonts w:asciiTheme="majorHAnsi" w:hAnsiTheme="majorHAnsi" w:cstheme="majorHAnsi"/>
                <w:sz w:val="18"/>
                <w:szCs w:val="18"/>
                <w:lang w:val="ro-MD"/>
              </w:rPr>
            </w:pPr>
            <w:r w:rsidRPr="002751FC">
              <w:rPr>
                <w:rFonts w:asciiTheme="majorHAnsi" w:hAnsiTheme="majorHAnsi" w:cstheme="majorHAnsi"/>
                <w:sz w:val="18"/>
                <w:szCs w:val="18"/>
                <w:lang w:val="ro-MD"/>
              </w:rPr>
              <w:t>2</w:t>
            </w:r>
            <w:r w:rsidR="00E45299" w:rsidRPr="002751FC">
              <w:rPr>
                <w:rFonts w:asciiTheme="majorHAnsi" w:hAnsiTheme="majorHAnsi" w:cstheme="majorHAnsi"/>
                <w:sz w:val="18"/>
                <w:szCs w:val="18"/>
                <w:lang w:val="ro-MD"/>
              </w:rPr>
              <w:t>.1</w:t>
            </w:r>
          </w:p>
        </w:tc>
        <w:tc>
          <w:tcPr>
            <w:tcW w:w="3855" w:type="dxa"/>
          </w:tcPr>
          <w:p w:rsidR="00C16257" w:rsidRPr="002751FC" w:rsidRDefault="00C16257" w:rsidP="008C3E3E">
            <w:pPr>
              <w:pStyle w:val="ac"/>
              <w:tabs>
                <w:tab w:val="left" w:pos="293"/>
              </w:tabs>
              <w:ind w:left="61"/>
              <w:rPr>
                <w:rFonts w:asciiTheme="majorHAnsi" w:hAnsiTheme="majorHAnsi" w:cstheme="majorHAnsi"/>
                <w:sz w:val="18"/>
                <w:szCs w:val="18"/>
                <w:lang w:val="ro-MD"/>
              </w:rPr>
            </w:pPr>
            <w:r w:rsidRPr="002751FC">
              <w:rPr>
                <w:rFonts w:asciiTheme="majorHAnsi" w:hAnsiTheme="majorHAnsi" w:cstheme="majorHAnsi"/>
                <w:sz w:val="18"/>
                <w:szCs w:val="18"/>
                <w:lang w:val="ro-MD"/>
              </w:rPr>
              <w:t>Polonia</w:t>
            </w:r>
          </w:p>
        </w:tc>
        <w:tc>
          <w:tcPr>
            <w:tcW w:w="845" w:type="dxa"/>
          </w:tcPr>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w:t>
            </w:r>
          </w:p>
        </w:tc>
        <w:tc>
          <w:tcPr>
            <w:tcW w:w="880" w:type="dxa"/>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3</w:t>
            </w:r>
          </w:p>
        </w:tc>
        <w:tc>
          <w:tcPr>
            <w:tcW w:w="799"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2,4</w:t>
            </w:r>
          </w:p>
        </w:tc>
        <w:tc>
          <w:tcPr>
            <w:tcW w:w="1275"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color w:val="FF0000"/>
                <w:sz w:val="18"/>
                <w:szCs w:val="18"/>
                <w:lang w:val="ro-MD"/>
              </w:rPr>
              <w:t>-0,6</w:t>
            </w:r>
          </w:p>
        </w:tc>
        <w:tc>
          <w:tcPr>
            <w:tcW w:w="1249" w:type="dxa"/>
            <w:shd w:val="clear" w:color="auto" w:fill="auto"/>
          </w:tcPr>
          <w:p w:rsidR="00C16257" w:rsidRPr="002751FC" w:rsidRDefault="00C16257" w:rsidP="008C3E3E">
            <w:pPr>
              <w:jc w:val="both"/>
              <w:rPr>
                <w:rFonts w:asciiTheme="majorHAnsi" w:eastAsia="Times New Roman" w:hAnsiTheme="majorHAnsi" w:cstheme="majorHAnsi"/>
                <w:sz w:val="18"/>
                <w:szCs w:val="18"/>
                <w:lang w:val="ro-MD"/>
              </w:rPr>
            </w:pPr>
          </w:p>
        </w:tc>
      </w:tr>
      <w:tr w:rsidR="00C16257" w:rsidRPr="002751FC" w:rsidTr="008B439D">
        <w:trPr>
          <w:trHeight w:val="319"/>
        </w:trPr>
        <w:tc>
          <w:tcPr>
            <w:tcW w:w="846" w:type="dxa"/>
          </w:tcPr>
          <w:p w:rsidR="00C16257" w:rsidRPr="002751FC" w:rsidRDefault="00E45299" w:rsidP="009E6E44">
            <w:pPr>
              <w:tabs>
                <w:tab w:val="left" w:pos="293"/>
              </w:tabs>
              <w:ind w:left="29"/>
              <w:rPr>
                <w:rFonts w:asciiTheme="majorHAnsi" w:hAnsiTheme="majorHAnsi" w:cstheme="majorHAnsi"/>
                <w:sz w:val="18"/>
                <w:szCs w:val="18"/>
                <w:lang w:val="ro-MD"/>
              </w:rPr>
            </w:pPr>
            <w:r w:rsidRPr="002751FC">
              <w:rPr>
                <w:rFonts w:asciiTheme="majorHAnsi" w:hAnsiTheme="majorHAnsi" w:cstheme="majorHAnsi"/>
                <w:sz w:val="18"/>
                <w:szCs w:val="18"/>
                <w:lang w:val="ro-MD"/>
              </w:rPr>
              <w:t>2.2</w:t>
            </w:r>
          </w:p>
        </w:tc>
        <w:tc>
          <w:tcPr>
            <w:tcW w:w="3855" w:type="dxa"/>
          </w:tcPr>
          <w:p w:rsidR="00C16257" w:rsidRPr="002751FC" w:rsidRDefault="00C16257" w:rsidP="008C3E3E">
            <w:pPr>
              <w:pStyle w:val="ac"/>
              <w:tabs>
                <w:tab w:val="left" w:pos="293"/>
              </w:tabs>
              <w:ind w:left="61"/>
              <w:rPr>
                <w:rFonts w:asciiTheme="majorHAnsi" w:hAnsiTheme="majorHAnsi" w:cstheme="majorHAnsi"/>
                <w:sz w:val="18"/>
                <w:szCs w:val="18"/>
                <w:lang w:val="ro-MD"/>
              </w:rPr>
            </w:pPr>
            <w:r w:rsidRPr="002751FC">
              <w:rPr>
                <w:rFonts w:asciiTheme="majorHAnsi" w:hAnsiTheme="majorHAnsi" w:cstheme="majorHAnsi"/>
                <w:sz w:val="18"/>
                <w:szCs w:val="18"/>
                <w:lang w:val="ro-MD"/>
              </w:rPr>
              <w:t>Rom</w:t>
            </w:r>
            <w:r w:rsidR="00D83160" w:rsidRPr="002751FC">
              <w:rPr>
                <w:rFonts w:asciiTheme="majorHAnsi" w:hAnsiTheme="majorHAnsi" w:cstheme="majorHAnsi"/>
                <w:sz w:val="18"/>
                <w:szCs w:val="18"/>
                <w:lang w:val="ro-MD"/>
              </w:rPr>
              <w:t>â</w:t>
            </w:r>
            <w:r w:rsidRPr="002751FC">
              <w:rPr>
                <w:rFonts w:asciiTheme="majorHAnsi" w:hAnsiTheme="majorHAnsi" w:cstheme="majorHAnsi"/>
                <w:sz w:val="18"/>
                <w:szCs w:val="18"/>
                <w:lang w:val="ro-MD"/>
              </w:rPr>
              <w:t>nia</w:t>
            </w:r>
          </w:p>
        </w:tc>
        <w:tc>
          <w:tcPr>
            <w:tcW w:w="845" w:type="dxa"/>
          </w:tcPr>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w:t>
            </w:r>
          </w:p>
        </w:tc>
        <w:tc>
          <w:tcPr>
            <w:tcW w:w="880" w:type="dxa"/>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1,5</w:t>
            </w:r>
          </w:p>
        </w:tc>
        <w:tc>
          <w:tcPr>
            <w:tcW w:w="799"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4</w:t>
            </w:r>
          </w:p>
        </w:tc>
        <w:tc>
          <w:tcPr>
            <w:tcW w:w="1275"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+2,5</w:t>
            </w:r>
          </w:p>
        </w:tc>
        <w:tc>
          <w:tcPr>
            <w:tcW w:w="1249" w:type="dxa"/>
            <w:shd w:val="clear" w:color="auto" w:fill="auto"/>
          </w:tcPr>
          <w:p w:rsidR="00C16257" w:rsidRPr="002751FC" w:rsidRDefault="00C16257" w:rsidP="008C3E3E">
            <w:pPr>
              <w:jc w:val="both"/>
              <w:rPr>
                <w:rFonts w:asciiTheme="majorHAnsi" w:eastAsia="Times New Roman" w:hAnsiTheme="majorHAnsi" w:cstheme="majorHAnsi"/>
                <w:sz w:val="18"/>
                <w:szCs w:val="18"/>
                <w:lang w:val="ro-MD"/>
              </w:rPr>
            </w:pPr>
          </w:p>
        </w:tc>
      </w:tr>
      <w:tr w:rsidR="00C16257" w:rsidRPr="002751FC" w:rsidTr="008B439D">
        <w:trPr>
          <w:trHeight w:val="172"/>
        </w:trPr>
        <w:tc>
          <w:tcPr>
            <w:tcW w:w="846" w:type="dxa"/>
          </w:tcPr>
          <w:p w:rsidR="00C16257" w:rsidRPr="002751FC" w:rsidRDefault="00E45299" w:rsidP="009E6E44">
            <w:pPr>
              <w:pStyle w:val="ac"/>
              <w:tabs>
                <w:tab w:val="left" w:pos="361"/>
              </w:tabs>
              <w:ind w:left="29"/>
              <w:rPr>
                <w:rFonts w:asciiTheme="majorHAnsi" w:hAnsiTheme="majorHAnsi" w:cstheme="majorHAnsi"/>
                <w:sz w:val="18"/>
                <w:szCs w:val="18"/>
                <w:lang w:val="ro-MD"/>
              </w:rPr>
            </w:pPr>
            <w:r w:rsidRPr="002751FC">
              <w:rPr>
                <w:rFonts w:asciiTheme="majorHAnsi" w:hAnsiTheme="majorHAnsi" w:cstheme="majorHAnsi"/>
                <w:sz w:val="18"/>
                <w:szCs w:val="18"/>
                <w:lang w:val="ro-MD"/>
              </w:rPr>
              <w:t>2.3</w:t>
            </w:r>
          </w:p>
        </w:tc>
        <w:tc>
          <w:tcPr>
            <w:tcW w:w="3855" w:type="dxa"/>
          </w:tcPr>
          <w:p w:rsidR="00C16257" w:rsidRPr="002751FC" w:rsidRDefault="00C16257" w:rsidP="00262235">
            <w:pPr>
              <w:pStyle w:val="ac"/>
              <w:tabs>
                <w:tab w:val="left" w:pos="361"/>
              </w:tabs>
              <w:ind w:left="0"/>
              <w:rPr>
                <w:rFonts w:asciiTheme="majorHAnsi" w:hAnsiTheme="majorHAnsi" w:cstheme="majorHAnsi"/>
                <w:sz w:val="18"/>
                <w:szCs w:val="18"/>
                <w:lang w:val="ro-MD"/>
              </w:rPr>
            </w:pPr>
            <w:r w:rsidRPr="002751FC">
              <w:rPr>
                <w:rFonts w:asciiTheme="majorHAnsi" w:hAnsiTheme="majorHAnsi" w:cstheme="majorHAnsi"/>
                <w:sz w:val="18"/>
                <w:szCs w:val="18"/>
                <w:lang w:val="ro-MD"/>
              </w:rPr>
              <w:t>Cehia</w:t>
            </w:r>
          </w:p>
        </w:tc>
        <w:tc>
          <w:tcPr>
            <w:tcW w:w="845" w:type="dxa"/>
          </w:tcPr>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w:t>
            </w:r>
          </w:p>
        </w:tc>
        <w:tc>
          <w:tcPr>
            <w:tcW w:w="880" w:type="dxa"/>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2,3</w:t>
            </w:r>
          </w:p>
        </w:tc>
        <w:tc>
          <w:tcPr>
            <w:tcW w:w="799"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3,5</w:t>
            </w:r>
          </w:p>
        </w:tc>
        <w:tc>
          <w:tcPr>
            <w:tcW w:w="1275"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+1,2</w:t>
            </w:r>
          </w:p>
        </w:tc>
        <w:tc>
          <w:tcPr>
            <w:tcW w:w="1249" w:type="dxa"/>
            <w:shd w:val="clear" w:color="auto" w:fill="auto"/>
          </w:tcPr>
          <w:p w:rsidR="00C16257" w:rsidRPr="002751FC" w:rsidRDefault="00C16257" w:rsidP="008C3E3E">
            <w:pPr>
              <w:jc w:val="both"/>
              <w:rPr>
                <w:rFonts w:asciiTheme="majorHAnsi" w:eastAsia="Times New Roman" w:hAnsiTheme="majorHAnsi" w:cstheme="majorHAnsi"/>
                <w:sz w:val="18"/>
                <w:szCs w:val="18"/>
                <w:lang w:val="ro-MD"/>
              </w:rPr>
            </w:pPr>
          </w:p>
        </w:tc>
      </w:tr>
      <w:tr w:rsidR="00C16257" w:rsidRPr="002751FC" w:rsidTr="008B439D">
        <w:trPr>
          <w:trHeight w:val="44"/>
        </w:trPr>
        <w:tc>
          <w:tcPr>
            <w:tcW w:w="846" w:type="dxa"/>
          </w:tcPr>
          <w:p w:rsidR="00C16257" w:rsidRPr="002751FC" w:rsidRDefault="00E45299" w:rsidP="009E6E44">
            <w:pPr>
              <w:pStyle w:val="ac"/>
              <w:tabs>
                <w:tab w:val="left" w:pos="318"/>
              </w:tabs>
              <w:ind w:left="29"/>
              <w:rPr>
                <w:rFonts w:asciiTheme="majorHAnsi" w:hAnsiTheme="majorHAnsi" w:cstheme="majorHAnsi"/>
                <w:sz w:val="18"/>
                <w:szCs w:val="18"/>
                <w:lang w:val="ro-MD"/>
              </w:rPr>
            </w:pPr>
            <w:r w:rsidRPr="002751FC">
              <w:rPr>
                <w:rFonts w:asciiTheme="majorHAnsi" w:hAnsiTheme="majorHAnsi" w:cstheme="majorHAnsi"/>
                <w:sz w:val="18"/>
                <w:szCs w:val="18"/>
                <w:lang w:val="ro-MD"/>
              </w:rPr>
              <w:t>2.4</w:t>
            </w:r>
          </w:p>
        </w:tc>
        <w:tc>
          <w:tcPr>
            <w:tcW w:w="3855" w:type="dxa"/>
          </w:tcPr>
          <w:p w:rsidR="00C16257" w:rsidRPr="002751FC" w:rsidRDefault="00C16257" w:rsidP="008C3E3E">
            <w:pPr>
              <w:pStyle w:val="ac"/>
              <w:tabs>
                <w:tab w:val="left" w:pos="318"/>
              </w:tabs>
              <w:ind w:left="23"/>
              <w:rPr>
                <w:rFonts w:asciiTheme="majorHAnsi" w:hAnsiTheme="majorHAnsi" w:cstheme="majorHAnsi"/>
                <w:sz w:val="18"/>
                <w:szCs w:val="18"/>
                <w:lang w:val="ro-MD"/>
              </w:rPr>
            </w:pPr>
            <w:r w:rsidRPr="002751FC">
              <w:rPr>
                <w:rFonts w:asciiTheme="majorHAnsi" w:hAnsiTheme="majorHAnsi" w:cstheme="majorHAnsi"/>
                <w:sz w:val="18"/>
                <w:szCs w:val="18"/>
                <w:lang w:val="ro-MD"/>
              </w:rPr>
              <w:t>China</w:t>
            </w:r>
          </w:p>
        </w:tc>
        <w:tc>
          <w:tcPr>
            <w:tcW w:w="845" w:type="dxa"/>
          </w:tcPr>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w:t>
            </w:r>
          </w:p>
        </w:tc>
        <w:tc>
          <w:tcPr>
            <w:tcW w:w="880" w:type="dxa"/>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0,2</w:t>
            </w:r>
          </w:p>
        </w:tc>
        <w:tc>
          <w:tcPr>
            <w:tcW w:w="799"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0,2</w:t>
            </w:r>
          </w:p>
        </w:tc>
        <w:tc>
          <w:tcPr>
            <w:tcW w:w="1275"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w:t>
            </w:r>
          </w:p>
        </w:tc>
        <w:tc>
          <w:tcPr>
            <w:tcW w:w="1249" w:type="dxa"/>
            <w:shd w:val="clear" w:color="auto" w:fill="auto"/>
          </w:tcPr>
          <w:p w:rsidR="00C16257" w:rsidRPr="002751FC" w:rsidRDefault="00C16257" w:rsidP="008C3E3E">
            <w:pPr>
              <w:jc w:val="both"/>
              <w:rPr>
                <w:rFonts w:asciiTheme="majorHAnsi" w:eastAsia="Times New Roman" w:hAnsiTheme="majorHAnsi" w:cstheme="majorHAnsi"/>
                <w:sz w:val="18"/>
                <w:szCs w:val="18"/>
                <w:lang w:val="ro-MD"/>
              </w:rPr>
            </w:pPr>
          </w:p>
        </w:tc>
      </w:tr>
      <w:tr w:rsidR="00C16257" w:rsidRPr="002751FC" w:rsidTr="008B439D">
        <w:trPr>
          <w:trHeight w:val="319"/>
        </w:trPr>
        <w:tc>
          <w:tcPr>
            <w:tcW w:w="846" w:type="dxa"/>
          </w:tcPr>
          <w:p w:rsidR="00C16257" w:rsidRPr="002751FC" w:rsidRDefault="00E45299" w:rsidP="009E6E44">
            <w:pPr>
              <w:pStyle w:val="ac"/>
              <w:tabs>
                <w:tab w:val="left" w:pos="293"/>
              </w:tabs>
              <w:ind w:left="29"/>
              <w:rPr>
                <w:rFonts w:asciiTheme="majorHAnsi" w:hAnsiTheme="majorHAnsi" w:cstheme="majorHAnsi"/>
                <w:sz w:val="18"/>
                <w:szCs w:val="18"/>
                <w:lang w:val="ro-MD"/>
              </w:rPr>
            </w:pPr>
            <w:r w:rsidRPr="002751FC">
              <w:rPr>
                <w:rFonts w:asciiTheme="majorHAnsi" w:hAnsiTheme="majorHAnsi" w:cstheme="majorHAnsi"/>
                <w:sz w:val="18"/>
                <w:szCs w:val="18"/>
                <w:lang w:val="ro-MD"/>
              </w:rPr>
              <w:t>3</w:t>
            </w:r>
          </w:p>
        </w:tc>
        <w:tc>
          <w:tcPr>
            <w:tcW w:w="3855" w:type="dxa"/>
          </w:tcPr>
          <w:p w:rsidR="00C16257" w:rsidRPr="002751FC" w:rsidRDefault="00C16257" w:rsidP="008C3E3E">
            <w:pPr>
              <w:pStyle w:val="ac"/>
              <w:tabs>
                <w:tab w:val="left" w:pos="293"/>
              </w:tabs>
              <w:ind w:left="0"/>
              <w:rPr>
                <w:rFonts w:asciiTheme="majorHAnsi" w:hAnsiTheme="majorHAnsi" w:cstheme="majorHAnsi"/>
                <w:sz w:val="18"/>
                <w:szCs w:val="18"/>
                <w:lang w:val="ro-MD"/>
              </w:rPr>
            </w:pPr>
            <w:r w:rsidRPr="002751FC">
              <w:rPr>
                <w:rFonts w:asciiTheme="majorHAnsi" w:hAnsiTheme="majorHAnsi" w:cstheme="majorHAnsi"/>
                <w:sz w:val="18"/>
                <w:szCs w:val="18"/>
                <w:lang w:val="ro-MD"/>
              </w:rPr>
              <w:t xml:space="preserve">Prospectare alte piețe cu potențial de creștere pentru vinurile </w:t>
            </w:r>
            <w:r w:rsidR="00D83160" w:rsidRPr="002751FC">
              <w:rPr>
                <w:rFonts w:asciiTheme="majorHAnsi" w:hAnsiTheme="majorHAnsi" w:cstheme="majorHAnsi"/>
                <w:sz w:val="18"/>
                <w:szCs w:val="18"/>
                <w:lang w:val="ro-MD"/>
              </w:rPr>
              <w:t>M</w:t>
            </w:r>
            <w:r w:rsidRPr="002751FC">
              <w:rPr>
                <w:rFonts w:asciiTheme="majorHAnsi" w:hAnsiTheme="majorHAnsi" w:cstheme="majorHAnsi"/>
                <w:sz w:val="18"/>
                <w:szCs w:val="18"/>
                <w:lang w:val="ro-MD"/>
              </w:rPr>
              <w:t>oldovei</w:t>
            </w:r>
          </w:p>
        </w:tc>
        <w:tc>
          <w:tcPr>
            <w:tcW w:w="845" w:type="dxa"/>
          </w:tcPr>
          <w:p w:rsidR="00C16257" w:rsidRPr="002751FC" w:rsidRDefault="00C16257" w:rsidP="008C3E3E">
            <w:pPr>
              <w:jc w:val="both"/>
              <w:rPr>
                <w:rFonts w:asciiTheme="majorHAnsi" w:eastAsia="Times New Roman" w:hAnsiTheme="majorHAnsi" w:cstheme="majorHAnsi"/>
                <w:sz w:val="18"/>
                <w:szCs w:val="18"/>
                <w:lang w:val="ro-MD"/>
              </w:rPr>
            </w:pPr>
          </w:p>
        </w:tc>
        <w:tc>
          <w:tcPr>
            <w:tcW w:w="880" w:type="dxa"/>
            <w:shd w:val="clear" w:color="auto" w:fill="FFFFFF" w:themeFill="background1"/>
          </w:tcPr>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SUA, Suedia, Belgia, Țările Baltice</w:t>
            </w:r>
          </w:p>
        </w:tc>
        <w:tc>
          <w:tcPr>
            <w:tcW w:w="799" w:type="dxa"/>
            <w:shd w:val="clear" w:color="auto" w:fill="auto"/>
          </w:tcPr>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SUA Canada Suedia, Belgia, Olanda, Core</w:t>
            </w:r>
            <w:r w:rsidR="00D83160" w:rsidRPr="002751FC">
              <w:rPr>
                <w:rFonts w:asciiTheme="majorHAnsi" w:eastAsia="Times New Roman" w:hAnsiTheme="majorHAnsi" w:cstheme="majorHAnsi"/>
                <w:sz w:val="18"/>
                <w:szCs w:val="18"/>
                <w:lang w:val="ro-MD"/>
              </w:rPr>
              <w:t>e</w:t>
            </w:r>
            <w:r w:rsidRPr="002751FC">
              <w:rPr>
                <w:rFonts w:asciiTheme="majorHAnsi" w:eastAsia="Times New Roman" w:hAnsiTheme="majorHAnsi" w:cstheme="majorHAnsi"/>
                <w:sz w:val="18"/>
                <w:szCs w:val="18"/>
                <w:lang w:val="ro-MD"/>
              </w:rPr>
              <w:t>a de Sud, Japonia</w:t>
            </w:r>
          </w:p>
          <w:p w:rsidR="000135C7" w:rsidRPr="002751FC" w:rsidRDefault="000135C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Țările Baltice</w:t>
            </w:r>
          </w:p>
        </w:tc>
        <w:tc>
          <w:tcPr>
            <w:tcW w:w="1275" w:type="dxa"/>
            <w:shd w:val="clear" w:color="auto" w:fill="auto"/>
          </w:tcPr>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 Canada</w:t>
            </w:r>
          </w:p>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 Olanda</w:t>
            </w:r>
          </w:p>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 xml:space="preserve"> + Core</w:t>
            </w:r>
            <w:r w:rsidR="00D83160" w:rsidRPr="002751FC">
              <w:rPr>
                <w:rFonts w:asciiTheme="majorHAnsi" w:eastAsia="Times New Roman" w:hAnsiTheme="majorHAnsi" w:cstheme="majorHAnsi"/>
                <w:sz w:val="18"/>
                <w:szCs w:val="18"/>
                <w:lang w:val="ro-MD"/>
              </w:rPr>
              <w:t>e</w:t>
            </w:r>
            <w:r w:rsidRPr="002751FC">
              <w:rPr>
                <w:rFonts w:asciiTheme="majorHAnsi" w:eastAsia="Times New Roman" w:hAnsiTheme="majorHAnsi" w:cstheme="majorHAnsi"/>
                <w:sz w:val="18"/>
                <w:szCs w:val="18"/>
                <w:lang w:val="ro-MD"/>
              </w:rPr>
              <w:t xml:space="preserve">a de Sud </w:t>
            </w:r>
          </w:p>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 Japonia</w:t>
            </w:r>
          </w:p>
          <w:p w:rsidR="00C16257" w:rsidRPr="002751FC" w:rsidRDefault="000135C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w:t>
            </w:r>
            <w:r w:rsidR="00C16257" w:rsidRPr="002751FC">
              <w:rPr>
                <w:rFonts w:asciiTheme="majorHAnsi" w:eastAsia="Times New Roman" w:hAnsiTheme="majorHAnsi" w:cstheme="majorHAnsi"/>
                <w:sz w:val="18"/>
                <w:szCs w:val="18"/>
                <w:lang w:val="ro-MD"/>
              </w:rPr>
              <w:t xml:space="preserve"> </w:t>
            </w:r>
            <w:r w:rsidR="00C16257" w:rsidRPr="002751FC">
              <w:rPr>
                <w:rFonts w:asciiTheme="majorHAnsi" w:eastAsia="Times New Roman" w:hAnsiTheme="majorHAnsi" w:cstheme="majorHAnsi"/>
                <w:color w:val="FF0000"/>
                <w:sz w:val="18"/>
                <w:szCs w:val="18"/>
                <w:lang w:val="ro-MD"/>
              </w:rPr>
              <w:t>Țările Baltice</w:t>
            </w:r>
          </w:p>
        </w:tc>
        <w:tc>
          <w:tcPr>
            <w:tcW w:w="1249" w:type="dxa"/>
            <w:shd w:val="clear" w:color="auto" w:fill="auto"/>
          </w:tcPr>
          <w:p w:rsidR="00C16257" w:rsidRPr="002751FC" w:rsidRDefault="00C16257" w:rsidP="008C3E3E">
            <w:pPr>
              <w:jc w:val="both"/>
              <w:rPr>
                <w:rFonts w:asciiTheme="majorHAnsi" w:eastAsia="Times New Roman" w:hAnsiTheme="majorHAnsi" w:cstheme="majorHAnsi"/>
                <w:sz w:val="18"/>
                <w:szCs w:val="18"/>
                <w:lang w:val="ro-MD"/>
              </w:rPr>
            </w:pPr>
          </w:p>
        </w:tc>
      </w:tr>
      <w:tr w:rsidR="00C16257" w:rsidRPr="002751FC" w:rsidTr="008B439D">
        <w:trPr>
          <w:trHeight w:val="319"/>
        </w:trPr>
        <w:tc>
          <w:tcPr>
            <w:tcW w:w="846" w:type="dxa"/>
          </w:tcPr>
          <w:p w:rsidR="00C16257" w:rsidRPr="002751FC" w:rsidRDefault="00E45299" w:rsidP="008C3E3E">
            <w:pPr>
              <w:pStyle w:val="ac"/>
              <w:tabs>
                <w:tab w:val="left" w:pos="293"/>
              </w:tabs>
              <w:ind w:left="0"/>
              <w:rPr>
                <w:rFonts w:asciiTheme="majorHAnsi" w:hAnsiTheme="majorHAnsi" w:cstheme="majorHAnsi"/>
                <w:sz w:val="18"/>
                <w:szCs w:val="18"/>
                <w:lang w:val="ro-MD"/>
              </w:rPr>
            </w:pPr>
            <w:r w:rsidRPr="002751FC">
              <w:rPr>
                <w:rFonts w:asciiTheme="majorHAnsi" w:hAnsiTheme="majorHAnsi" w:cstheme="majorHAnsi"/>
                <w:sz w:val="18"/>
                <w:szCs w:val="18"/>
                <w:lang w:val="ro-MD"/>
              </w:rPr>
              <w:t>4</w:t>
            </w:r>
          </w:p>
        </w:tc>
        <w:tc>
          <w:tcPr>
            <w:tcW w:w="3855" w:type="dxa"/>
          </w:tcPr>
          <w:p w:rsidR="00C16257" w:rsidRPr="002751FC" w:rsidRDefault="00C16257" w:rsidP="008C3E3E">
            <w:pPr>
              <w:pStyle w:val="ac"/>
              <w:tabs>
                <w:tab w:val="left" w:pos="293"/>
              </w:tabs>
              <w:ind w:left="0"/>
              <w:rPr>
                <w:rFonts w:asciiTheme="majorHAnsi" w:hAnsiTheme="majorHAnsi" w:cstheme="majorHAnsi"/>
                <w:sz w:val="18"/>
                <w:szCs w:val="18"/>
                <w:lang w:val="ro-MD"/>
              </w:rPr>
            </w:pPr>
            <w:r w:rsidRPr="002751FC">
              <w:rPr>
                <w:rFonts w:asciiTheme="majorHAnsi" w:hAnsiTheme="majorHAnsi" w:cstheme="majorHAnsi"/>
                <w:sz w:val="18"/>
                <w:szCs w:val="18"/>
                <w:lang w:val="ro-MD"/>
              </w:rPr>
              <w:t>Numărul turiști</w:t>
            </w:r>
            <w:r w:rsidR="00D83160" w:rsidRPr="002751FC">
              <w:rPr>
                <w:rFonts w:asciiTheme="majorHAnsi" w:hAnsiTheme="majorHAnsi" w:cstheme="majorHAnsi"/>
                <w:sz w:val="18"/>
                <w:szCs w:val="18"/>
                <w:lang w:val="ro-MD"/>
              </w:rPr>
              <w:t>lor</w:t>
            </w:r>
            <w:r w:rsidRPr="002751FC">
              <w:rPr>
                <w:rFonts w:asciiTheme="majorHAnsi" w:hAnsiTheme="majorHAnsi" w:cstheme="majorHAnsi"/>
                <w:sz w:val="18"/>
                <w:szCs w:val="18"/>
                <w:lang w:val="ro-MD"/>
              </w:rPr>
              <w:t xml:space="preserve"> v</w:t>
            </w:r>
            <w:r w:rsidR="00D83160" w:rsidRPr="002751FC">
              <w:rPr>
                <w:rFonts w:asciiTheme="majorHAnsi" w:hAnsiTheme="majorHAnsi" w:cstheme="majorHAnsi"/>
                <w:sz w:val="18"/>
                <w:szCs w:val="18"/>
                <w:lang w:val="ro-MD"/>
              </w:rPr>
              <w:t>i</w:t>
            </w:r>
            <w:r w:rsidRPr="002751FC">
              <w:rPr>
                <w:rFonts w:asciiTheme="majorHAnsi" w:hAnsiTheme="majorHAnsi" w:cstheme="majorHAnsi"/>
                <w:sz w:val="18"/>
                <w:szCs w:val="18"/>
                <w:lang w:val="ro-MD"/>
              </w:rPr>
              <w:t>tivinicoli</w:t>
            </w:r>
          </w:p>
        </w:tc>
        <w:tc>
          <w:tcPr>
            <w:tcW w:w="845" w:type="dxa"/>
          </w:tcPr>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pers.</w:t>
            </w:r>
          </w:p>
        </w:tc>
        <w:tc>
          <w:tcPr>
            <w:tcW w:w="880" w:type="dxa"/>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197000</w:t>
            </w:r>
          </w:p>
        </w:tc>
        <w:tc>
          <w:tcPr>
            <w:tcW w:w="799"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200000</w:t>
            </w:r>
          </w:p>
        </w:tc>
        <w:tc>
          <w:tcPr>
            <w:tcW w:w="1275"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+3000</w:t>
            </w:r>
          </w:p>
        </w:tc>
        <w:tc>
          <w:tcPr>
            <w:tcW w:w="1249" w:type="dxa"/>
            <w:shd w:val="clear" w:color="auto" w:fill="auto"/>
          </w:tcPr>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58% național și 42% străini</w:t>
            </w:r>
          </w:p>
        </w:tc>
      </w:tr>
      <w:tr w:rsidR="00C16257" w:rsidRPr="002751FC" w:rsidTr="008B439D">
        <w:trPr>
          <w:trHeight w:val="319"/>
        </w:trPr>
        <w:tc>
          <w:tcPr>
            <w:tcW w:w="846" w:type="dxa"/>
          </w:tcPr>
          <w:p w:rsidR="00C16257" w:rsidRPr="002751FC" w:rsidRDefault="00E45299" w:rsidP="008C3E3E">
            <w:pPr>
              <w:pStyle w:val="ac"/>
              <w:tabs>
                <w:tab w:val="left" w:pos="293"/>
              </w:tabs>
              <w:ind w:left="0"/>
              <w:rPr>
                <w:rFonts w:asciiTheme="majorHAnsi" w:hAnsiTheme="majorHAnsi" w:cstheme="majorHAnsi"/>
                <w:sz w:val="18"/>
                <w:szCs w:val="18"/>
                <w:lang w:val="ro-MD"/>
              </w:rPr>
            </w:pPr>
            <w:r w:rsidRPr="002751FC">
              <w:rPr>
                <w:rFonts w:asciiTheme="majorHAnsi" w:hAnsiTheme="majorHAnsi" w:cstheme="majorHAnsi"/>
                <w:sz w:val="18"/>
                <w:szCs w:val="18"/>
                <w:lang w:val="ro-MD"/>
              </w:rPr>
              <w:t>5</w:t>
            </w:r>
          </w:p>
        </w:tc>
        <w:tc>
          <w:tcPr>
            <w:tcW w:w="3855" w:type="dxa"/>
          </w:tcPr>
          <w:p w:rsidR="00C16257" w:rsidRPr="002751FC" w:rsidRDefault="000D27C8" w:rsidP="008C3E3E">
            <w:pPr>
              <w:pStyle w:val="ac"/>
              <w:tabs>
                <w:tab w:val="left" w:pos="293"/>
              </w:tabs>
              <w:ind w:left="0"/>
              <w:rPr>
                <w:rFonts w:asciiTheme="majorHAnsi" w:hAnsiTheme="majorHAnsi" w:cstheme="majorHAnsi"/>
                <w:sz w:val="18"/>
                <w:szCs w:val="18"/>
                <w:lang w:val="ro-MD"/>
              </w:rPr>
            </w:pPr>
            <w:r w:rsidRPr="002751FC">
              <w:rPr>
                <w:rFonts w:asciiTheme="majorHAnsi" w:hAnsiTheme="majorHAnsi" w:cstheme="majorHAnsi"/>
                <w:sz w:val="18"/>
                <w:szCs w:val="18"/>
                <w:lang w:val="ro-MD"/>
              </w:rPr>
              <w:t>Suprafaţa IGP/DOP</w:t>
            </w:r>
          </w:p>
        </w:tc>
        <w:tc>
          <w:tcPr>
            <w:tcW w:w="845" w:type="dxa"/>
          </w:tcPr>
          <w:p w:rsidR="00C16257" w:rsidRPr="002751FC" w:rsidRDefault="00C16257" w:rsidP="008C3E3E">
            <w:pPr>
              <w:jc w:val="both"/>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mii ha</w:t>
            </w:r>
          </w:p>
        </w:tc>
        <w:tc>
          <w:tcPr>
            <w:tcW w:w="880" w:type="dxa"/>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9,2</w:t>
            </w:r>
          </w:p>
        </w:tc>
        <w:tc>
          <w:tcPr>
            <w:tcW w:w="799"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9,2</w:t>
            </w:r>
          </w:p>
        </w:tc>
        <w:tc>
          <w:tcPr>
            <w:tcW w:w="1275"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w:t>
            </w:r>
          </w:p>
        </w:tc>
        <w:tc>
          <w:tcPr>
            <w:tcW w:w="1249" w:type="dxa"/>
            <w:shd w:val="clear" w:color="auto" w:fill="auto"/>
          </w:tcPr>
          <w:p w:rsidR="00C16257" w:rsidRPr="002751FC" w:rsidRDefault="00C16257" w:rsidP="008C3E3E">
            <w:pPr>
              <w:jc w:val="both"/>
              <w:rPr>
                <w:rFonts w:asciiTheme="majorHAnsi" w:eastAsia="Times New Roman" w:hAnsiTheme="majorHAnsi" w:cstheme="majorHAnsi"/>
                <w:sz w:val="18"/>
                <w:szCs w:val="18"/>
                <w:lang w:val="ro-MD"/>
              </w:rPr>
            </w:pPr>
          </w:p>
        </w:tc>
      </w:tr>
      <w:tr w:rsidR="00C16257" w:rsidRPr="002751FC" w:rsidTr="008B439D">
        <w:trPr>
          <w:trHeight w:val="319"/>
        </w:trPr>
        <w:tc>
          <w:tcPr>
            <w:tcW w:w="846" w:type="dxa"/>
          </w:tcPr>
          <w:p w:rsidR="00C16257" w:rsidRPr="002751FC" w:rsidRDefault="00E45299" w:rsidP="008C3E3E">
            <w:pPr>
              <w:pStyle w:val="ac"/>
              <w:tabs>
                <w:tab w:val="left" w:pos="293"/>
              </w:tabs>
              <w:ind w:left="0"/>
              <w:rPr>
                <w:rFonts w:asciiTheme="majorHAnsi" w:hAnsiTheme="majorHAnsi" w:cstheme="majorHAnsi"/>
                <w:sz w:val="18"/>
                <w:szCs w:val="18"/>
                <w:lang w:val="ro-MD"/>
              </w:rPr>
            </w:pPr>
            <w:r w:rsidRPr="002751FC">
              <w:rPr>
                <w:rFonts w:asciiTheme="majorHAnsi" w:hAnsiTheme="majorHAnsi" w:cstheme="majorHAnsi"/>
                <w:sz w:val="18"/>
                <w:szCs w:val="18"/>
                <w:lang w:val="ro-MD"/>
              </w:rPr>
              <w:t>6</w:t>
            </w:r>
          </w:p>
        </w:tc>
        <w:tc>
          <w:tcPr>
            <w:tcW w:w="3855" w:type="dxa"/>
          </w:tcPr>
          <w:p w:rsidR="00C16257" w:rsidRPr="002751FC" w:rsidRDefault="000D27C8" w:rsidP="008C3E3E">
            <w:pPr>
              <w:pStyle w:val="ac"/>
              <w:tabs>
                <w:tab w:val="left" w:pos="293"/>
              </w:tabs>
              <w:ind w:left="0"/>
              <w:rPr>
                <w:rFonts w:asciiTheme="majorHAnsi" w:hAnsiTheme="majorHAnsi" w:cstheme="majorHAnsi"/>
                <w:sz w:val="18"/>
                <w:szCs w:val="18"/>
                <w:lang w:val="ro-MD"/>
              </w:rPr>
            </w:pPr>
            <w:r w:rsidRPr="002751FC">
              <w:rPr>
                <w:rFonts w:asciiTheme="majorHAnsi" w:hAnsiTheme="majorHAnsi" w:cstheme="majorHAnsi"/>
                <w:sz w:val="18"/>
                <w:szCs w:val="18"/>
                <w:lang w:val="ro-MD"/>
              </w:rPr>
              <w:t>Vinuri produse în cadrul IGP/DOP</w:t>
            </w:r>
          </w:p>
        </w:tc>
        <w:tc>
          <w:tcPr>
            <w:tcW w:w="845" w:type="dxa"/>
          </w:tcPr>
          <w:p w:rsidR="00C16257" w:rsidRPr="002751FC" w:rsidRDefault="00E45299" w:rsidP="008C3E3E">
            <w:pPr>
              <w:jc w:val="both"/>
              <w:rPr>
                <w:rFonts w:asciiTheme="majorHAnsi" w:eastAsia="Times New Roman" w:hAnsiTheme="majorHAnsi" w:cstheme="majorHAnsi"/>
                <w:sz w:val="18"/>
                <w:szCs w:val="18"/>
                <w:lang w:val="ro-MD"/>
              </w:rPr>
            </w:pPr>
            <w:proofErr w:type="spellStart"/>
            <w:r w:rsidRPr="002751FC">
              <w:rPr>
                <w:rFonts w:asciiTheme="majorHAnsi" w:eastAsia="Times New Roman" w:hAnsiTheme="majorHAnsi" w:cstheme="majorHAnsi"/>
                <w:sz w:val="18"/>
                <w:szCs w:val="18"/>
                <w:lang w:val="ro-MD"/>
              </w:rPr>
              <w:t>m</w:t>
            </w:r>
            <w:r w:rsidR="00C16257" w:rsidRPr="002751FC">
              <w:rPr>
                <w:rFonts w:asciiTheme="majorHAnsi" w:eastAsia="Times New Roman" w:hAnsiTheme="majorHAnsi" w:cstheme="majorHAnsi"/>
                <w:sz w:val="18"/>
                <w:szCs w:val="18"/>
                <w:lang w:val="ro-MD"/>
              </w:rPr>
              <w:t>il.but</w:t>
            </w:r>
            <w:proofErr w:type="spellEnd"/>
            <w:r w:rsidR="00C16257" w:rsidRPr="002751FC">
              <w:rPr>
                <w:rFonts w:asciiTheme="majorHAnsi" w:eastAsia="Times New Roman" w:hAnsiTheme="majorHAnsi" w:cstheme="majorHAnsi"/>
                <w:sz w:val="18"/>
                <w:szCs w:val="18"/>
                <w:lang w:val="ro-MD"/>
              </w:rPr>
              <w:t>.</w:t>
            </w:r>
          </w:p>
        </w:tc>
        <w:tc>
          <w:tcPr>
            <w:tcW w:w="880" w:type="dxa"/>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1,2</w:t>
            </w:r>
          </w:p>
        </w:tc>
        <w:tc>
          <w:tcPr>
            <w:tcW w:w="799"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1,9</w:t>
            </w:r>
          </w:p>
        </w:tc>
        <w:tc>
          <w:tcPr>
            <w:tcW w:w="1275" w:type="dxa"/>
            <w:shd w:val="clear" w:color="auto" w:fill="auto"/>
          </w:tcPr>
          <w:p w:rsidR="00C16257" w:rsidRPr="002751FC" w:rsidRDefault="00C16257" w:rsidP="008B439D">
            <w:pPr>
              <w:jc w:val="right"/>
              <w:rPr>
                <w:rFonts w:asciiTheme="majorHAnsi" w:eastAsia="Times New Roman" w:hAnsiTheme="majorHAnsi" w:cstheme="majorHAnsi"/>
                <w:sz w:val="18"/>
                <w:szCs w:val="18"/>
                <w:lang w:val="ro-MD"/>
              </w:rPr>
            </w:pPr>
            <w:r w:rsidRPr="002751FC">
              <w:rPr>
                <w:rFonts w:asciiTheme="majorHAnsi" w:eastAsia="Times New Roman" w:hAnsiTheme="majorHAnsi" w:cstheme="majorHAnsi"/>
                <w:sz w:val="18"/>
                <w:szCs w:val="18"/>
                <w:lang w:val="ro-MD"/>
              </w:rPr>
              <w:t>+0,7</w:t>
            </w:r>
          </w:p>
        </w:tc>
        <w:tc>
          <w:tcPr>
            <w:tcW w:w="1249" w:type="dxa"/>
            <w:shd w:val="clear" w:color="auto" w:fill="auto"/>
          </w:tcPr>
          <w:p w:rsidR="00C16257" w:rsidRPr="002751FC" w:rsidRDefault="00C16257" w:rsidP="008C3E3E">
            <w:pPr>
              <w:jc w:val="both"/>
              <w:rPr>
                <w:rFonts w:asciiTheme="majorHAnsi" w:eastAsia="Times New Roman" w:hAnsiTheme="majorHAnsi" w:cstheme="majorHAnsi"/>
                <w:sz w:val="18"/>
                <w:szCs w:val="18"/>
                <w:lang w:val="ro-MD"/>
              </w:rPr>
            </w:pPr>
          </w:p>
        </w:tc>
      </w:tr>
    </w:tbl>
    <w:p w:rsidR="00C16257" w:rsidRPr="002751FC" w:rsidRDefault="00C16257" w:rsidP="00C16257">
      <w:pPr>
        <w:spacing w:after="0" w:line="240"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b/>
          <w:sz w:val="20"/>
          <w:szCs w:val="20"/>
          <w:lang w:val="ro-MD"/>
        </w:rPr>
        <w:t>Sursa:</w:t>
      </w:r>
      <w:r w:rsidRPr="002751FC">
        <w:rPr>
          <w:rFonts w:asciiTheme="majorHAnsi" w:eastAsia="Times New Roman" w:hAnsiTheme="majorHAnsi" w:cstheme="majorHAnsi"/>
          <w:sz w:val="20"/>
          <w:szCs w:val="20"/>
          <w:lang w:val="ro-MD"/>
        </w:rPr>
        <w:t xml:space="preserve"> Datele ONVV.</w:t>
      </w:r>
    </w:p>
    <w:p w:rsidR="00C16257" w:rsidRPr="002751FC" w:rsidRDefault="00C16257" w:rsidP="00243401">
      <w:pPr>
        <w:spacing w:after="0" w:line="240" w:lineRule="auto"/>
        <w:jc w:val="both"/>
        <w:rPr>
          <w:rFonts w:asciiTheme="majorHAnsi" w:eastAsia="Times New Roman" w:hAnsiTheme="majorHAnsi" w:cstheme="majorHAnsi"/>
          <w:sz w:val="20"/>
          <w:szCs w:val="20"/>
          <w:lang w:val="ro-MD"/>
        </w:rPr>
      </w:pPr>
    </w:p>
    <w:p w:rsidR="002B0C1F" w:rsidRPr="002751FC" w:rsidRDefault="00C16257" w:rsidP="001F41B9">
      <w:pPr>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Astfel, 2 indicatori au fost realizați integral la nivel de 100%, </w:t>
      </w:r>
      <w:r w:rsidR="00EC2696" w:rsidRPr="002751FC">
        <w:rPr>
          <w:rFonts w:asciiTheme="majorHAnsi" w:hAnsiTheme="majorHAnsi" w:cstheme="majorHAnsi"/>
          <w:sz w:val="28"/>
          <w:szCs w:val="28"/>
          <w:lang w:val="ro-MD"/>
        </w:rPr>
        <w:t xml:space="preserve">5 </w:t>
      </w:r>
      <w:r w:rsidRPr="002751FC">
        <w:rPr>
          <w:rFonts w:asciiTheme="majorHAnsi" w:hAnsiTheme="majorHAnsi" w:cstheme="majorHAnsi"/>
          <w:sz w:val="28"/>
          <w:szCs w:val="28"/>
          <w:lang w:val="ro-MD"/>
        </w:rPr>
        <w:t>indicatori au fost realizați peste 100%, la 2 indicatori nivelul de realizare este sub 100%</w:t>
      </w:r>
      <w:r w:rsidR="00EC2696"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Totodată</w:t>
      </w:r>
      <w:r w:rsidR="00BF3925"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se </w:t>
      </w:r>
      <w:r w:rsidR="00BF3925" w:rsidRPr="002751FC">
        <w:rPr>
          <w:rFonts w:asciiTheme="majorHAnsi" w:hAnsiTheme="majorHAnsi" w:cstheme="majorHAnsi"/>
          <w:sz w:val="28"/>
          <w:szCs w:val="28"/>
          <w:lang w:val="ro-MD"/>
        </w:rPr>
        <w:t>atestă</w:t>
      </w:r>
      <w:r w:rsidRPr="002751FC">
        <w:rPr>
          <w:rFonts w:asciiTheme="majorHAnsi" w:hAnsiTheme="majorHAnsi" w:cstheme="majorHAnsi"/>
          <w:sz w:val="28"/>
          <w:szCs w:val="28"/>
          <w:lang w:val="ro-MD"/>
        </w:rPr>
        <w:t xml:space="preserve"> că, deși unii indicatori nu au fost realizați la nivelul scontat, acesta au înregistrat o creștere </w:t>
      </w:r>
      <w:r w:rsidRPr="002751FC">
        <w:rPr>
          <w:rFonts w:asciiTheme="majorHAnsi" w:hAnsiTheme="majorHAnsi" w:cstheme="majorHAnsi"/>
          <w:sz w:val="28"/>
          <w:szCs w:val="28"/>
          <w:lang w:val="ro-MD"/>
        </w:rPr>
        <w:lastRenderedPageBreak/>
        <w:t>față de indicatorul realizat în anul precedent. Astfel, „Exportul vinurilor îmbuteliate” a crescut cu 2,5%, iar „Raportul vin în vra</w:t>
      </w:r>
      <w:r w:rsidR="00BF3925" w:rsidRPr="002751FC">
        <w:rPr>
          <w:rFonts w:asciiTheme="majorHAnsi" w:hAnsiTheme="majorHAnsi" w:cstheme="majorHAnsi"/>
          <w:sz w:val="28"/>
          <w:szCs w:val="28"/>
          <w:lang w:val="ro-MD"/>
        </w:rPr>
        <w:t>c</w:t>
      </w:r>
      <w:r w:rsidRPr="002751FC">
        <w:rPr>
          <w:rFonts w:asciiTheme="majorHAnsi" w:hAnsiTheme="majorHAnsi" w:cstheme="majorHAnsi"/>
          <w:sz w:val="28"/>
          <w:szCs w:val="28"/>
          <w:lang w:val="ro-MD"/>
        </w:rPr>
        <w:t xml:space="preserve">/vin </w:t>
      </w:r>
      <w:r w:rsidR="00BF3925" w:rsidRPr="002751FC">
        <w:rPr>
          <w:rFonts w:asciiTheme="majorHAnsi" w:hAnsiTheme="majorHAnsi" w:cstheme="majorHAnsi"/>
          <w:sz w:val="28"/>
          <w:szCs w:val="28"/>
          <w:lang w:val="ro-MD"/>
        </w:rPr>
        <w:t xml:space="preserve">îmbuteliat la export” </w:t>
      </w:r>
      <w:r w:rsidR="00BC16EA" w:rsidRPr="002751FC">
        <w:rPr>
          <w:rFonts w:asciiTheme="majorHAnsi" w:hAnsiTheme="majorHAnsi" w:cstheme="majorHAnsi"/>
          <w:sz w:val="28"/>
          <w:szCs w:val="28"/>
          <w:lang w:val="ro-MD"/>
        </w:rPr>
        <w:t xml:space="preserve">– </w:t>
      </w:r>
      <w:r w:rsidR="00BF3925" w:rsidRPr="002751FC">
        <w:rPr>
          <w:rFonts w:asciiTheme="majorHAnsi" w:hAnsiTheme="majorHAnsi" w:cstheme="majorHAnsi"/>
          <w:sz w:val="28"/>
          <w:szCs w:val="28"/>
          <w:lang w:val="ro-MD"/>
        </w:rPr>
        <w:t>cu 2%</w:t>
      </w:r>
      <w:r w:rsidRPr="002751FC">
        <w:rPr>
          <w:rFonts w:asciiTheme="majorHAnsi" w:hAnsiTheme="majorHAnsi" w:cstheme="majorHAnsi"/>
          <w:sz w:val="28"/>
          <w:szCs w:val="28"/>
          <w:lang w:val="ro-MD"/>
        </w:rPr>
        <w:t>.</w:t>
      </w:r>
    </w:p>
    <w:p w:rsidR="002B0C1F" w:rsidRPr="002751FC" w:rsidRDefault="002B0C1F" w:rsidP="00243401">
      <w:pPr>
        <w:spacing w:after="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Nerealizarea țintelor stabilite în Planul </w:t>
      </w:r>
      <w:r w:rsidR="00262235">
        <w:rPr>
          <w:rFonts w:asciiTheme="majorHAnsi" w:hAnsiTheme="majorHAnsi" w:cstheme="majorHAnsi"/>
          <w:sz w:val="28"/>
          <w:szCs w:val="28"/>
          <w:lang w:val="ro-MD"/>
        </w:rPr>
        <w:t>S</w:t>
      </w:r>
      <w:r w:rsidRPr="002751FC">
        <w:rPr>
          <w:rFonts w:asciiTheme="majorHAnsi" w:hAnsiTheme="majorHAnsi" w:cstheme="majorHAnsi"/>
          <w:sz w:val="28"/>
          <w:szCs w:val="28"/>
          <w:lang w:val="ro-MD"/>
        </w:rPr>
        <w:t>trategic denotă necesitatea fortificării eforturilor în promovarea produselor vinicole pe piețele</w:t>
      </w:r>
      <w:r w:rsidR="001825BE" w:rsidRPr="002751FC">
        <w:rPr>
          <w:rFonts w:asciiTheme="majorHAnsi" w:hAnsiTheme="majorHAnsi" w:cstheme="majorHAnsi"/>
          <w:sz w:val="28"/>
          <w:szCs w:val="28"/>
          <w:lang w:val="ro-MD"/>
        </w:rPr>
        <w:t xml:space="preserve"> externe, ceea ce va contribui </w:t>
      </w:r>
      <w:r w:rsidRPr="002751FC">
        <w:rPr>
          <w:rFonts w:asciiTheme="majorHAnsi" w:hAnsiTheme="majorHAnsi" w:cstheme="majorHAnsi"/>
          <w:sz w:val="28"/>
          <w:szCs w:val="28"/>
          <w:lang w:val="ro-MD"/>
        </w:rPr>
        <w:t>la creșterea veniturilor bugetului public național și la creșterea veniturilor FVV.</w:t>
      </w:r>
    </w:p>
    <w:p w:rsidR="00A62E0F" w:rsidRPr="002751FC" w:rsidRDefault="00A62E0F" w:rsidP="00243401">
      <w:pPr>
        <w:spacing w:after="0"/>
        <w:jc w:val="both"/>
        <w:rPr>
          <w:rFonts w:asciiTheme="majorHAnsi" w:hAnsiTheme="majorHAnsi" w:cstheme="majorHAnsi"/>
          <w:sz w:val="28"/>
          <w:szCs w:val="28"/>
          <w:lang w:val="ro-MD"/>
        </w:rPr>
      </w:pPr>
    </w:p>
    <w:p w:rsidR="002B0C1F" w:rsidRPr="002751FC" w:rsidRDefault="00262235" w:rsidP="00A62E0F">
      <w:pPr>
        <w:pStyle w:val="1"/>
        <w:numPr>
          <w:ilvl w:val="1"/>
          <w:numId w:val="24"/>
        </w:numPr>
        <w:spacing w:before="0"/>
        <w:rPr>
          <w:rFonts w:cstheme="majorHAnsi"/>
          <w:b/>
          <w:bCs/>
          <w:iCs/>
          <w:color w:val="auto"/>
          <w:sz w:val="28"/>
          <w:szCs w:val="28"/>
          <w:lang w:val="ro-MD"/>
        </w:rPr>
      </w:pPr>
      <w:bookmarkStart w:id="58" w:name="_Toc23259121"/>
      <w:r>
        <w:rPr>
          <w:rFonts w:cstheme="majorHAnsi"/>
          <w:b/>
          <w:bCs/>
          <w:iCs/>
          <w:color w:val="auto"/>
          <w:sz w:val="28"/>
          <w:szCs w:val="28"/>
          <w:lang w:val="ro-MD"/>
        </w:rPr>
        <w:t xml:space="preserve"> </w:t>
      </w:r>
      <w:r w:rsidR="002B0C1F" w:rsidRPr="002751FC">
        <w:rPr>
          <w:rFonts w:cstheme="majorHAnsi"/>
          <w:b/>
          <w:bCs/>
          <w:iCs/>
          <w:color w:val="auto"/>
          <w:sz w:val="28"/>
          <w:szCs w:val="28"/>
          <w:lang w:val="ro-MD"/>
        </w:rPr>
        <w:t>Alte informații</w:t>
      </w:r>
      <w:bookmarkEnd w:id="58"/>
    </w:p>
    <w:p w:rsidR="00A62E0F" w:rsidRPr="002751FC" w:rsidRDefault="00A62E0F" w:rsidP="00A62E0F">
      <w:pPr>
        <w:pStyle w:val="ac"/>
        <w:ind w:left="659"/>
        <w:rPr>
          <w:lang w:val="ro-MD"/>
        </w:rPr>
      </w:pPr>
    </w:p>
    <w:p w:rsidR="002B0C1F" w:rsidRPr="002751FC" w:rsidRDefault="002B0C1F" w:rsidP="00243401">
      <w:pPr>
        <w:pStyle w:val="1"/>
        <w:spacing w:before="0"/>
        <w:jc w:val="both"/>
        <w:rPr>
          <w:rFonts w:cstheme="majorHAnsi"/>
          <w:b/>
          <w:sz w:val="28"/>
          <w:szCs w:val="28"/>
          <w:lang w:val="ro-MD"/>
        </w:rPr>
      </w:pPr>
      <w:bookmarkStart w:id="59" w:name="_Toc23259122"/>
      <w:r w:rsidRPr="002751FC">
        <w:rPr>
          <w:rFonts w:cstheme="majorHAnsi"/>
          <w:b/>
          <w:color w:val="auto"/>
          <w:sz w:val="28"/>
          <w:szCs w:val="28"/>
          <w:lang w:val="ro-MD"/>
        </w:rPr>
        <w:t xml:space="preserve">4.7.1 ONVV </w:t>
      </w:r>
      <w:r w:rsidR="00CF13C7" w:rsidRPr="002751FC">
        <w:rPr>
          <w:rFonts w:cstheme="majorHAnsi"/>
          <w:b/>
          <w:color w:val="auto"/>
          <w:sz w:val="28"/>
          <w:szCs w:val="28"/>
          <w:lang w:val="ro-MD"/>
        </w:rPr>
        <w:t xml:space="preserve">a contabilizat </w:t>
      </w:r>
      <w:r w:rsidR="001E551F" w:rsidRPr="002751FC">
        <w:rPr>
          <w:rFonts w:cstheme="majorHAnsi"/>
          <w:b/>
          <w:color w:val="auto"/>
          <w:sz w:val="28"/>
          <w:szCs w:val="28"/>
          <w:lang w:val="ro-MD"/>
        </w:rPr>
        <w:t xml:space="preserve">neregulamentar </w:t>
      </w:r>
      <w:r w:rsidR="00D201FB" w:rsidRPr="002751FC">
        <w:rPr>
          <w:rFonts w:cstheme="majorHAnsi"/>
          <w:b/>
          <w:color w:val="auto"/>
          <w:sz w:val="28"/>
          <w:szCs w:val="28"/>
          <w:lang w:val="ro-MD"/>
        </w:rPr>
        <w:t>suportul financiar</w:t>
      </w:r>
      <w:r w:rsidRPr="002751FC">
        <w:rPr>
          <w:rFonts w:cstheme="majorHAnsi"/>
          <w:b/>
          <w:color w:val="auto"/>
          <w:sz w:val="28"/>
          <w:szCs w:val="28"/>
          <w:lang w:val="ro-MD"/>
        </w:rPr>
        <w:t xml:space="preserve"> acordat </w:t>
      </w:r>
      <w:r w:rsidR="00D201FB" w:rsidRPr="002751FC">
        <w:rPr>
          <w:rFonts w:cstheme="majorHAnsi"/>
          <w:b/>
          <w:color w:val="auto"/>
          <w:sz w:val="28"/>
          <w:szCs w:val="28"/>
          <w:lang w:val="ro-MD"/>
        </w:rPr>
        <w:t>instituţiilor de învăţământ şi de cercetare</w:t>
      </w:r>
      <w:r w:rsidRPr="002751FC">
        <w:rPr>
          <w:rFonts w:cstheme="majorHAnsi"/>
          <w:b/>
          <w:color w:val="auto"/>
          <w:sz w:val="28"/>
          <w:szCs w:val="28"/>
          <w:lang w:val="ro-MD"/>
        </w:rPr>
        <w:t xml:space="preserve"> din domeniul viticulturii</w:t>
      </w:r>
      <w:bookmarkEnd w:id="59"/>
    </w:p>
    <w:p w:rsidR="002B0C1F" w:rsidRPr="002751FC" w:rsidRDefault="002B0C1F" w:rsidP="00243401">
      <w:pPr>
        <w:spacing w:after="0"/>
        <w:rPr>
          <w:rFonts w:asciiTheme="majorHAnsi" w:hAnsiTheme="majorHAnsi" w:cstheme="majorHAnsi"/>
          <w:lang w:val="ro-MD"/>
        </w:rPr>
      </w:pPr>
    </w:p>
    <w:p w:rsidR="00CF3BC4" w:rsidRPr="002751FC" w:rsidRDefault="00CF3BC4" w:rsidP="00CF3BC4">
      <w:pPr>
        <w:jc w:val="both"/>
        <w:rPr>
          <w:rFonts w:asciiTheme="majorHAnsi" w:hAnsiTheme="majorHAnsi"/>
          <w:i/>
          <w:sz w:val="28"/>
          <w:szCs w:val="28"/>
          <w:lang w:val="ro-MD"/>
        </w:rPr>
      </w:pPr>
      <w:r w:rsidRPr="002751FC">
        <w:rPr>
          <w:rFonts w:asciiTheme="majorHAnsi" w:hAnsiTheme="majorHAnsi"/>
          <w:sz w:val="28"/>
          <w:szCs w:val="28"/>
          <w:lang w:val="ro-MD"/>
        </w:rPr>
        <w:t xml:space="preserve">Pe parcursul anului 2018, ONVV a procurat mijloace fixe şi consumabile pentru ramura vinicolă în valoare de circa </w:t>
      </w:r>
      <w:r w:rsidRPr="002751FC">
        <w:rPr>
          <w:rFonts w:asciiTheme="majorHAnsi" w:hAnsiTheme="majorHAnsi"/>
          <w:b/>
          <w:sz w:val="28"/>
          <w:szCs w:val="28"/>
          <w:lang w:val="ro-MD"/>
        </w:rPr>
        <w:t xml:space="preserve">0,6 </w:t>
      </w:r>
      <w:proofErr w:type="spellStart"/>
      <w:r w:rsidRPr="002751FC">
        <w:rPr>
          <w:rFonts w:asciiTheme="majorHAnsi" w:hAnsiTheme="majorHAnsi"/>
          <w:b/>
          <w:sz w:val="28"/>
          <w:szCs w:val="28"/>
          <w:lang w:val="ro-MD"/>
        </w:rPr>
        <w:t>mil.MDL</w:t>
      </w:r>
      <w:proofErr w:type="spellEnd"/>
      <w:r w:rsidRPr="002751FC">
        <w:rPr>
          <w:rFonts w:asciiTheme="majorHAnsi" w:hAnsiTheme="majorHAnsi"/>
          <w:sz w:val="28"/>
          <w:szCs w:val="28"/>
          <w:lang w:val="ro-MD"/>
        </w:rPr>
        <w:t>. De menționat că unele bunuri procurate sunt transmise în gestiune economică către terți (deținătorii loturilor demonstrative, laboratoarele LVCF și ISPHTA etc.) în baza contractelor de comodat, pentru o perioad</w:t>
      </w:r>
      <w:r w:rsidR="00262235">
        <w:rPr>
          <w:rFonts w:asciiTheme="majorHAnsi" w:hAnsiTheme="majorHAnsi"/>
          <w:sz w:val="28"/>
          <w:szCs w:val="28"/>
          <w:lang w:val="ro-MD"/>
        </w:rPr>
        <w:t>ă</w:t>
      </w:r>
      <w:r w:rsidRPr="002751FC">
        <w:rPr>
          <w:rFonts w:asciiTheme="majorHAnsi" w:hAnsiTheme="majorHAnsi"/>
          <w:sz w:val="28"/>
          <w:szCs w:val="28"/>
          <w:lang w:val="ro-MD"/>
        </w:rPr>
        <w:t xml:space="preserve"> de 5 ani, la expirarea termenului bunurile urmând a fi distribuite conform deciziei organelor de conducere a</w:t>
      </w:r>
      <w:r w:rsidR="00262235">
        <w:rPr>
          <w:rFonts w:asciiTheme="majorHAnsi" w:hAnsiTheme="majorHAnsi"/>
          <w:sz w:val="28"/>
          <w:szCs w:val="28"/>
          <w:lang w:val="ro-MD"/>
        </w:rPr>
        <w:t>le</w:t>
      </w:r>
      <w:r w:rsidRPr="002751FC">
        <w:rPr>
          <w:rFonts w:asciiTheme="majorHAnsi" w:hAnsiTheme="majorHAnsi"/>
          <w:sz w:val="28"/>
          <w:szCs w:val="28"/>
          <w:lang w:val="ro-MD"/>
        </w:rPr>
        <w:t xml:space="preserve"> </w:t>
      </w:r>
      <w:proofErr w:type="spellStart"/>
      <w:r w:rsidRPr="002751FC">
        <w:rPr>
          <w:rFonts w:asciiTheme="majorHAnsi" w:hAnsiTheme="majorHAnsi"/>
          <w:sz w:val="28"/>
          <w:szCs w:val="28"/>
          <w:lang w:val="ro-MD"/>
        </w:rPr>
        <w:t>com</w:t>
      </w:r>
      <w:r w:rsidR="00200D8B" w:rsidRPr="002751FC">
        <w:rPr>
          <w:rFonts w:asciiTheme="majorHAnsi" w:hAnsiTheme="majorHAnsi"/>
          <w:sz w:val="28"/>
          <w:szCs w:val="28"/>
          <w:lang w:val="ro-MD"/>
        </w:rPr>
        <w:t>a</w:t>
      </w:r>
      <w:r w:rsidRPr="002751FC">
        <w:rPr>
          <w:rFonts w:asciiTheme="majorHAnsi" w:hAnsiTheme="majorHAnsi"/>
          <w:sz w:val="28"/>
          <w:szCs w:val="28"/>
          <w:lang w:val="ro-MD"/>
        </w:rPr>
        <w:t>ndatarului</w:t>
      </w:r>
      <w:proofErr w:type="spellEnd"/>
      <w:r w:rsidRPr="002751FC">
        <w:rPr>
          <w:rFonts w:asciiTheme="majorHAnsi" w:hAnsiTheme="majorHAnsi"/>
          <w:sz w:val="28"/>
          <w:szCs w:val="28"/>
          <w:lang w:val="ro-MD"/>
        </w:rPr>
        <w:t>. De asemenea, conform acordului de colaborare privind implementarea proiectului „Struguri de calitate”</w:t>
      </w:r>
      <w:r w:rsidR="00436847" w:rsidRPr="002751FC">
        <w:rPr>
          <w:rFonts w:asciiTheme="majorHAnsi" w:hAnsiTheme="majorHAnsi"/>
          <w:sz w:val="28"/>
          <w:szCs w:val="28"/>
          <w:lang w:val="ro-MD"/>
        </w:rPr>
        <w:t>,</w:t>
      </w:r>
      <w:r w:rsidRPr="002751FC">
        <w:rPr>
          <w:rFonts w:asciiTheme="majorHAnsi" w:hAnsiTheme="majorHAnsi"/>
          <w:sz w:val="28"/>
          <w:szCs w:val="28"/>
          <w:lang w:val="ro-MD"/>
        </w:rPr>
        <w:t xml:space="preserve"> la expirarea termenului de valabilitate ori denunțarea </w:t>
      </w:r>
      <w:r w:rsidR="00262235">
        <w:rPr>
          <w:rFonts w:asciiTheme="majorHAnsi" w:hAnsiTheme="majorHAnsi"/>
          <w:sz w:val="28"/>
          <w:szCs w:val="28"/>
          <w:lang w:val="ro-MD"/>
        </w:rPr>
        <w:t>a</w:t>
      </w:r>
      <w:r w:rsidRPr="002751FC">
        <w:rPr>
          <w:rFonts w:asciiTheme="majorHAnsi" w:hAnsiTheme="majorHAnsi"/>
          <w:sz w:val="28"/>
          <w:szCs w:val="28"/>
          <w:lang w:val="ro-MD"/>
        </w:rPr>
        <w:t>cord</w:t>
      </w:r>
      <w:r w:rsidR="00262235">
        <w:rPr>
          <w:rFonts w:asciiTheme="majorHAnsi" w:hAnsiTheme="majorHAnsi"/>
          <w:sz w:val="28"/>
          <w:szCs w:val="28"/>
          <w:lang w:val="ro-MD"/>
        </w:rPr>
        <w:t>ului</w:t>
      </w:r>
      <w:r w:rsidRPr="002751FC">
        <w:rPr>
          <w:rFonts w:asciiTheme="majorHAnsi" w:hAnsiTheme="majorHAnsi"/>
          <w:sz w:val="28"/>
          <w:szCs w:val="28"/>
          <w:lang w:val="ro-MD"/>
        </w:rPr>
        <w:t xml:space="preserve">, soarta bunurilor, investițiilor (cheltuielilor), care au fost puse la dispoziție, </w:t>
      </w:r>
      <w:r w:rsidR="00DE1E76">
        <w:rPr>
          <w:rFonts w:asciiTheme="majorHAnsi" w:hAnsiTheme="majorHAnsi"/>
          <w:sz w:val="28"/>
          <w:szCs w:val="28"/>
          <w:lang w:val="ro-MD"/>
        </w:rPr>
        <w:t xml:space="preserve">urma </w:t>
      </w:r>
      <w:r w:rsidRPr="002751FC">
        <w:rPr>
          <w:rFonts w:asciiTheme="majorHAnsi" w:hAnsiTheme="majorHAnsi"/>
          <w:sz w:val="28"/>
          <w:szCs w:val="28"/>
          <w:lang w:val="ro-MD"/>
        </w:rPr>
        <w:t>a fi reglementată de acorduri separate semnate de părți. Probele de audit denotă că bunurile transmise în comodat constituie bunuri necesare pentru crearea loturilor demonstrative și</w:t>
      </w:r>
      <w:r w:rsidR="00F242D4" w:rsidRPr="002751FC">
        <w:rPr>
          <w:rFonts w:asciiTheme="majorHAnsi" w:hAnsiTheme="majorHAnsi"/>
          <w:sz w:val="28"/>
          <w:szCs w:val="28"/>
          <w:lang w:val="ro-MD"/>
        </w:rPr>
        <w:t>,</w:t>
      </w:r>
      <w:r w:rsidRPr="002751FC">
        <w:rPr>
          <w:rFonts w:asciiTheme="majorHAnsi" w:hAnsiTheme="majorHAnsi"/>
          <w:sz w:val="28"/>
          <w:szCs w:val="28"/>
          <w:lang w:val="ro-MD"/>
        </w:rPr>
        <w:t xml:space="preserve"> în mare parte</w:t>
      </w:r>
      <w:r w:rsidR="00F242D4" w:rsidRPr="002751FC">
        <w:rPr>
          <w:rFonts w:asciiTheme="majorHAnsi" w:hAnsiTheme="majorHAnsi"/>
          <w:sz w:val="28"/>
          <w:szCs w:val="28"/>
          <w:lang w:val="ro-MD"/>
        </w:rPr>
        <w:t>,</w:t>
      </w:r>
      <w:r w:rsidRPr="002751FC">
        <w:rPr>
          <w:rFonts w:asciiTheme="majorHAnsi" w:hAnsiTheme="majorHAnsi"/>
          <w:sz w:val="28"/>
          <w:szCs w:val="28"/>
          <w:lang w:val="ro-MD"/>
        </w:rPr>
        <w:t xml:space="preserve"> nu pot fi restituite la expirarea termenului de comodat</w:t>
      </w:r>
      <w:r w:rsidRPr="002751FC">
        <w:rPr>
          <w:rStyle w:val="ab"/>
          <w:rFonts w:asciiTheme="majorHAnsi" w:hAnsiTheme="majorHAnsi"/>
          <w:sz w:val="28"/>
          <w:szCs w:val="28"/>
          <w:lang w:val="ro-MD"/>
        </w:rPr>
        <w:footnoteReference w:id="127"/>
      </w:r>
      <w:r w:rsidRPr="002751FC">
        <w:rPr>
          <w:rFonts w:asciiTheme="majorHAnsi" w:hAnsiTheme="majorHAnsi"/>
          <w:sz w:val="28"/>
          <w:szCs w:val="28"/>
          <w:lang w:val="ro-MD"/>
        </w:rPr>
        <w:t xml:space="preserve">. </w:t>
      </w:r>
      <w:r w:rsidRPr="002751FC">
        <w:rPr>
          <w:rFonts w:asciiTheme="majorHAnsi" w:hAnsiTheme="majorHAnsi"/>
          <w:i/>
          <w:sz w:val="28"/>
          <w:szCs w:val="28"/>
          <w:lang w:val="ro-MD"/>
        </w:rPr>
        <w:t>Situația se prezintă în Anexa nr.</w:t>
      </w:r>
      <w:r w:rsidR="00D1679A" w:rsidRPr="002751FC">
        <w:rPr>
          <w:rFonts w:asciiTheme="majorHAnsi" w:hAnsiTheme="majorHAnsi"/>
          <w:i/>
          <w:sz w:val="28"/>
          <w:szCs w:val="28"/>
          <w:lang w:val="ro-MD"/>
        </w:rPr>
        <w:t>6</w:t>
      </w:r>
      <w:r w:rsidRPr="002751FC">
        <w:rPr>
          <w:rFonts w:asciiTheme="majorHAnsi" w:hAnsiTheme="majorHAnsi"/>
          <w:i/>
          <w:sz w:val="28"/>
          <w:szCs w:val="28"/>
          <w:lang w:val="ro-MD"/>
        </w:rPr>
        <w:t xml:space="preserve"> la prezentul Raport de audit.</w:t>
      </w:r>
    </w:p>
    <w:p w:rsidR="00CF3BC4" w:rsidRPr="002751FC" w:rsidRDefault="00CF3BC4" w:rsidP="00CF3BC4">
      <w:pPr>
        <w:jc w:val="both"/>
        <w:rPr>
          <w:rFonts w:asciiTheme="majorHAnsi" w:hAnsiTheme="majorHAnsi"/>
          <w:sz w:val="28"/>
          <w:szCs w:val="28"/>
          <w:lang w:val="ro-MD"/>
        </w:rPr>
      </w:pPr>
      <w:r w:rsidRPr="002751FC">
        <w:rPr>
          <w:rFonts w:asciiTheme="majorHAnsi" w:hAnsiTheme="majorHAnsi"/>
          <w:sz w:val="28"/>
          <w:szCs w:val="28"/>
          <w:lang w:val="ro-MD"/>
        </w:rPr>
        <w:t xml:space="preserve">De menționat că ONVV nu are un Regulament (proceduri scrise) prin care să fie stabilite cerințele și criteriile de selectare a </w:t>
      </w:r>
      <w:r w:rsidR="00684DA0" w:rsidRPr="002751FC">
        <w:rPr>
          <w:rFonts w:asciiTheme="majorHAnsi" w:hAnsiTheme="majorHAnsi"/>
          <w:sz w:val="28"/>
          <w:szCs w:val="28"/>
          <w:lang w:val="ro-MD"/>
        </w:rPr>
        <w:t>i</w:t>
      </w:r>
      <w:r w:rsidR="007B2D3E" w:rsidRPr="002751FC">
        <w:rPr>
          <w:rFonts w:asciiTheme="majorHAnsi" w:hAnsiTheme="majorHAnsi"/>
          <w:sz w:val="28"/>
          <w:szCs w:val="28"/>
          <w:lang w:val="ro-MD"/>
        </w:rPr>
        <w:t>nstituţiilor de învăţământ</w:t>
      </w:r>
      <w:r w:rsidRPr="002751FC">
        <w:rPr>
          <w:rFonts w:asciiTheme="majorHAnsi" w:hAnsiTheme="majorHAnsi"/>
          <w:sz w:val="28"/>
          <w:szCs w:val="28"/>
          <w:lang w:val="ro-MD"/>
        </w:rPr>
        <w:t xml:space="preserve"> pe </w:t>
      </w:r>
      <w:r w:rsidR="00F242D4" w:rsidRPr="002751FC">
        <w:rPr>
          <w:rFonts w:asciiTheme="majorHAnsi" w:hAnsiTheme="majorHAnsi"/>
          <w:sz w:val="28"/>
          <w:szCs w:val="28"/>
          <w:lang w:val="ro-MD"/>
        </w:rPr>
        <w:t xml:space="preserve">ale căror </w:t>
      </w:r>
      <w:r w:rsidRPr="002751FC">
        <w:rPr>
          <w:rFonts w:asciiTheme="majorHAnsi" w:hAnsiTheme="majorHAnsi"/>
          <w:sz w:val="28"/>
          <w:szCs w:val="28"/>
          <w:lang w:val="ro-MD"/>
        </w:rPr>
        <w:t>loturi vor fi create loturi de teren demonstrative</w:t>
      </w:r>
      <w:r w:rsidR="007B2D3E" w:rsidRPr="002751FC">
        <w:rPr>
          <w:rFonts w:asciiTheme="majorHAnsi" w:hAnsiTheme="majorHAnsi"/>
          <w:sz w:val="28"/>
          <w:szCs w:val="28"/>
          <w:lang w:val="ro-MD"/>
        </w:rPr>
        <w:t xml:space="preserve"> și </w:t>
      </w:r>
      <w:r w:rsidR="00DE1E76">
        <w:rPr>
          <w:rFonts w:asciiTheme="majorHAnsi" w:hAnsiTheme="majorHAnsi"/>
          <w:sz w:val="28"/>
          <w:szCs w:val="28"/>
          <w:lang w:val="ro-MD"/>
        </w:rPr>
        <w:t xml:space="preserve">a </w:t>
      </w:r>
      <w:r w:rsidR="007B2D3E" w:rsidRPr="002751FC">
        <w:rPr>
          <w:rFonts w:asciiTheme="majorHAnsi" w:hAnsiTheme="majorHAnsi"/>
          <w:sz w:val="28"/>
          <w:szCs w:val="28"/>
          <w:lang w:val="ro-MD"/>
        </w:rPr>
        <w:t>instituțiilor de cercetare din domeniul vitivinicol care vor primi suportul respectiv</w:t>
      </w:r>
      <w:r w:rsidRPr="002751FC">
        <w:rPr>
          <w:rFonts w:asciiTheme="majorHAnsi" w:hAnsiTheme="majorHAnsi"/>
          <w:sz w:val="28"/>
          <w:szCs w:val="28"/>
          <w:lang w:val="ro-MD"/>
        </w:rPr>
        <w:t xml:space="preserve">. </w:t>
      </w:r>
    </w:p>
    <w:p w:rsidR="00CF3BC4" w:rsidRPr="002751FC" w:rsidRDefault="00CF3BC4" w:rsidP="00CF3BC4">
      <w:pPr>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Totodată, procurarea bunurilor (mijloace fixe, OMVSD) pentru loturi</w:t>
      </w:r>
      <w:r w:rsidR="00F242D4" w:rsidRPr="002751FC">
        <w:rPr>
          <w:rFonts w:asciiTheme="majorHAnsi" w:hAnsiTheme="majorHAnsi" w:cstheme="majorHAnsi"/>
          <w:sz w:val="28"/>
          <w:szCs w:val="28"/>
          <w:lang w:val="ro-MD"/>
        </w:rPr>
        <w:t>le</w:t>
      </w:r>
      <w:r w:rsidRPr="002751FC">
        <w:rPr>
          <w:rFonts w:asciiTheme="majorHAnsi" w:hAnsiTheme="majorHAnsi" w:cstheme="majorHAnsi"/>
          <w:sz w:val="28"/>
          <w:szCs w:val="28"/>
          <w:lang w:val="ro-MD"/>
        </w:rPr>
        <w:t xml:space="preserve"> de teren demonstrative, inclusiv pentru </w:t>
      </w:r>
      <w:r w:rsidR="00D71A55" w:rsidRPr="002751FC">
        <w:rPr>
          <w:rFonts w:asciiTheme="majorHAnsi" w:hAnsiTheme="majorHAnsi" w:cstheme="majorHAnsi"/>
          <w:sz w:val="28"/>
          <w:szCs w:val="28"/>
          <w:lang w:val="ro-MD"/>
        </w:rPr>
        <w:t>laboratoarele</w:t>
      </w:r>
      <w:r w:rsidRPr="002751FC">
        <w:rPr>
          <w:rFonts w:asciiTheme="majorHAnsi" w:hAnsiTheme="majorHAnsi" w:cstheme="majorHAnsi"/>
          <w:sz w:val="28"/>
          <w:szCs w:val="28"/>
          <w:lang w:val="ro-MD"/>
        </w:rPr>
        <w:t xml:space="preserve"> LVCF și ISPHTA, reprezintă o formă de </w:t>
      </w:r>
      <w:r w:rsidR="000D7702" w:rsidRPr="002751FC">
        <w:rPr>
          <w:rFonts w:asciiTheme="majorHAnsi" w:hAnsiTheme="majorHAnsi" w:cstheme="majorHAnsi"/>
          <w:sz w:val="28"/>
          <w:szCs w:val="28"/>
          <w:lang w:val="ro-MD"/>
        </w:rPr>
        <w:t>suport</w:t>
      </w:r>
      <w:r w:rsidRPr="002751FC">
        <w:rPr>
          <w:rFonts w:asciiTheme="majorHAnsi" w:hAnsiTheme="majorHAnsi" w:cstheme="majorHAnsi"/>
          <w:sz w:val="28"/>
          <w:szCs w:val="28"/>
          <w:lang w:val="ro-MD"/>
        </w:rPr>
        <w:t xml:space="preserve"> în formă naturală, urmând a fi </w:t>
      </w:r>
      <w:r w:rsidR="00D71A55" w:rsidRPr="002751FC">
        <w:rPr>
          <w:rFonts w:asciiTheme="majorHAnsi" w:hAnsiTheme="majorHAnsi" w:cstheme="majorHAnsi"/>
          <w:sz w:val="28"/>
          <w:szCs w:val="28"/>
          <w:lang w:val="ro-MD"/>
        </w:rPr>
        <w:t>întocmite</w:t>
      </w:r>
      <w:r w:rsidRPr="002751FC">
        <w:rPr>
          <w:rFonts w:asciiTheme="majorHAnsi" w:hAnsiTheme="majorHAnsi" w:cstheme="majorHAnsi"/>
          <w:sz w:val="28"/>
          <w:szCs w:val="28"/>
          <w:lang w:val="ro-MD"/>
        </w:rPr>
        <w:t xml:space="preserve"> actele de primire-predare respective, iar cheltuielile suportate </w:t>
      </w:r>
      <w:r w:rsidR="00F242D4"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trec</w:t>
      </w:r>
      <w:r w:rsidR="00223C30" w:rsidRPr="002751FC">
        <w:rPr>
          <w:rFonts w:asciiTheme="majorHAnsi" w:hAnsiTheme="majorHAnsi" w:cstheme="majorHAnsi"/>
          <w:sz w:val="28"/>
          <w:szCs w:val="28"/>
          <w:lang w:val="ro-MD"/>
        </w:rPr>
        <w:t>ute la cheltuielile perioadei.</w:t>
      </w:r>
    </w:p>
    <w:p w:rsidR="002B0C1F" w:rsidRPr="002751FC" w:rsidRDefault="002B0C1F" w:rsidP="00243401">
      <w:pPr>
        <w:spacing w:after="0"/>
        <w:jc w:val="both"/>
        <w:rPr>
          <w:rFonts w:asciiTheme="majorHAnsi" w:hAnsiTheme="majorHAnsi" w:cstheme="majorHAnsi"/>
          <w:sz w:val="20"/>
          <w:szCs w:val="20"/>
          <w:lang w:val="ro-MD"/>
        </w:rPr>
      </w:pPr>
    </w:p>
    <w:p w:rsidR="00CF13C7" w:rsidRPr="002751FC" w:rsidRDefault="002B0C1F" w:rsidP="00243401">
      <w:pPr>
        <w:pStyle w:val="1"/>
        <w:spacing w:before="0"/>
        <w:rPr>
          <w:rFonts w:cstheme="majorHAnsi"/>
          <w:b/>
          <w:color w:val="auto"/>
          <w:sz w:val="28"/>
          <w:szCs w:val="28"/>
          <w:lang w:val="ro-MD"/>
        </w:rPr>
      </w:pPr>
      <w:bookmarkStart w:id="60" w:name="_Toc23259123"/>
      <w:r w:rsidRPr="002751FC">
        <w:rPr>
          <w:rFonts w:cstheme="majorHAnsi"/>
          <w:b/>
          <w:color w:val="auto"/>
          <w:sz w:val="28"/>
          <w:szCs w:val="28"/>
          <w:lang w:val="ro-MD"/>
        </w:rPr>
        <w:lastRenderedPageBreak/>
        <w:t>4.7.2.</w:t>
      </w:r>
      <w:r w:rsidRPr="002751FC">
        <w:rPr>
          <w:rFonts w:cstheme="majorHAnsi"/>
          <w:color w:val="auto"/>
          <w:sz w:val="28"/>
          <w:szCs w:val="28"/>
          <w:lang w:val="ro-MD"/>
        </w:rPr>
        <w:t xml:space="preserve"> </w:t>
      </w:r>
      <w:r w:rsidRPr="002751FC">
        <w:rPr>
          <w:rFonts w:cstheme="majorHAnsi"/>
          <w:b/>
          <w:color w:val="auto"/>
          <w:sz w:val="28"/>
          <w:szCs w:val="28"/>
          <w:lang w:val="ro-MD"/>
        </w:rPr>
        <w:t>ONVV nu plasează Rapoartele anu</w:t>
      </w:r>
      <w:r w:rsidR="001E551F" w:rsidRPr="002751FC">
        <w:rPr>
          <w:rFonts w:cstheme="majorHAnsi"/>
          <w:b/>
          <w:color w:val="auto"/>
          <w:sz w:val="28"/>
          <w:szCs w:val="28"/>
          <w:lang w:val="ro-MD"/>
        </w:rPr>
        <w:t>a</w:t>
      </w:r>
      <w:r w:rsidRPr="002751FC">
        <w:rPr>
          <w:rFonts w:cstheme="majorHAnsi"/>
          <w:b/>
          <w:color w:val="auto"/>
          <w:sz w:val="28"/>
          <w:szCs w:val="28"/>
          <w:lang w:val="ro-MD"/>
        </w:rPr>
        <w:t>le pe pagina web</w:t>
      </w:r>
      <w:bookmarkEnd w:id="60"/>
    </w:p>
    <w:p w:rsidR="002B0C1F" w:rsidRPr="002751FC" w:rsidRDefault="002B0C1F" w:rsidP="00243401">
      <w:pPr>
        <w:pStyle w:val="1"/>
        <w:spacing w:before="0"/>
        <w:rPr>
          <w:rFonts w:cstheme="majorHAnsi"/>
          <w:b/>
          <w:color w:val="auto"/>
          <w:sz w:val="20"/>
          <w:szCs w:val="20"/>
          <w:lang w:val="ro-MD"/>
        </w:rPr>
      </w:pPr>
    </w:p>
    <w:p w:rsidR="002B0C1F" w:rsidRPr="002751FC" w:rsidRDefault="004C2261" w:rsidP="00243401">
      <w:pPr>
        <w:spacing w:after="0"/>
        <w:jc w:val="both"/>
        <w:rPr>
          <w:rFonts w:asciiTheme="majorHAnsi" w:hAnsiTheme="majorHAnsi" w:cstheme="majorHAnsi"/>
          <w:sz w:val="28"/>
          <w:szCs w:val="28"/>
          <w:shd w:val="clear" w:color="auto" w:fill="FFFFFF"/>
          <w:lang w:val="ro-MD"/>
        </w:rPr>
      </w:pPr>
      <w:r w:rsidRPr="002751FC">
        <w:rPr>
          <w:rFonts w:asciiTheme="majorHAnsi" w:hAnsiTheme="majorHAnsi" w:cstheme="majorHAnsi"/>
          <w:sz w:val="28"/>
          <w:szCs w:val="28"/>
          <w:lang w:val="ro-MD"/>
        </w:rPr>
        <w:t>Deşi</w:t>
      </w:r>
      <w:r w:rsidR="002B0C1F" w:rsidRPr="002751FC">
        <w:rPr>
          <w:rFonts w:asciiTheme="majorHAnsi" w:hAnsiTheme="majorHAnsi" w:cstheme="majorHAnsi"/>
          <w:sz w:val="28"/>
          <w:szCs w:val="28"/>
          <w:lang w:val="ro-MD"/>
        </w:rPr>
        <w:t xml:space="preserve"> pct.11 din Regulamentul FVV stipulează că d</w:t>
      </w:r>
      <w:r w:rsidR="002B0C1F" w:rsidRPr="002751FC">
        <w:rPr>
          <w:rFonts w:asciiTheme="majorHAnsi" w:hAnsiTheme="majorHAnsi" w:cstheme="majorHAnsi"/>
          <w:sz w:val="28"/>
          <w:szCs w:val="28"/>
          <w:shd w:val="clear" w:color="auto" w:fill="FFFFFF"/>
          <w:lang w:val="ro-MD"/>
        </w:rPr>
        <w:t xml:space="preserve">area de seamă anuală </w:t>
      </w:r>
      <w:r w:rsidR="00F242D4" w:rsidRPr="002751FC">
        <w:rPr>
          <w:rFonts w:asciiTheme="majorHAnsi" w:hAnsiTheme="majorHAnsi" w:cstheme="majorHAnsi"/>
          <w:sz w:val="28"/>
          <w:szCs w:val="28"/>
          <w:shd w:val="clear" w:color="auto" w:fill="FFFFFF"/>
          <w:lang w:val="ro-MD"/>
        </w:rPr>
        <w:t>a</w:t>
      </w:r>
      <w:r w:rsidR="002B0C1F" w:rsidRPr="002751FC">
        <w:rPr>
          <w:rFonts w:asciiTheme="majorHAnsi" w:hAnsiTheme="majorHAnsi" w:cstheme="majorHAnsi"/>
          <w:sz w:val="28"/>
          <w:szCs w:val="28"/>
          <w:shd w:val="clear" w:color="auto" w:fill="FFFFFF"/>
          <w:lang w:val="ro-MD"/>
        </w:rPr>
        <w:t xml:space="preserve"> ONVV se plasează pe pagina web a Oficiului</w:t>
      </w:r>
      <w:r w:rsidR="002B0C1F" w:rsidRPr="002751FC">
        <w:rPr>
          <w:rStyle w:val="ab"/>
          <w:rFonts w:asciiTheme="majorHAnsi" w:hAnsiTheme="majorHAnsi" w:cstheme="majorHAnsi"/>
          <w:sz w:val="28"/>
          <w:szCs w:val="28"/>
          <w:shd w:val="clear" w:color="auto" w:fill="FFFFFF"/>
          <w:lang w:val="ro-MD"/>
        </w:rPr>
        <w:footnoteReference w:id="128"/>
      </w:r>
      <w:r w:rsidR="002B0C1F" w:rsidRPr="002751FC">
        <w:rPr>
          <w:rFonts w:asciiTheme="majorHAnsi" w:hAnsiTheme="majorHAnsi" w:cstheme="majorHAnsi"/>
          <w:sz w:val="28"/>
          <w:szCs w:val="28"/>
          <w:shd w:val="clear" w:color="auto" w:fill="FFFFFF"/>
          <w:lang w:val="ro-MD"/>
        </w:rPr>
        <w:t>, aceasta nu a fost plasată nici o dată. Conform explicațiilor responsabililor de la ONVV, actualul sit</w:t>
      </w:r>
      <w:r w:rsidR="00F242D4" w:rsidRPr="002751FC">
        <w:rPr>
          <w:rFonts w:asciiTheme="majorHAnsi" w:hAnsiTheme="majorHAnsi" w:cstheme="majorHAnsi"/>
          <w:sz w:val="28"/>
          <w:szCs w:val="28"/>
          <w:shd w:val="clear" w:color="auto" w:fill="FFFFFF"/>
          <w:lang w:val="ro-MD"/>
        </w:rPr>
        <w:t>e</w:t>
      </w:r>
      <w:r w:rsidR="002B0C1F" w:rsidRPr="002751FC">
        <w:rPr>
          <w:rFonts w:asciiTheme="majorHAnsi" w:hAnsiTheme="majorHAnsi" w:cstheme="majorHAnsi"/>
          <w:sz w:val="28"/>
          <w:szCs w:val="28"/>
          <w:shd w:val="clear" w:color="auto" w:fill="FFFFFF"/>
          <w:lang w:val="ro-MD"/>
        </w:rPr>
        <w:t xml:space="preserve"> este unul neflexibil </w:t>
      </w:r>
      <w:r w:rsidRPr="002751FC">
        <w:rPr>
          <w:rFonts w:asciiTheme="majorHAnsi" w:hAnsiTheme="majorHAnsi" w:cstheme="majorHAnsi"/>
          <w:sz w:val="28"/>
          <w:szCs w:val="28"/>
          <w:shd w:val="clear" w:color="auto" w:fill="FFFFFF"/>
          <w:lang w:val="ro-MD"/>
        </w:rPr>
        <w:t>ş</w:t>
      </w:r>
      <w:r w:rsidR="002B0C1F" w:rsidRPr="002751FC">
        <w:rPr>
          <w:rFonts w:asciiTheme="majorHAnsi" w:hAnsiTheme="majorHAnsi" w:cstheme="majorHAnsi"/>
          <w:sz w:val="28"/>
          <w:szCs w:val="28"/>
          <w:shd w:val="clear" w:color="auto" w:fill="FFFFFF"/>
          <w:lang w:val="ro-MD"/>
        </w:rPr>
        <w:t xml:space="preserve">i limitat doar la unele informații generale aferente domeniului viticulturii. </w:t>
      </w:r>
    </w:p>
    <w:p w:rsidR="002B0C1F" w:rsidRPr="002751FC" w:rsidRDefault="002B0C1F" w:rsidP="002B0C1F">
      <w:pPr>
        <w:rPr>
          <w:rFonts w:asciiTheme="majorHAnsi" w:hAnsiTheme="majorHAnsi" w:cstheme="majorHAnsi"/>
          <w:sz w:val="28"/>
          <w:szCs w:val="28"/>
          <w:lang w:val="ro-MD"/>
        </w:rPr>
      </w:pPr>
    </w:p>
    <w:p w:rsidR="002B0C1F" w:rsidRPr="002751FC" w:rsidRDefault="002B0C1F" w:rsidP="002B0C1F">
      <w:pPr>
        <w:pStyle w:val="1"/>
        <w:spacing w:before="120"/>
        <w:jc w:val="center"/>
        <w:rPr>
          <w:rFonts w:eastAsia="Times New Roman" w:cstheme="majorHAnsi"/>
          <w:b/>
          <w:color w:val="auto"/>
          <w:sz w:val="28"/>
          <w:szCs w:val="28"/>
          <w:lang w:val="ro-MD"/>
        </w:rPr>
      </w:pPr>
      <w:bookmarkStart w:id="61" w:name="_Toc492893769"/>
      <w:bookmarkStart w:id="62" w:name="_Toc492899650"/>
      <w:bookmarkStart w:id="63" w:name="_Toc509412853"/>
      <w:bookmarkStart w:id="64" w:name="_Toc510185773"/>
      <w:bookmarkStart w:id="65" w:name="_Toc23259124"/>
      <w:r w:rsidRPr="002751FC">
        <w:rPr>
          <w:rFonts w:eastAsia="Times New Roman" w:cstheme="majorHAnsi"/>
          <w:b/>
          <w:color w:val="auto"/>
          <w:sz w:val="28"/>
          <w:szCs w:val="28"/>
          <w:lang w:val="ro-MD"/>
        </w:rPr>
        <w:t xml:space="preserve">V. </w:t>
      </w:r>
      <w:bookmarkEnd w:id="61"/>
      <w:bookmarkEnd w:id="62"/>
      <w:bookmarkEnd w:id="63"/>
      <w:bookmarkEnd w:id="64"/>
      <w:r w:rsidRPr="002751FC">
        <w:rPr>
          <w:rFonts w:cstheme="majorHAnsi"/>
          <w:b/>
          <w:color w:val="auto"/>
          <w:sz w:val="28"/>
          <w:szCs w:val="28"/>
          <w:lang w:val="ro-MD"/>
        </w:rPr>
        <w:t>CONCLUZIA</w:t>
      </w:r>
      <w:r w:rsidRPr="002751FC">
        <w:rPr>
          <w:rFonts w:eastAsia="Times New Roman" w:cstheme="majorHAnsi"/>
          <w:b/>
          <w:color w:val="auto"/>
          <w:sz w:val="28"/>
          <w:szCs w:val="28"/>
          <w:lang w:val="ro-MD"/>
        </w:rPr>
        <w:t xml:space="preserve"> GENERALĂ</w:t>
      </w:r>
      <w:bookmarkEnd w:id="65"/>
    </w:p>
    <w:p w:rsidR="00C81A77" w:rsidRPr="002751FC" w:rsidRDefault="00C81A77" w:rsidP="00C81A77">
      <w:pPr>
        <w:jc w:val="both"/>
        <w:rPr>
          <w:rFonts w:asciiTheme="majorHAnsi" w:hAnsiTheme="majorHAnsi" w:cstheme="majorHAnsi"/>
          <w:sz w:val="28"/>
          <w:szCs w:val="28"/>
          <w:lang w:val="ro-MD"/>
        </w:rPr>
      </w:pPr>
      <w:bookmarkStart w:id="66" w:name="_Toc492893770"/>
      <w:bookmarkStart w:id="67" w:name="_Toc492899651"/>
      <w:bookmarkStart w:id="68" w:name="_Toc509412857"/>
      <w:bookmarkStart w:id="69" w:name="_Toc510185775"/>
      <w:r w:rsidRPr="002751FC">
        <w:rPr>
          <w:rFonts w:asciiTheme="majorHAnsi" w:hAnsiTheme="majorHAnsi" w:cstheme="majorHAnsi"/>
          <w:sz w:val="28"/>
          <w:szCs w:val="28"/>
          <w:lang w:val="ro-MD"/>
        </w:rPr>
        <w:t>Deficiențele constatate de audit sunt</w:t>
      </w:r>
      <w:r w:rsidR="007031D4" w:rsidRPr="002751FC">
        <w:rPr>
          <w:rFonts w:asciiTheme="majorHAnsi" w:hAnsiTheme="majorHAnsi" w:cstheme="majorHAnsi"/>
          <w:sz w:val="28"/>
          <w:szCs w:val="28"/>
          <w:lang w:val="ro-MD"/>
        </w:rPr>
        <w:t>, în mare parte,</w:t>
      </w:r>
      <w:r w:rsidRPr="002751FC">
        <w:rPr>
          <w:rFonts w:asciiTheme="majorHAnsi" w:hAnsiTheme="majorHAnsi" w:cstheme="majorHAnsi"/>
          <w:sz w:val="28"/>
          <w:szCs w:val="28"/>
          <w:lang w:val="ro-MD"/>
        </w:rPr>
        <w:t xml:space="preserve"> </w:t>
      </w:r>
      <w:r w:rsidR="00DE1E76">
        <w:rPr>
          <w:rFonts w:asciiTheme="majorHAnsi" w:hAnsiTheme="majorHAnsi" w:cstheme="majorHAnsi"/>
          <w:sz w:val="28"/>
          <w:szCs w:val="28"/>
          <w:lang w:val="ro-MD"/>
        </w:rPr>
        <w:t>generate de</w:t>
      </w:r>
      <w:r w:rsidRPr="002751FC">
        <w:rPr>
          <w:rFonts w:asciiTheme="majorHAnsi" w:hAnsiTheme="majorHAnsi" w:cstheme="majorHAnsi"/>
          <w:sz w:val="28"/>
          <w:szCs w:val="28"/>
          <w:lang w:val="ro-MD"/>
        </w:rPr>
        <w:t xml:space="preserve"> neconcordanțel</w:t>
      </w:r>
      <w:r w:rsidR="00DE1E76">
        <w:rPr>
          <w:rFonts w:asciiTheme="majorHAnsi" w:hAnsiTheme="majorHAnsi" w:cstheme="majorHAnsi"/>
          <w:sz w:val="28"/>
          <w:szCs w:val="28"/>
          <w:lang w:val="ro-MD"/>
        </w:rPr>
        <w:t>e</w:t>
      </w:r>
      <w:r w:rsidRPr="002751FC">
        <w:rPr>
          <w:rFonts w:asciiTheme="majorHAnsi" w:hAnsiTheme="majorHAnsi" w:cstheme="majorHAnsi"/>
          <w:sz w:val="28"/>
          <w:szCs w:val="28"/>
          <w:lang w:val="ro-MD"/>
        </w:rPr>
        <w:t xml:space="preserve"> și vidul cadrul</w:t>
      </w:r>
      <w:r w:rsidR="00DE1E76">
        <w:rPr>
          <w:rFonts w:asciiTheme="majorHAnsi" w:hAnsiTheme="majorHAnsi" w:cstheme="majorHAnsi"/>
          <w:sz w:val="28"/>
          <w:szCs w:val="28"/>
          <w:lang w:val="ro-MD"/>
        </w:rPr>
        <w:t>ui</w:t>
      </w:r>
      <w:r w:rsidRPr="002751FC">
        <w:rPr>
          <w:rFonts w:asciiTheme="majorHAnsi" w:hAnsiTheme="majorHAnsi" w:cstheme="majorHAnsi"/>
          <w:sz w:val="28"/>
          <w:szCs w:val="28"/>
          <w:lang w:val="ro-MD"/>
        </w:rPr>
        <w:t xml:space="preserve"> regulator relevant, fiind necesară întreprinderea unor măsuri urgente de adaptare/armonizare a prevederil</w:t>
      </w:r>
      <w:r w:rsidR="00F461B5" w:rsidRPr="002751FC">
        <w:rPr>
          <w:rFonts w:asciiTheme="majorHAnsi" w:hAnsiTheme="majorHAnsi" w:cstheme="majorHAnsi"/>
          <w:sz w:val="28"/>
          <w:szCs w:val="28"/>
          <w:lang w:val="ro-MD"/>
        </w:rPr>
        <w:t xml:space="preserve">or acestora pentru gestionarea </w:t>
      </w:r>
      <w:r w:rsidR="00EA06B6" w:rsidRPr="002751FC">
        <w:rPr>
          <w:rFonts w:asciiTheme="majorHAnsi" w:hAnsiTheme="majorHAnsi" w:cstheme="majorHAnsi"/>
          <w:sz w:val="28"/>
          <w:szCs w:val="28"/>
          <w:lang w:val="ro-MD"/>
        </w:rPr>
        <w:t>conformă</w:t>
      </w:r>
      <w:r w:rsidRPr="002751FC">
        <w:rPr>
          <w:rFonts w:asciiTheme="majorHAnsi" w:hAnsiTheme="majorHAnsi" w:cstheme="majorHAnsi"/>
          <w:sz w:val="28"/>
          <w:szCs w:val="28"/>
          <w:lang w:val="ro-MD"/>
        </w:rPr>
        <w:t xml:space="preserve"> a resurselor alocate FVV și </w:t>
      </w:r>
      <w:r w:rsidR="007031D4" w:rsidRPr="002751FC">
        <w:rPr>
          <w:rFonts w:asciiTheme="majorHAnsi" w:hAnsiTheme="majorHAnsi" w:cstheme="majorHAnsi"/>
          <w:sz w:val="28"/>
          <w:szCs w:val="28"/>
          <w:lang w:val="ro-MD"/>
        </w:rPr>
        <w:t xml:space="preserve">a </w:t>
      </w:r>
      <w:r w:rsidRPr="002751FC">
        <w:rPr>
          <w:rFonts w:asciiTheme="majorHAnsi" w:hAnsiTheme="majorHAnsi" w:cstheme="majorHAnsi"/>
          <w:sz w:val="28"/>
          <w:szCs w:val="28"/>
          <w:lang w:val="ro-MD"/>
        </w:rPr>
        <w:t xml:space="preserve">cheltuielilor efectuate din acesta. </w:t>
      </w:r>
    </w:p>
    <w:p w:rsidR="00C81A77" w:rsidRPr="002751FC" w:rsidRDefault="00C81A77" w:rsidP="00C81A77">
      <w:pPr>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În acest sens</w:t>
      </w:r>
      <w:r w:rsidR="00F461B5"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este necesară revizuirea metodelor, mecanismelor și procedurilor aplicate pentru gestionarea mijloacelor FVV, inclusiv a mecanismului de gestionare, calculare, încasare și evidență a contribuțiilor în FVV. </w:t>
      </w:r>
    </w:p>
    <w:p w:rsidR="00C81A77" w:rsidRPr="002751FC" w:rsidRDefault="00C81A77" w:rsidP="00C81A77">
      <w:pPr>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Practicile aplicate de </w:t>
      </w:r>
      <w:r w:rsidR="00F461B5" w:rsidRPr="002751FC">
        <w:rPr>
          <w:rFonts w:asciiTheme="majorHAnsi" w:hAnsiTheme="majorHAnsi" w:cstheme="majorHAnsi"/>
          <w:sz w:val="28"/>
          <w:szCs w:val="28"/>
          <w:lang w:val="ro-MD"/>
        </w:rPr>
        <w:t>ONVV</w:t>
      </w:r>
      <w:r w:rsidR="007031D4" w:rsidRPr="002751FC">
        <w:rPr>
          <w:rFonts w:asciiTheme="majorHAnsi" w:hAnsiTheme="majorHAnsi" w:cstheme="majorHAnsi"/>
          <w:sz w:val="28"/>
          <w:szCs w:val="28"/>
          <w:lang w:val="ro-MD"/>
        </w:rPr>
        <w:t>,</w:t>
      </w:r>
      <w:r w:rsidR="00F461B5"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aferente elaborării, aprobării, modificării/rectificării și executării bugetului FVV</w:t>
      </w:r>
      <w:r w:rsidR="007031D4"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necesită o revizuire și formalizare b</w:t>
      </w:r>
      <w:r w:rsidR="00F242D4" w:rsidRPr="002751FC">
        <w:rPr>
          <w:rFonts w:asciiTheme="majorHAnsi" w:hAnsiTheme="majorHAnsi" w:cstheme="majorHAnsi"/>
          <w:sz w:val="28"/>
          <w:szCs w:val="28"/>
          <w:lang w:val="ro-MD"/>
        </w:rPr>
        <w:t>i</w:t>
      </w:r>
      <w:r w:rsidRPr="002751FC">
        <w:rPr>
          <w:rFonts w:asciiTheme="majorHAnsi" w:hAnsiTheme="majorHAnsi" w:cstheme="majorHAnsi"/>
          <w:sz w:val="28"/>
          <w:szCs w:val="28"/>
          <w:lang w:val="ro-MD"/>
        </w:rPr>
        <w:t>ne definite</w:t>
      </w:r>
      <w:r w:rsidR="00F242D4"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pentru a exclude pe viitor situațiile de realizare a activităților/măsurilor fără plan, depășirea limitelor de cheltuieli,</w:t>
      </w:r>
      <w:r w:rsidR="00F461B5" w:rsidRPr="002751FC">
        <w:rPr>
          <w:rFonts w:asciiTheme="majorHAnsi" w:hAnsiTheme="majorHAnsi" w:cstheme="majorHAnsi"/>
          <w:sz w:val="28"/>
          <w:szCs w:val="28"/>
          <w:lang w:val="ro-MD"/>
        </w:rPr>
        <w:t xml:space="preserve"> nerevizuire</w:t>
      </w:r>
      <w:r w:rsidRPr="002751FC">
        <w:rPr>
          <w:rFonts w:asciiTheme="majorHAnsi" w:hAnsiTheme="majorHAnsi" w:cstheme="majorHAnsi"/>
          <w:sz w:val="28"/>
          <w:szCs w:val="28"/>
          <w:lang w:val="ro-MD"/>
        </w:rPr>
        <w:t xml:space="preserve">a volumelor de cheltuieli urmare a transferului </w:t>
      </w:r>
      <w:r w:rsidR="007031D4" w:rsidRPr="002751FC">
        <w:rPr>
          <w:rFonts w:asciiTheme="majorHAnsi" w:hAnsiTheme="majorHAnsi" w:cstheme="majorHAnsi"/>
          <w:sz w:val="28"/>
          <w:szCs w:val="28"/>
          <w:lang w:val="ro-MD"/>
        </w:rPr>
        <w:t xml:space="preserve">privind </w:t>
      </w:r>
      <w:r w:rsidRPr="002751FC">
        <w:rPr>
          <w:rFonts w:asciiTheme="majorHAnsi" w:hAnsiTheme="majorHAnsi" w:cstheme="majorHAnsi"/>
          <w:sz w:val="28"/>
          <w:szCs w:val="28"/>
          <w:lang w:val="ro-MD"/>
        </w:rPr>
        <w:t>realiz</w:t>
      </w:r>
      <w:r w:rsidR="007031D4" w:rsidRPr="002751FC">
        <w:rPr>
          <w:rFonts w:asciiTheme="majorHAnsi" w:hAnsiTheme="majorHAnsi" w:cstheme="majorHAnsi"/>
          <w:sz w:val="28"/>
          <w:szCs w:val="28"/>
          <w:lang w:val="ro-MD"/>
        </w:rPr>
        <w:t>area</w:t>
      </w:r>
      <w:r w:rsidRPr="002751FC">
        <w:rPr>
          <w:rFonts w:asciiTheme="majorHAnsi" w:hAnsiTheme="majorHAnsi" w:cstheme="majorHAnsi"/>
          <w:sz w:val="28"/>
          <w:szCs w:val="28"/>
          <w:lang w:val="ro-MD"/>
        </w:rPr>
        <w:t xml:space="preserve"> măsurilor pentru anul bugetar următor. Lipsa unor proceduri formalizate și neaplicarea procedurilor de rectificare a bugetelor aprobate </w:t>
      </w:r>
      <w:r w:rsidR="00F461B5" w:rsidRPr="002751FC">
        <w:rPr>
          <w:rFonts w:asciiTheme="majorHAnsi" w:hAnsiTheme="majorHAnsi" w:cstheme="majorHAnsi"/>
          <w:sz w:val="28"/>
          <w:szCs w:val="28"/>
          <w:lang w:val="ro-MD"/>
        </w:rPr>
        <w:t xml:space="preserve">iniţial </w:t>
      </w:r>
      <w:r w:rsidRPr="002751FC">
        <w:rPr>
          <w:rFonts w:asciiTheme="majorHAnsi" w:hAnsiTheme="majorHAnsi" w:cstheme="majorHAnsi"/>
          <w:sz w:val="28"/>
          <w:szCs w:val="28"/>
          <w:lang w:val="ro-MD"/>
        </w:rPr>
        <w:t>a</w:t>
      </w:r>
      <w:r w:rsidR="00F242D4" w:rsidRPr="002751FC">
        <w:rPr>
          <w:rFonts w:asciiTheme="majorHAnsi" w:hAnsiTheme="majorHAnsi" w:cstheme="majorHAnsi"/>
          <w:sz w:val="28"/>
          <w:szCs w:val="28"/>
          <w:lang w:val="ro-MD"/>
        </w:rPr>
        <w:t>u</w:t>
      </w:r>
      <w:r w:rsidRPr="002751FC">
        <w:rPr>
          <w:rFonts w:asciiTheme="majorHAnsi" w:hAnsiTheme="majorHAnsi" w:cstheme="majorHAnsi"/>
          <w:sz w:val="28"/>
          <w:szCs w:val="28"/>
          <w:lang w:val="ro-MD"/>
        </w:rPr>
        <w:t xml:space="preserve"> influențat nivelul de realizare a bugetelor pentru anii respectivi. Astfe</w:t>
      </w:r>
      <w:r w:rsidR="00F461B5" w:rsidRPr="002751FC">
        <w:rPr>
          <w:rFonts w:asciiTheme="majorHAnsi" w:hAnsiTheme="majorHAnsi" w:cstheme="majorHAnsi"/>
          <w:sz w:val="28"/>
          <w:szCs w:val="28"/>
          <w:lang w:val="ro-MD"/>
        </w:rPr>
        <w:t xml:space="preserve">l, </w:t>
      </w:r>
      <w:r w:rsidR="00F242D4" w:rsidRPr="002751FC">
        <w:rPr>
          <w:rFonts w:asciiTheme="majorHAnsi" w:hAnsiTheme="majorHAnsi" w:cstheme="majorHAnsi"/>
          <w:sz w:val="28"/>
          <w:szCs w:val="28"/>
          <w:lang w:val="ro-MD"/>
        </w:rPr>
        <w:t>sunt</w:t>
      </w:r>
      <w:r w:rsidR="00F461B5" w:rsidRPr="002751FC">
        <w:rPr>
          <w:rFonts w:asciiTheme="majorHAnsi" w:hAnsiTheme="majorHAnsi" w:cstheme="majorHAnsi"/>
          <w:sz w:val="28"/>
          <w:szCs w:val="28"/>
          <w:lang w:val="ro-MD"/>
        </w:rPr>
        <w:t xml:space="preserve"> necesare îmbunătățiri </w:t>
      </w:r>
      <w:r w:rsidRPr="002751FC">
        <w:rPr>
          <w:rFonts w:asciiTheme="majorHAnsi" w:hAnsiTheme="majorHAnsi" w:cstheme="majorHAnsi"/>
          <w:sz w:val="28"/>
          <w:szCs w:val="28"/>
          <w:lang w:val="ro-MD"/>
        </w:rPr>
        <w:t>semnificative în procesul de gestionare a mijloacelor FVV la toate etapele: elaborare a bugetelor, aprobare/modificare, finanțare, executare, monitorizare etc.</w:t>
      </w:r>
    </w:p>
    <w:p w:rsidR="00C81A77" w:rsidRPr="002751FC" w:rsidRDefault="00C81A77" w:rsidP="00C81A77">
      <w:pPr>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Continuarea abordărilor de finanțare a ONVV în mărimea aloc</w:t>
      </w:r>
      <w:r w:rsidR="00F461B5" w:rsidRPr="002751FC">
        <w:rPr>
          <w:rFonts w:asciiTheme="majorHAnsi" w:hAnsiTheme="majorHAnsi" w:cstheme="majorHAnsi"/>
          <w:sz w:val="28"/>
          <w:szCs w:val="28"/>
          <w:lang w:val="ro-MD"/>
        </w:rPr>
        <w:t xml:space="preserve">ațiilor aprobate în bugetul de </w:t>
      </w:r>
      <w:r w:rsidRPr="002751FC">
        <w:rPr>
          <w:rFonts w:asciiTheme="majorHAnsi" w:hAnsiTheme="majorHAnsi" w:cstheme="majorHAnsi"/>
          <w:sz w:val="28"/>
          <w:szCs w:val="28"/>
          <w:lang w:val="ro-MD"/>
        </w:rPr>
        <w:t>stat va contribui la imobilizarea continu</w:t>
      </w:r>
      <w:r w:rsidR="00F461B5" w:rsidRPr="002751FC">
        <w:rPr>
          <w:rFonts w:asciiTheme="majorHAnsi" w:hAnsiTheme="majorHAnsi" w:cstheme="majorHAnsi"/>
          <w:sz w:val="28"/>
          <w:szCs w:val="28"/>
          <w:lang w:val="ro-MD"/>
        </w:rPr>
        <w:t>ă</w:t>
      </w:r>
      <w:r w:rsidRPr="002751FC">
        <w:rPr>
          <w:rFonts w:asciiTheme="majorHAnsi" w:hAnsiTheme="majorHAnsi" w:cstheme="majorHAnsi"/>
          <w:sz w:val="28"/>
          <w:szCs w:val="28"/>
          <w:lang w:val="ro-MD"/>
        </w:rPr>
        <w:t xml:space="preserve"> a mijloacelor financiare pe un termen nedeterminat,</w:t>
      </w:r>
      <w:r w:rsidRPr="002751FC">
        <w:rPr>
          <w:rFonts w:asciiTheme="majorHAnsi" w:hAnsiTheme="majorHAnsi" w:cstheme="majorHAnsi"/>
          <w:b/>
          <w:i/>
          <w:sz w:val="28"/>
          <w:szCs w:val="28"/>
          <w:lang w:val="ro-MD"/>
        </w:rPr>
        <w:t xml:space="preserve"> </w:t>
      </w:r>
      <w:r w:rsidRPr="002751FC">
        <w:rPr>
          <w:rFonts w:asciiTheme="majorHAnsi" w:hAnsiTheme="majorHAnsi" w:cstheme="majorHAnsi"/>
          <w:sz w:val="28"/>
          <w:szCs w:val="28"/>
          <w:lang w:val="ro-MD"/>
        </w:rPr>
        <w:t xml:space="preserve">acestea </w:t>
      </w:r>
      <w:r w:rsidR="00F461B5" w:rsidRPr="002751FC">
        <w:rPr>
          <w:rFonts w:asciiTheme="majorHAnsi" w:hAnsiTheme="majorHAnsi" w:cstheme="majorHAnsi"/>
          <w:sz w:val="28"/>
          <w:szCs w:val="28"/>
          <w:lang w:val="ro-MD"/>
        </w:rPr>
        <w:t>neputând</w:t>
      </w:r>
      <w:r w:rsidRPr="002751FC">
        <w:rPr>
          <w:rFonts w:asciiTheme="majorHAnsi" w:hAnsiTheme="majorHAnsi" w:cstheme="majorHAnsi"/>
          <w:sz w:val="28"/>
          <w:szCs w:val="28"/>
          <w:lang w:val="ro-MD"/>
        </w:rPr>
        <w:t xml:space="preserve"> fi redirecționate în alte scopuri </w:t>
      </w:r>
      <w:r w:rsidR="00F461B5" w:rsidRPr="002751FC">
        <w:rPr>
          <w:rFonts w:asciiTheme="majorHAnsi" w:hAnsiTheme="majorHAnsi" w:cstheme="majorHAnsi"/>
          <w:sz w:val="28"/>
          <w:szCs w:val="28"/>
          <w:lang w:val="ro-MD"/>
        </w:rPr>
        <w:t>stringente</w:t>
      </w:r>
      <w:r w:rsidRPr="002751FC">
        <w:rPr>
          <w:rFonts w:asciiTheme="majorHAnsi" w:hAnsiTheme="majorHAnsi" w:cstheme="majorHAnsi"/>
          <w:sz w:val="28"/>
          <w:szCs w:val="28"/>
          <w:lang w:val="ro-MD"/>
        </w:rPr>
        <w:t>, astfel fiind menținut</w:t>
      </w:r>
      <w:r w:rsidR="00F461B5" w:rsidRPr="002751FC">
        <w:rPr>
          <w:rFonts w:asciiTheme="majorHAnsi" w:hAnsiTheme="majorHAnsi" w:cstheme="majorHAnsi"/>
          <w:sz w:val="28"/>
          <w:szCs w:val="28"/>
          <w:lang w:val="ro-MD"/>
        </w:rPr>
        <w:t>ă</w:t>
      </w:r>
      <w:r w:rsidRPr="002751FC">
        <w:rPr>
          <w:rFonts w:asciiTheme="majorHAnsi" w:hAnsiTheme="majorHAnsi" w:cstheme="majorHAnsi"/>
          <w:sz w:val="28"/>
          <w:szCs w:val="28"/>
          <w:lang w:val="ro-MD"/>
        </w:rPr>
        <w:t xml:space="preserve"> practica acu</w:t>
      </w:r>
      <w:r w:rsidR="00F461B5" w:rsidRPr="002751FC">
        <w:rPr>
          <w:rFonts w:asciiTheme="majorHAnsi" w:hAnsiTheme="majorHAnsi" w:cstheme="majorHAnsi"/>
          <w:sz w:val="28"/>
          <w:szCs w:val="28"/>
          <w:lang w:val="ro-MD"/>
        </w:rPr>
        <w:t xml:space="preserve">mulării mijloacelor financiare </w:t>
      </w:r>
      <w:r w:rsidRPr="002751FC">
        <w:rPr>
          <w:rFonts w:asciiTheme="majorHAnsi" w:hAnsiTheme="majorHAnsi" w:cstheme="majorHAnsi"/>
          <w:sz w:val="28"/>
          <w:szCs w:val="28"/>
          <w:lang w:val="ro-MD"/>
        </w:rPr>
        <w:t>semnificative nevalorificate în conturile ONVV</w:t>
      </w:r>
      <w:r w:rsidR="00F461B5" w:rsidRPr="002751FC">
        <w:rPr>
          <w:rFonts w:asciiTheme="majorHAnsi" w:hAnsiTheme="majorHAnsi" w:cstheme="majorHAnsi"/>
          <w:sz w:val="28"/>
          <w:szCs w:val="28"/>
          <w:lang w:val="ro-MD"/>
        </w:rPr>
        <w:t>.</w:t>
      </w:r>
    </w:p>
    <w:p w:rsidR="00C81A77" w:rsidRPr="002751FC" w:rsidRDefault="00C81A77" w:rsidP="00C81A77">
      <w:pPr>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De asemenea</w:t>
      </w:r>
      <w:r w:rsidR="00F461B5"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este necesară revizuirea cadrului regulator aferent domeniului de salarizare a </w:t>
      </w:r>
      <w:r w:rsidR="00F461B5" w:rsidRPr="002751FC">
        <w:rPr>
          <w:rFonts w:asciiTheme="majorHAnsi" w:hAnsiTheme="majorHAnsi" w:cstheme="majorHAnsi"/>
          <w:sz w:val="28"/>
          <w:szCs w:val="28"/>
          <w:lang w:val="ro-MD"/>
        </w:rPr>
        <w:t xml:space="preserve">conducătorilor </w:t>
      </w:r>
      <w:r w:rsidRPr="002751FC">
        <w:rPr>
          <w:rFonts w:asciiTheme="majorHAnsi" w:hAnsiTheme="majorHAnsi" w:cstheme="majorHAnsi"/>
          <w:sz w:val="28"/>
          <w:szCs w:val="28"/>
          <w:lang w:val="ro-MD"/>
        </w:rPr>
        <w:t>instituțiilor publice la autogestiune</w:t>
      </w:r>
      <w:r w:rsidR="00F461B5" w:rsidRPr="002751FC">
        <w:rPr>
          <w:rFonts w:asciiTheme="majorHAnsi" w:hAnsiTheme="majorHAnsi" w:cstheme="majorHAnsi"/>
          <w:sz w:val="28"/>
          <w:szCs w:val="28"/>
          <w:lang w:val="ro-MD"/>
        </w:rPr>
        <w:t xml:space="preserve"> nemenționate în Anexa </w:t>
      </w:r>
      <w:r w:rsidRPr="002751FC">
        <w:rPr>
          <w:rFonts w:asciiTheme="majorHAnsi" w:hAnsiTheme="majorHAnsi" w:cstheme="majorHAnsi"/>
          <w:sz w:val="28"/>
          <w:szCs w:val="28"/>
          <w:lang w:val="ro-MD"/>
        </w:rPr>
        <w:lastRenderedPageBreak/>
        <w:t xml:space="preserve">nr.4 la HG </w:t>
      </w:r>
      <w:r w:rsidR="00F461B5" w:rsidRPr="002751FC">
        <w:rPr>
          <w:rFonts w:asciiTheme="majorHAnsi" w:hAnsiTheme="majorHAnsi" w:cstheme="majorHAnsi"/>
          <w:sz w:val="28"/>
          <w:szCs w:val="28"/>
          <w:lang w:val="ro-MD"/>
        </w:rPr>
        <w:t>nr.723 din 11.06.</w:t>
      </w:r>
      <w:r w:rsidRPr="002751FC">
        <w:rPr>
          <w:rFonts w:asciiTheme="majorHAnsi" w:hAnsiTheme="majorHAnsi" w:cstheme="majorHAnsi"/>
          <w:sz w:val="28"/>
          <w:szCs w:val="28"/>
          <w:lang w:val="ro-MD"/>
        </w:rPr>
        <w:t xml:space="preserve">2002, prin stabilirea plafonului maxim al salariului de bază pentru </w:t>
      </w:r>
      <w:r w:rsidR="00F461B5" w:rsidRPr="002751FC">
        <w:rPr>
          <w:rFonts w:asciiTheme="majorHAnsi" w:hAnsiTheme="majorHAnsi" w:cstheme="majorHAnsi"/>
          <w:sz w:val="28"/>
          <w:szCs w:val="28"/>
          <w:lang w:val="ro-MD"/>
        </w:rPr>
        <w:t>aceștia</w:t>
      </w:r>
      <w:r w:rsidRPr="002751FC">
        <w:rPr>
          <w:rFonts w:asciiTheme="majorHAnsi" w:hAnsiTheme="majorHAnsi" w:cstheme="majorHAnsi"/>
          <w:sz w:val="28"/>
          <w:szCs w:val="28"/>
          <w:lang w:val="ro-MD"/>
        </w:rPr>
        <w:t>.</w:t>
      </w:r>
    </w:p>
    <w:p w:rsidR="00C81A77" w:rsidRPr="002751FC" w:rsidRDefault="00C81A77" w:rsidP="00C81A77">
      <w:pPr>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Mecanismul creat pentru calcularea și achitarea contribuțiilor în FVV este unul </w:t>
      </w:r>
      <w:r w:rsidR="00070954" w:rsidRPr="002751FC">
        <w:rPr>
          <w:rFonts w:asciiTheme="majorHAnsi" w:hAnsiTheme="majorHAnsi" w:cstheme="majorHAnsi"/>
          <w:sz w:val="28"/>
          <w:szCs w:val="28"/>
          <w:lang w:val="ro-MD"/>
        </w:rPr>
        <w:t>dificil</w:t>
      </w:r>
      <w:r w:rsidRPr="002751FC">
        <w:rPr>
          <w:rFonts w:asciiTheme="majorHAnsi" w:hAnsiTheme="majorHAnsi" w:cstheme="majorHAnsi"/>
          <w:sz w:val="28"/>
          <w:szCs w:val="28"/>
          <w:lang w:val="ro-MD"/>
        </w:rPr>
        <w:t xml:space="preserve"> de realizat </w:t>
      </w:r>
      <w:r w:rsidR="00070954" w:rsidRPr="002751FC">
        <w:rPr>
          <w:rFonts w:asciiTheme="majorHAnsi" w:hAnsiTheme="majorHAnsi" w:cstheme="majorHAnsi"/>
          <w:sz w:val="28"/>
          <w:szCs w:val="28"/>
          <w:lang w:val="ro-MD"/>
        </w:rPr>
        <w:t>atât</w:t>
      </w:r>
      <w:r w:rsidRPr="002751FC">
        <w:rPr>
          <w:rFonts w:asciiTheme="majorHAnsi" w:hAnsiTheme="majorHAnsi" w:cstheme="majorHAnsi"/>
          <w:sz w:val="28"/>
          <w:szCs w:val="28"/>
          <w:lang w:val="ro-MD"/>
        </w:rPr>
        <w:t xml:space="preserve"> pentru SFS</w:t>
      </w:r>
      <w:r w:rsidR="00C80AAD" w:rsidRPr="002751FC">
        <w:rPr>
          <w:rFonts w:asciiTheme="majorHAnsi" w:hAnsiTheme="majorHAnsi" w:cstheme="majorHAnsi"/>
          <w:sz w:val="28"/>
          <w:szCs w:val="28"/>
          <w:lang w:val="ro-MD"/>
        </w:rPr>
        <w:t>,</w:t>
      </w:r>
      <w:r w:rsidRPr="002751FC">
        <w:rPr>
          <w:rFonts w:asciiTheme="majorHAnsi" w:hAnsiTheme="majorHAnsi" w:cstheme="majorHAnsi"/>
          <w:sz w:val="28"/>
          <w:szCs w:val="28"/>
          <w:lang w:val="ro-MD"/>
        </w:rPr>
        <w:t xml:space="preserve"> </w:t>
      </w:r>
      <w:r w:rsidR="00070954" w:rsidRPr="002751FC">
        <w:rPr>
          <w:rFonts w:asciiTheme="majorHAnsi" w:hAnsiTheme="majorHAnsi" w:cstheme="majorHAnsi"/>
          <w:sz w:val="28"/>
          <w:szCs w:val="28"/>
          <w:lang w:val="ro-MD"/>
        </w:rPr>
        <w:t>cât</w:t>
      </w:r>
      <w:r w:rsidRPr="002751FC">
        <w:rPr>
          <w:rFonts w:asciiTheme="majorHAnsi" w:hAnsiTheme="majorHAnsi" w:cstheme="majorHAnsi"/>
          <w:sz w:val="28"/>
          <w:szCs w:val="28"/>
          <w:lang w:val="ro-MD"/>
        </w:rPr>
        <w:t xml:space="preserve"> și pentru ONVV. În scopul administrării </w:t>
      </w:r>
      <w:r w:rsidR="00070954" w:rsidRPr="002751FC">
        <w:rPr>
          <w:rFonts w:asciiTheme="majorHAnsi" w:hAnsiTheme="majorHAnsi" w:cstheme="majorHAnsi"/>
          <w:sz w:val="28"/>
          <w:szCs w:val="28"/>
          <w:lang w:val="ro-MD"/>
        </w:rPr>
        <w:t>contribuțiilor</w:t>
      </w:r>
      <w:r w:rsidRPr="002751FC">
        <w:rPr>
          <w:rFonts w:asciiTheme="majorHAnsi" w:hAnsiTheme="majorHAnsi" w:cstheme="majorHAnsi"/>
          <w:sz w:val="28"/>
          <w:szCs w:val="28"/>
          <w:lang w:val="ro-MD"/>
        </w:rPr>
        <w:t xml:space="preserve"> conform regulilor stabilite în Codul fiscal, este evidentă necesitatea urgentă a schimbării mecanismului existent (120 </w:t>
      </w:r>
      <w:r w:rsidR="00257EDA" w:rsidRPr="002751FC">
        <w:rPr>
          <w:rFonts w:asciiTheme="majorHAnsi" w:hAnsiTheme="majorHAnsi" w:cstheme="majorHAnsi"/>
          <w:sz w:val="28"/>
          <w:szCs w:val="28"/>
          <w:lang w:val="ro-MD"/>
        </w:rPr>
        <w:t xml:space="preserve">de </w:t>
      </w:r>
      <w:r w:rsidRPr="002751FC">
        <w:rPr>
          <w:rFonts w:asciiTheme="majorHAnsi" w:hAnsiTheme="majorHAnsi" w:cstheme="majorHAnsi"/>
          <w:sz w:val="28"/>
          <w:szCs w:val="28"/>
          <w:lang w:val="ro-MD"/>
        </w:rPr>
        <w:t>zile</w:t>
      </w:r>
      <w:r w:rsidR="00070954" w:rsidRPr="002751FC">
        <w:rPr>
          <w:rFonts w:asciiTheme="majorHAnsi" w:hAnsiTheme="majorHAnsi" w:cstheme="majorHAnsi"/>
          <w:sz w:val="28"/>
          <w:szCs w:val="28"/>
          <w:lang w:val="ro-MD"/>
        </w:rPr>
        <w:t xml:space="preserve"> din momentul eliberării facturii fiscale</w:t>
      </w:r>
      <w:r w:rsidRPr="002751FC">
        <w:rPr>
          <w:rFonts w:asciiTheme="majorHAnsi" w:hAnsiTheme="majorHAnsi" w:cstheme="majorHAnsi"/>
          <w:sz w:val="28"/>
          <w:szCs w:val="28"/>
          <w:lang w:val="ro-MD"/>
        </w:rPr>
        <w:t xml:space="preserve">), altfel problemele identificate vor continua să persiste și pentru anii următori, fiind afectate </w:t>
      </w:r>
      <w:r w:rsidR="00257EDA" w:rsidRPr="002751FC">
        <w:rPr>
          <w:rFonts w:asciiTheme="majorHAnsi" w:hAnsiTheme="majorHAnsi" w:cstheme="majorHAnsi"/>
          <w:sz w:val="28"/>
          <w:szCs w:val="28"/>
          <w:lang w:val="ro-MD"/>
        </w:rPr>
        <w:t xml:space="preserve">atât </w:t>
      </w:r>
      <w:r w:rsidRPr="002751FC">
        <w:rPr>
          <w:rFonts w:asciiTheme="majorHAnsi" w:hAnsiTheme="majorHAnsi" w:cstheme="majorHAnsi"/>
          <w:sz w:val="28"/>
          <w:szCs w:val="28"/>
          <w:lang w:val="ro-MD"/>
        </w:rPr>
        <w:t xml:space="preserve">încasările la bugetul public </w:t>
      </w:r>
      <w:r w:rsidR="00A3202D" w:rsidRPr="002751FC">
        <w:rPr>
          <w:rFonts w:asciiTheme="majorHAnsi" w:hAnsiTheme="majorHAnsi" w:cstheme="majorHAnsi"/>
          <w:sz w:val="28"/>
          <w:szCs w:val="28"/>
          <w:lang w:val="ro-MD"/>
        </w:rPr>
        <w:t>național</w:t>
      </w:r>
      <w:r w:rsidR="00257EDA" w:rsidRPr="002751FC">
        <w:rPr>
          <w:rFonts w:asciiTheme="majorHAnsi" w:hAnsiTheme="majorHAnsi" w:cstheme="majorHAnsi"/>
          <w:sz w:val="28"/>
          <w:szCs w:val="28"/>
          <w:lang w:val="ro-MD"/>
        </w:rPr>
        <w:t>, cât</w:t>
      </w:r>
      <w:r w:rsidRPr="002751FC">
        <w:rPr>
          <w:rFonts w:asciiTheme="majorHAnsi" w:hAnsiTheme="majorHAnsi" w:cstheme="majorHAnsi"/>
          <w:sz w:val="28"/>
          <w:szCs w:val="28"/>
          <w:lang w:val="ro-MD"/>
        </w:rPr>
        <w:t xml:space="preserve"> și veniturile FVV.</w:t>
      </w:r>
    </w:p>
    <w:p w:rsidR="00C81A77" w:rsidRPr="002751FC" w:rsidRDefault="00433B20" w:rsidP="00C81A77">
      <w:pPr>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Prezența restanțelor </w:t>
      </w:r>
      <w:r w:rsidR="00C81A77" w:rsidRPr="002751FC">
        <w:rPr>
          <w:rFonts w:asciiTheme="majorHAnsi" w:hAnsiTheme="majorHAnsi" w:cstheme="majorHAnsi"/>
          <w:sz w:val="28"/>
          <w:szCs w:val="28"/>
          <w:lang w:val="ro-MD"/>
        </w:rPr>
        <w:t>semnificative la contribuții</w:t>
      </w:r>
      <w:r w:rsidRPr="002751FC">
        <w:rPr>
          <w:rFonts w:asciiTheme="majorHAnsi" w:hAnsiTheme="majorHAnsi" w:cstheme="majorHAnsi"/>
          <w:sz w:val="28"/>
          <w:szCs w:val="28"/>
          <w:lang w:val="ro-MD"/>
        </w:rPr>
        <w:t>le</w:t>
      </w:r>
      <w:r w:rsidR="00C81A77" w:rsidRPr="002751FC">
        <w:rPr>
          <w:rFonts w:asciiTheme="majorHAnsi" w:hAnsiTheme="majorHAnsi" w:cstheme="majorHAnsi"/>
          <w:sz w:val="28"/>
          <w:szCs w:val="28"/>
          <w:lang w:val="ro-MD"/>
        </w:rPr>
        <w:t xml:space="preserve"> în FVV de asemenea necesită măsuri de consolidare privind colectarea acestora, precum și fortificarea măsurilor de iden</w:t>
      </w:r>
      <w:r w:rsidR="008657AD" w:rsidRPr="002751FC">
        <w:rPr>
          <w:rFonts w:asciiTheme="majorHAnsi" w:hAnsiTheme="majorHAnsi" w:cstheme="majorHAnsi"/>
          <w:sz w:val="28"/>
          <w:szCs w:val="28"/>
          <w:lang w:val="ro-MD"/>
        </w:rPr>
        <w:t>tificare a evaziunilor fiscale.</w:t>
      </w:r>
    </w:p>
    <w:p w:rsidR="00C81A77" w:rsidRPr="002751FC" w:rsidRDefault="00C81A77" w:rsidP="00C81A77">
      <w:pPr>
        <w:spacing w:after="0" w:line="240" w:lineRule="auto"/>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Modificarea abordărilor ce țin de </w:t>
      </w:r>
      <w:r w:rsidR="00433B20" w:rsidRPr="002751FC">
        <w:rPr>
          <w:rFonts w:asciiTheme="majorHAnsi" w:hAnsiTheme="majorHAnsi" w:cstheme="majorHAnsi"/>
          <w:sz w:val="28"/>
          <w:szCs w:val="28"/>
          <w:lang w:val="ro-MD"/>
        </w:rPr>
        <w:t>gestionarea mijloacelor</w:t>
      </w:r>
      <w:r w:rsidRPr="002751FC">
        <w:rPr>
          <w:rFonts w:asciiTheme="majorHAnsi" w:hAnsiTheme="majorHAnsi" w:cstheme="majorHAnsi"/>
          <w:sz w:val="28"/>
          <w:szCs w:val="28"/>
          <w:lang w:val="ro-MD"/>
        </w:rPr>
        <w:t xml:space="preserve"> FVV aplicate actualmente va </w:t>
      </w:r>
      <w:r w:rsidR="00922DEA" w:rsidRPr="002751FC">
        <w:rPr>
          <w:rFonts w:asciiTheme="majorHAnsi" w:hAnsiTheme="majorHAnsi" w:cstheme="majorHAnsi"/>
          <w:sz w:val="28"/>
          <w:szCs w:val="28"/>
          <w:lang w:val="ro-MD"/>
        </w:rPr>
        <w:t xml:space="preserve">asigura utilizarea conformă a </w:t>
      </w:r>
      <w:r w:rsidRPr="002751FC">
        <w:rPr>
          <w:rFonts w:asciiTheme="majorHAnsi" w:hAnsiTheme="majorHAnsi" w:cstheme="majorHAnsi"/>
          <w:sz w:val="28"/>
          <w:szCs w:val="28"/>
          <w:lang w:val="ro-MD"/>
        </w:rPr>
        <w:t xml:space="preserve">resurselor fondului și </w:t>
      </w:r>
      <w:r w:rsidR="00922DEA" w:rsidRPr="002751FC">
        <w:rPr>
          <w:rFonts w:asciiTheme="majorHAnsi" w:hAnsiTheme="majorHAnsi" w:cstheme="majorHAnsi"/>
          <w:sz w:val="28"/>
          <w:szCs w:val="28"/>
          <w:lang w:val="ro-MD"/>
        </w:rPr>
        <w:t xml:space="preserve">va spori </w:t>
      </w:r>
      <w:r w:rsidR="00D926DA" w:rsidRPr="002751FC">
        <w:rPr>
          <w:rFonts w:asciiTheme="majorHAnsi" w:hAnsiTheme="majorHAnsi" w:cstheme="majorHAnsi"/>
          <w:sz w:val="28"/>
          <w:szCs w:val="28"/>
          <w:lang w:val="ro-MD"/>
        </w:rPr>
        <w:t>încasările în acesta.</w:t>
      </w:r>
    </w:p>
    <w:p w:rsidR="002B0C1F" w:rsidRPr="002751FC" w:rsidRDefault="002B0C1F" w:rsidP="002B0C1F">
      <w:pPr>
        <w:pStyle w:val="1"/>
        <w:jc w:val="center"/>
        <w:rPr>
          <w:rFonts w:cstheme="majorHAnsi"/>
          <w:b/>
          <w:color w:val="auto"/>
          <w:sz w:val="28"/>
          <w:szCs w:val="28"/>
          <w:lang w:val="ro-MD"/>
        </w:rPr>
      </w:pPr>
      <w:bookmarkStart w:id="70" w:name="_Toc23259125"/>
      <w:r w:rsidRPr="002751FC">
        <w:rPr>
          <w:rFonts w:cstheme="majorHAnsi"/>
          <w:b/>
          <w:color w:val="auto"/>
          <w:sz w:val="28"/>
          <w:szCs w:val="28"/>
          <w:lang w:val="ro-MD"/>
        </w:rPr>
        <w:t xml:space="preserve">VI. </w:t>
      </w:r>
      <w:bookmarkEnd w:id="66"/>
      <w:bookmarkEnd w:id="67"/>
      <w:bookmarkEnd w:id="68"/>
      <w:bookmarkEnd w:id="69"/>
      <w:r w:rsidRPr="002751FC">
        <w:rPr>
          <w:rFonts w:cstheme="majorHAnsi"/>
          <w:b/>
          <w:color w:val="auto"/>
          <w:sz w:val="28"/>
          <w:szCs w:val="28"/>
          <w:lang w:val="ro-MD"/>
        </w:rPr>
        <w:t>RECOMANDĂRI</w:t>
      </w:r>
      <w:bookmarkEnd w:id="70"/>
    </w:p>
    <w:p w:rsidR="002B0C1F" w:rsidRPr="002751FC" w:rsidRDefault="002B0C1F" w:rsidP="002B0C1F">
      <w:pPr>
        <w:spacing w:before="240" w:after="0"/>
        <w:ind w:firstLine="360"/>
        <w:jc w:val="both"/>
        <w:rPr>
          <w:rFonts w:asciiTheme="majorHAnsi" w:hAnsiTheme="majorHAnsi" w:cstheme="majorHAnsi"/>
          <w:b/>
          <w:sz w:val="28"/>
          <w:szCs w:val="28"/>
          <w:lang w:val="ro-MD"/>
        </w:rPr>
      </w:pPr>
      <w:r w:rsidRPr="002751FC">
        <w:rPr>
          <w:rFonts w:asciiTheme="majorHAnsi" w:hAnsiTheme="majorHAnsi" w:cstheme="majorHAnsi"/>
          <w:b/>
          <w:sz w:val="28"/>
          <w:szCs w:val="28"/>
          <w:lang w:val="ro-MD"/>
        </w:rPr>
        <w:t>Oficiului Naţional al Viei şi Vinului:</w:t>
      </w:r>
    </w:p>
    <w:p w:rsidR="008B4E9F" w:rsidRPr="002751FC" w:rsidRDefault="008B4E9F" w:rsidP="008B4E9F">
      <w:pPr>
        <w:pStyle w:val="ac"/>
        <w:numPr>
          <w:ilvl w:val="0"/>
          <w:numId w:val="43"/>
        </w:numPr>
        <w:ind w:left="0" w:firstLine="426"/>
        <w:rPr>
          <w:rFonts w:asciiTheme="majorHAnsi" w:hAnsiTheme="majorHAnsi" w:cstheme="majorHAnsi"/>
          <w:b/>
          <w:lang w:val="ro-MD"/>
        </w:rPr>
      </w:pPr>
      <w:r w:rsidRPr="002751FC">
        <w:rPr>
          <w:rFonts w:asciiTheme="majorHAnsi" w:hAnsiTheme="majorHAnsi" w:cstheme="majorHAnsi"/>
          <w:lang w:val="ro-MD"/>
        </w:rPr>
        <w:t>Să elaboreze și să aprobe proceduri scrise, bine formalizate</w:t>
      </w:r>
      <w:r w:rsidR="00AA090A" w:rsidRPr="002751FC">
        <w:rPr>
          <w:rFonts w:asciiTheme="majorHAnsi" w:hAnsiTheme="majorHAnsi" w:cstheme="majorHAnsi"/>
          <w:lang w:val="ro-MD"/>
        </w:rPr>
        <w:t>,</w:t>
      </w:r>
      <w:r w:rsidRPr="002751FC">
        <w:rPr>
          <w:rFonts w:asciiTheme="majorHAnsi" w:hAnsiTheme="majorHAnsi" w:cstheme="majorHAnsi"/>
          <w:lang w:val="ro-MD"/>
        </w:rPr>
        <w:t xml:space="preserve"> de modificare/rectificare a bugetului FVV</w:t>
      </w:r>
      <w:r w:rsidR="00AA090A" w:rsidRPr="002751FC">
        <w:rPr>
          <w:rFonts w:asciiTheme="majorHAnsi" w:hAnsiTheme="majorHAnsi" w:cstheme="majorHAnsi"/>
          <w:b/>
          <w:lang w:val="ro-MD"/>
        </w:rPr>
        <w:t xml:space="preserve"> </w:t>
      </w:r>
      <w:r w:rsidRPr="002751FC">
        <w:rPr>
          <w:rFonts w:asciiTheme="majorHAnsi" w:hAnsiTheme="majorHAnsi" w:cstheme="majorHAnsi"/>
          <w:b/>
          <w:lang w:val="ro-MD"/>
        </w:rPr>
        <w:t>(pct.4.1.4)</w:t>
      </w:r>
      <w:r w:rsidR="00AA090A" w:rsidRPr="002751FC">
        <w:rPr>
          <w:rFonts w:asciiTheme="majorHAnsi" w:hAnsiTheme="majorHAnsi" w:cstheme="majorHAnsi"/>
          <w:b/>
          <w:lang w:val="ro-MD"/>
        </w:rPr>
        <w:t>.</w:t>
      </w:r>
    </w:p>
    <w:p w:rsidR="008B4E9F" w:rsidRPr="002751FC" w:rsidRDefault="008B4E9F" w:rsidP="008B4E9F">
      <w:pPr>
        <w:pStyle w:val="ac"/>
        <w:numPr>
          <w:ilvl w:val="0"/>
          <w:numId w:val="43"/>
        </w:numPr>
        <w:ind w:left="0" w:firstLine="426"/>
        <w:rPr>
          <w:rFonts w:asciiTheme="majorHAnsi" w:hAnsiTheme="majorHAnsi" w:cstheme="majorHAnsi"/>
          <w:b/>
          <w:lang w:val="ro-MD"/>
        </w:rPr>
      </w:pPr>
      <w:r w:rsidRPr="002751FC">
        <w:rPr>
          <w:rFonts w:asciiTheme="majorHAnsi" w:hAnsiTheme="majorHAnsi" w:cstheme="majorHAnsi"/>
          <w:b/>
          <w:lang w:val="ro-MD"/>
        </w:rPr>
        <w:t xml:space="preserve"> </w:t>
      </w:r>
      <w:r w:rsidRPr="002751FC">
        <w:rPr>
          <w:rFonts w:asciiTheme="majorHAnsi" w:hAnsiTheme="majorHAnsi" w:cstheme="majorHAnsi"/>
          <w:lang w:val="ro-MD"/>
        </w:rPr>
        <w:t xml:space="preserve">Să asigure elaborarea și aprobarea criteriilor și indicatorilor </w:t>
      </w:r>
      <w:r w:rsidR="00AA090A" w:rsidRPr="002751FC">
        <w:rPr>
          <w:rFonts w:asciiTheme="majorHAnsi" w:hAnsiTheme="majorHAnsi" w:cstheme="majorHAnsi"/>
          <w:lang w:val="ro-MD"/>
        </w:rPr>
        <w:t>măsurabili</w:t>
      </w:r>
      <w:r w:rsidRPr="002751FC">
        <w:rPr>
          <w:rFonts w:asciiTheme="majorHAnsi" w:hAnsiTheme="majorHAnsi" w:cstheme="majorHAnsi"/>
          <w:lang w:val="ro-MD"/>
        </w:rPr>
        <w:t xml:space="preserve"> pentru acordarea sporului lunar în mărime de 15%</w:t>
      </w:r>
      <w:r w:rsidR="00257EDA" w:rsidRPr="002751FC">
        <w:rPr>
          <w:rFonts w:asciiTheme="majorHAnsi" w:hAnsiTheme="majorHAnsi" w:cstheme="majorHAnsi"/>
          <w:lang w:val="ro-MD"/>
        </w:rPr>
        <w:t>, precum</w:t>
      </w:r>
      <w:r w:rsidRPr="002751FC">
        <w:rPr>
          <w:rFonts w:asciiTheme="majorHAnsi" w:hAnsiTheme="majorHAnsi" w:cstheme="majorHAnsi"/>
          <w:lang w:val="ro-MD"/>
        </w:rPr>
        <w:t xml:space="preserve"> și </w:t>
      </w:r>
      <w:r w:rsidR="00257EDA" w:rsidRPr="002751FC">
        <w:rPr>
          <w:rFonts w:asciiTheme="majorHAnsi" w:hAnsiTheme="majorHAnsi" w:cstheme="majorHAnsi"/>
          <w:lang w:val="ro-MD"/>
        </w:rPr>
        <w:t xml:space="preserve">a </w:t>
      </w:r>
      <w:r w:rsidRPr="002751FC">
        <w:rPr>
          <w:rFonts w:asciiTheme="majorHAnsi" w:hAnsiTheme="majorHAnsi" w:cstheme="majorHAnsi"/>
          <w:lang w:val="ro-MD"/>
        </w:rPr>
        <w:t>obiectivelor pentru acordarea sporului pentru performanț</w:t>
      </w:r>
      <w:r w:rsidR="00AA090A" w:rsidRPr="002751FC">
        <w:rPr>
          <w:rFonts w:asciiTheme="majorHAnsi" w:hAnsiTheme="majorHAnsi" w:cstheme="majorHAnsi"/>
          <w:lang w:val="ro-MD"/>
        </w:rPr>
        <w:t>a</w:t>
      </w:r>
      <w:r w:rsidRPr="002751FC">
        <w:rPr>
          <w:rFonts w:asciiTheme="majorHAnsi" w:hAnsiTheme="majorHAnsi" w:cstheme="majorHAnsi"/>
          <w:lang w:val="ro-MD"/>
        </w:rPr>
        <w:t xml:space="preserve"> individual</w:t>
      </w:r>
      <w:r w:rsidR="00AA090A" w:rsidRPr="002751FC">
        <w:rPr>
          <w:rFonts w:asciiTheme="majorHAnsi" w:hAnsiTheme="majorHAnsi" w:cstheme="majorHAnsi"/>
          <w:lang w:val="ro-MD"/>
        </w:rPr>
        <w:t>ă</w:t>
      </w:r>
      <w:r w:rsidRPr="002751FC">
        <w:rPr>
          <w:rFonts w:asciiTheme="majorHAnsi" w:hAnsiTheme="majorHAnsi" w:cstheme="majorHAnsi"/>
          <w:b/>
          <w:lang w:val="ro-MD"/>
        </w:rPr>
        <w:t xml:space="preserve"> (pct.4.3.</w:t>
      </w:r>
      <w:r w:rsidR="00F941C7" w:rsidRPr="002751FC">
        <w:rPr>
          <w:rFonts w:asciiTheme="majorHAnsi" w:hAnsiTheme="majorHAnsi" w:cstheme="majorHAnsi"/>
          <w:b/>
          <w:lang w:val="ro-MD"/>
        </w:rPr>
        <w:t>1.1</w:t>
      </w:r>
      <w:r w:rsidRPr="002751FC">
        <w:rPr>
          <w:rFonts w:asciiTheme="majorHAnsi" w:hAnsiTheme="majorHAnsi" w:cstheme="majorHAnsi"/>
          <w:b/>
          <w:lang w:val="ro-MD"/>
        </w:rPr>
        <w:t>, pct.4.3.</w:t>
      </w:r>
      <w:r w:rsidR="00F941C7" w:rsidRPr="002751FC">
        <w:rPr>
          <w:rFonts w:asciiTheme="majorHAnsi" w:hAnsiTheme="majorHAnsi" w:cstheme="majorHAnsi"/>
          <w:b/>
          <w:lang w:val="ro-MD"/>
        </w:rPr>
        <w:t>1.2</w:t>
      </w:r>
      <w:r w:rsidRPr="002751FC">
        <w:rPr>
          <w:rFonts w:asciiTheme="majorHAnsi" w:hAnsiTheme="majorHAnsi" w:cstheme="majorHAnsi"/>
          <w:b/>
          <w:lang w:val="ro-MD"/>
        </w:rPr>
        <w:t>)</w:t>
      </w:r>
      <w:r w:rsidR="00AA090A" w:rsidRPr="002751FC">
        <w:rPr>
          <w:rFonts w:asciiTheme="majorHAnsi" w:hAnsiTheme="majorHAnsi" w:cstheme="majorHAnsi"/>
          <w:b/>
          <w:lang w:val="ro-MD"/>
        </w:rPr>
        <w:t>.</w:t>
      </w:r>
    </w:p>
    <w:p w:rsidR="008B4E9F" w:rsidRPr="002751FC" w:rsidRDefault="008B4E9F" w:rsidP="008B4E9F">
      <w:pPr>
        <w:pStyle w:val="ac"/>
        <w:numPr>
          <w:ilvl w:val="0"/>
          <w:numId w:val="43"/>
        </w:numPr>
        <w:ind w:left="0" w:firstLine="426"/>
        <w:rPr>
          <w:rFonts w:asciiTheme="majorHAnsi" w:hAnsiTheme="majorHAnsi" w:cstheme="majorHAnsi"/>
          <w:b/>
          <w:lang w:val="ro-MD"/>
        </w:rPr>
      </w:pPr>
      <w:r w:rsidRPr="002751FC">
        <w:rPr>
          <w:rFonts w:asciiTheme="majorHAnsi" w:hAnsiTheme="majorHAnsi" w:cstheme="majorHAnsi"/>
          <w:lang w:val="ro-MD"/>
        </w:rPr>
        <w:t>Să asigure documentarea regulamentară a cheltuielilor pentru primirea delegațiilor străine</w:t>
      </w:r>
      <w:r w:rsidRPr="002751FC">
        <w:rPr>
          <w:rFonts w:asciiTheme="majorHAnsi" w:hAnsiTheme="majorHAnsi" w:cstheme="majorHAnsi"/>
          <w:b/>
          <w:lang w:val="ro-MD"/>
        </w:rPr>
        <w:t xml:space="preserve"> (</w:t>
      </w:r>
      <w:r w:rsidR="007E73D6" w:rsidRPr="002751FC">
        <w:rPr>
          <w:rFonts w:asciiTheme="majorHAnsi" w:hAnsiTheme="majorHAnsi" w:cstheme="majorHAnsi"/>
          <w:b/>
          <w:lang w:val="ro-MD"/>
        </w:rPr>
        <w:t>pct.</w:t>
      </w:r>
      <w:r w:rsidRPr="002751FC">
        <w:rPr>
          <w:rFonts w:asciiTheme="majorHAnsi" w:hAnsiTheme="majorHAnsi" w:cstheme="majorHAnsi"/>
          <w:b/>
          <w:lang w:val="ro-MD"/>
        </w:rPr>
        <w:t>4.3.</w:t>
      </w:r>
      <w:r w:rsidR="00DD6D76" w:rsidRPr="002751FC">
        <w:rPr>
          <w:rFonts w:asciiTheme="majorHAnsi" w:hAnsiTheme="majorHAnsi" w:cstheme="majorHAnsi"/>
          <w:b/>
          <w:lang w:val="ro-MD"/>
        </w:rPr>
        <w:t>8</w:t>
      </w:r>
      <w:r w:rsidRPr="002751FC">
        <w:rPr>
          <w:rFonts w:asciiTheme="majorHAnsi" w:hAnsiTheme="majorHAnsi" w:cstheme="majorHAnsi"/>
          <w:b/>
          <w:lang w:val="ro-MD"/>
        </w:rPr>
        <w:t>)</w:t>
      </w:r>
      <w:r w:rsidR="00AA090A" w:rsidRPr="002751FC">
        <w:rPr>
          <w:rFonts w:asciiTheme="majorHAnsi" w:hAnsiTheme="majorHAnsi" w:cstheme="majorHAnsi"/>
          <w:b/>
          <w:lang w:val="ro-MD"/>
        </w:rPr>
        <w:t>.</w:t>
      </w:r>
    </w:p>
    <w:p w:rsidR="008B4E9F" w:rsidRPr="002751FC" w:rsidRDefault="008B4E9F" w:rsidP="008B4E9F">
      <w:pPr>
        <w:pStyle w:val="ac"/>
        <w:numPr>
          <w:ilvl w:val="0"/>
          <w:numId w:val="43"/>
        </w:numPr>
        <w:spacing w:before="240"/>
        <w:ind w:left="0" w:firstLine="426"/>
        <w:rPr>
          <w:rFonts w:asciiTheme="majorHAnsi" w:hAnsiTheme="majorHAnsi" w:cstheme="majorHAnsi"/>
          <w:b/>
          <w:szCs w:val="28"/>
          <w:lang w:val="ro-MD"/>
        </w:rPr>
      </w:pPr>
      <w:r w:rsidRPr="002751FC">
        <w:rPr>
          <w:rFonts w:asciiTheme="majorHAnsi" w:hAnsiTheme="majorHAnsi" w:cstheme="majorHAnsi"/>
          <w:lang w:val="ro-MD"/>
        </w:rPr>
        <w:t>Să excludă practicile de cofinanțar</w:t>
      </w:r>
      <w:r w:rsidR="00AA090A" w:rsidRPr="002751FC">
        <w:rPr>
          <w:rFonts w:asciiTheme="majorHAnsi" w:hAnsiTheme="majorHAnsi" w:cstheme="majorHAnsi"/>
          <w:lang w:val="ro-MD"/>
        </w:rPr>
        <w:t xml:space="preserve">e/sponsorizare a evenimentelor </w:t>
      </w:r>
      <w:r w:rsidRPr="002751FC">
        <w:rPr>
          <w:rFonts w:asciiTheme="majorHAnsi" w:hAnsiTheme="majorHAnsi" w:cstheme="majorHAnsi"/>
          <w:lang w:val="ro-MD"/>
        </w:rPr>
        <w:t xml:space="preserve">la care nu se realizează măsuri de </w:t>
      </w:r>
      <w:r w:rsidR="00641DFC" w:rsidRPr="002751FC">
        <w:rPr>
          <w:rFonts w:asciiTheme="majorHAnsi" w:hAnsiTheme="majorHAnsi" w:cstheme="majorHAnsi"/>
          <w:lang w:val="ro-MD"/>
        </w:rPr>
        <w:t>promovare a produselor vinicole</w:t>
      </w:r>
      <w:r w:rsidRPr="002751FC">
        <w:rPr>
          <w:rFonts w:asciiTheme="majorHAnsi" w:hAnsiTheme="majorHAnsi" w:cstheme="majorHAnsi"/>
          <w:lang w:val="ro-MD"/>
        </w:rPr>
        <w:t xml:space="preserve"> </w:t>
      </w:r>
      <w:r w:rsidRPr="002751FC">
        <w:rPr>
          <w:rFonts w:asciiTheme="majorHAnsi" w:hAnsiTheme="majorHAnsi" w:cstheme="majorHAnsi"/>
          <w:b/>
          <w:lang w:val="ro-MD"/>
        </w:rPr>
        <w:t>(pct.4.3.</w:t>
      </w:r>
      <w:r w:rsidR="00DD6D76" w:rsidRPr="002751FC">
        <w:rPr>
          <w:rFonts w:asciiTheme="majorHAnsi" w:hAnsiTheme="majorHAnsi" w:cstheme="majorHAnsi"/>
          <w:b/>
          <w:lang w:val="ro-MD"/>
        </w:rPr>
        <w:t>9</w:t>
      </w:r>
      <w:r w:rsidRPr="002751FC">
        <w:rPr>
          <w:rFonts w:asciiTheme="majorHAnsi" w:hAnsiTheme="majorHAnsi" w:cstheme="majorHAnsi"/>
          <w:b/>
          <w:lang w:val="ro-MD"/>
        </w:rPr>
        <w:t>)</w:t>
      </w:r>
      <w:r w:rsidR="00AA090A" w:rsidRPr="002751FC">
        <w:rPr>
          <w:rFonts w:asciiTheme="majorHAnsi" w:hAnsiTheme="majorHAnsi" w:cstheme="majorHAnsi"/>
          <w:b/>
          <w:lang w:val="ro-MD"/>
        </w:rPr>
        <w:t>.</w:t>
      </w:r>
    </w:p>
    <w:p w:rsidR="008B4E9F" w:rsidRPr="002751FC" w:rsidRDefault="008B4E9F" w:rsidP="008B4E9F">
      <w:pPr>
        <w:pStyle w:val="ac"/>
        <w:numPr>
          <w:ilvl w:val="0"/>
          <w:numId w:val="43"/>
        </w:numPr>
        <w:spacing w:before="240"/>
        <w:ind w:left="0" w:firstLine="426"/>
        <w:rPr>
          <w:rFonts w:asciiTheme="majorHAnsi" w:hAnsiTheme="majorHAnsi" w:cstheme="majorHAnsi"/>
          <w:b/>
          <w:szCs w:val="28"/>
          <w:lang w:val="ro-MD"/>
        </w:rPr>
      </w:pPr>
      <w:r w:rsidRPr="002751FC">
        <w:rPr>
          <w:rFonts w:asciiTheme="majorHAnsi" w:hAnsiTheme="majorHAnsi" w:cstheme="majorHAnsi"/>
          <w:lang w:val="ro-MD"/>
        </w:rPr>
        <w:t>Să asigure contabilizarea contribuțiilor în Fondul Viei și Vinului</w:t>
      </w:r>
      <w:r w:rsidRPr="002751FC">
        <w:rPr>
          <w:rFonts w:asciiTheme="majorHAnsi" w:hAnsiTheme="majorHAnsi" w:cstheme="majorHAnsi"/>
          <w:b/>
          <w:lang w:val="ro-MD"/>
        </w:rPr>
        <w:t xml:space="preserve"> (pct.4.4.4.)</w:t>
      </w:r>
      <w:r w:rsidR="007E73D6" w:rsidRPr="002751FC">
        <w:rPr>
          <w:rFonts w:asciiTheme="majorHAnsi" w:hAnsiTheme="majorHAnsi" w:cstheme="majorHAnsi"/>
          <w:b/>
          <w:lang w:val="ro-MD"/>
        </w:rPr>
        <w:t>.</w:t>
      </w:r>
    </w:p>
    <w:p w:rsidR="008B4E9F" w:rsidRPr="002751FC" w:rsidRDefault="008B4E9F" w:rsidP="008B4E9F">
      <w:pPr>
        <w:pStyle w:val="ac"/>
        <w:numPr>
          <w:ilvl w:val="0"/>
          <w:numId w:val="43"/>
        </w:numPr>
        <w:spacing w:before="240"/>
        <w:ind w:left="0" w:firstLine="426"/>
        <w:rPr>
          <w:rFonts w:asciiTheme="majorHAnsi" w:hAnsiTheme="majorHAnsi" w:cstheme="majorHAnsi"/>
          <w:b/>
          <w:szCs w:val="28"/>
          <w:lang w:val="ro-MD"/>
        </w:rPr>
      </w:pPr>
      <w:r w:rsidRPr="002751FC">
        <w:rPr>
          <w:rFonts w:asciiTheme="majorHAnsi" w:hAnsiTheme="majorHAnsi" w:cstheme="majorHAnsi"/>
          <w:lang w:val="ro-MD"/>
        </w:rPr>
        <w:t xml:space="preserve">Să asigure reconcilierea </w:t>
      </w:r>
      <w:r w:rsidR="00316184" w:rsidRPr="002751FC">
        <w:rPr>
          <w:rFonts w:asciiTheme="majorHAnsi" w:hAnsiTheme="majorHAnsi" w:cstheme="majorHAnsi"/>
          <w:lang w:val="ro-MD"/>
        </w:rPr>
        <w:t xml:space="preserve">periodică </w:t>
      </w:r>
      <w:r w:rsidRPr="002751FC">
        <w:rPr>
          <w:rFonts w:asciiTheme="majorHAnsi" w:hAnsiTheme="majorHAnsi" w:cstheme="majorHAnsi"/>
          <w:lang w:val="ro-MD"/>
        </w:rPr>
        <w:t>a datelor de la Serviciul Fiscal de Stat, Serviciul Vamal și din Registrul vitivinicol în scopul identificării evaziunilor fiscale</w:t>
      </w:r>
      <w:r w:rsidR="007E73D6" w:rsidRPr="002751FC">
        <w:rPr>
          <w:rFonts w:asciiTheme="majorHAnsi" w:hAnsiTheme="majorHAnsi" w:cstheme="majorHAnsi"/>
          <w:b/>
          <w:lang w:val="ro-MD"/>
        </w:rPr>
        <w:t xml:space="preserve"> </w:t>
      </w:r>
      <w:r w:rsidRPr="002751FC">
        <w:rPr>
          <w:rFonts w:asciiTheme="majorHAnsi" w:hAnsiTheme="majorHAnsi" w:cstheme="majorHAnsi"/>
          <w:b/>
          <w:lang w:val="ro-MD"/>
        </w:rPr>
        <w:t>(pct.4.5.)</w:t>
      </w:r>
      <w:r w:rsidR="007E73D6" w:rsidRPr="002751FC">
        <w:rPr>
          <w:rFonts w:asciiTheme="majorHAnsi" w:hAnsiTheme="majorHAnsi" w:cstheme="majorHAnsi"/>
          <w:b/>
          <w:lang w:val="ro-MD"/>
        </w:rPr>
        <w:t>.</w:t>
      </w:r>
    </w:p>
    <w:p w:rsidR="008B4E9F" w:rsidRPr="002751FC" w:rsidRDefault="008B4E9F" w:rsidP="008B4E9F">
      <w:pPr>
        <w:pStyle w:val="ac"/>
        <w:numPr>
          <w:ilvl w:val="0"/>
          <w:numId w:val="43"/>
        </w:numPr>
        <w:spacing w:before="240"/>
        <w:ind w:left="0" w:firstLine="426"/>
        <w:rPr>
          <w:rFonts w:asciiTheme="majorHAnsi" w:hAnsiTheme="majorHAnsi" w:cstheme="majorHAnsi"/>
          <w:b/>
          <w:szCs w:val="28"/>
          <w:lang w:val="ro-MD"/>
        </w:rPr>
      </w:pPr>
      <w:r w:rsidRPr="002751FC">
        <w:rPr>
          <w:rFonts w:asciiTheme="majorHAnsi" w:hAnsiTheme="majorHAnsi" w:cstheme="majorHAnsi"/>
          <w:lang w:val="ro-MD"/>
        </w:rPr>
        <w:t xml:space="preserve">Să fortifice eforturile în scopul atingerii </w:t>
      </w:r>
      <w:r w:rsidR="00257EDA" w:rsidRPr="002751FC">
        <w:rPr>
          <w:rFonts w:asciiTheme="majorHAnsi" w:hAnsiTheme="majorHAnsi" w:cstheme="majorHAnsi"/>
          <w:lang w:val="ro-MD"/>
        </w:rPr>
        <w:t xml:space="preserve">obiectivelor </w:t>
      </w:r>
      <w:r w:rsidRPr="002751FC">
        <w:rPr>
          <w:rFonts w:asciiTheme="majorHAnsi" w:hAnsiTheme="majorHAnsi" w:cstheme="majorHAnsi"/>
          <w:lang w:val="ro-MD"/>
        </w:rPr>
        <w:t>stabilite în Planul Strategic pentru anii 2017-2020</w:t>
      </w:r>
      <w:r w:rsidRPr="002751FC">
        <w:rPr>
          <w:rFonts w:asciiTheme="majorHAnsi" w:hAnsiTheme="majorHAnsi" w:cstheme="majorHAnsi"/>
          <w:b/>
          <w:lang w:val="ro-MD"/>
        </w:rPr>
        <w:t xml:space="preserve"> (pct.4.6.)</w:t>
      </w:r>
      <w:r w:rsidR="007E73D6" w:rsidRPr="002751FC">
        <w:rPr>
          <w:rFonts w:asciiTheme="majorHAnsi" w:hAnsiTheme="majorHAnsi" w:cstheme="majorHAnsi"/>
          <w:b/>
          <w:lang w:val="ro-MD"/>
        </w:rPr>
        <w:t>.</w:t>
      </w:r>
    </w:p>
    <w:p w:rsidR="00B10BC4" w:rsidRPr="002751FC" w:rsidRDefault="00B10BC4" w:rsidP="00B10BC4">
      <w:pPr>
        <w:pStyle w:val="ac"/>
        <w:spacing w:before="240"/>
        <w:ind w:left="426"/>
        <w:rPr>
          <w:rFonts w:asciiTheme="majorHAnsi" w:hAnsiTheme="majorHAnsi" w:cstheme="majorHAnsi"/>
          <w:b/>
          <w:szCs w:val="28"/>
          <w:lang w:val="ro-MD"/>
        </w:rPr>
      </w:pPr>
    </w:p>
    <w:p w:rsidR="004D5641" w:rsidRPr="002751FC" w:rsidRDefault="004D5641" w:rsidP="00B10BC4">
      <w:pPr>
        <w:spacing w:after="0"/>
        <w:ind w:firstLine="426"/>
        <w:rPr>
          <w:rFonts w:asciiTheme="majorHAnsi" w:hAnsiTheme="majorHAnsi" w:cstheme="majorHAnsi"/>
          <w:b/>
          <w:szCs w:val="28"/>
          <w:lang w:val="ro-MD"/>
        </w:rPr>
      </w:pPr>
      <w:r w:rsidRPr="002751FC">
        <w:rPr>
          <w:rFonts w:asciiTheme="majorHAnsi" w:hAnsiTheme="majorHAnsi" w:cstheme="majorHAnsi"/>
          <w:b/>
          <w:sz w:val="28"/>
          <w:szCs w:val="28"/>
          <w:lang w:val="ro-MD"/>
        </w:rPr>
        <w:t>Oficiului Naţional al Viei şi Vinului</w:t>
      </w:r>
      <w:r w:rsidR="007211C1">
        <w:rPr>
          <w:rFonts w:asciiTheme="majorHAnsi" w:hAnsiTheme="majorHAnsi" w:cstheme="majorHAnsi"/>
          <w:b/>
          <w:sz w:val="28"/>
          <w:szCs w:val="28"/>
          <w:lang w:val="ro-MD"/>
        </w:rPr>
        <w:t>,</w:t>
      </w:r>
      <w:r w:rsidRPr="002751FC">
        <w:rPr>
          <w:rFonts w:asciiTheme="majorHAnsi" w:hAnsiTheme="majorHAnsi" w:cstheme="majorHAnsi"/>
          <w:b/>
          <w:sz w:val="28"/>
          <w:szCs w:val="28"/>
          <w:lang w:val="ro-MD"/>
        </w:rPr>
        <w:t xml:space="preserve"> de comun cu Serviciul Fiscal de Stat:</w:t>
      </w:r>
    </w:p>
    <w:p w:rsidR="004D5641" w:rsidRPr="002751FC" w:rsidRDefault="004D5641" w:rsidP="00B10BC4">
      <w:pPr>
        <w:tabs>
          <w:tab w:val="center" w:pos="426"/>
        </w:tabs>
        <w:spacing w:after="0" w:line="240" w:lineRule="auto"/>
        <w:ind w:firstLine="426"/>
        <w:jc w:val="both"/>
        <w:rPr>
          <w:rFonts w:asciiTheme="majorHAnsi" w:hAnsiTheme="majorHAnsi" w:cstheme="majorHAnsi"/>
          <w:lang w:val="ro-MD"/>
        </w:rPr>
      </w:pPr>
      <w:r w:rsidRPr="002751FC">
        <w:rPr>
          <w:rFonts w:asciiTheme="majorHAnsi" w:eastAsia="Times New Roman" w:hAnsiTheme="majorHAnsi" w:cstheme="majorHAnsi"/>
          <w:b/>
          <w:sz w:val="28"/>
          <w:szCs w:val="24"/>
          <w:lang w:val="ro-MD" w:eastAsia="ro-RO"/>
        </w:rPr>
        <w:t>8.</w:t>
      </w:r>
      <w:r w:rsidRPr="002751FC">
        <w:rPr>
          <w:rFonts w:asciiTheme="majorHAnsi" w:eastAsia="Times New Roman" w:hAnsiTheme="majorHAnsi" w:cstheme="majorHAnsi"/>
          <w:sz w:val="28"/>
          <w:szCs w:val="24"/>
          <w:lang w:val="ro-MD" w:eastAsia="ro-RO"/>
        </w:rPr>
        <w:t xml:space="preserve"> În scopul stabilirii cazurilor de nedeclarare și nevirare a contribuțiilor în FVV, SFS va asigura elaborarea și completarea registrului riscurilor de neconformare cu riscul </w:t>
      </w:r>
      <w:proofErr w:type="spellStart"/>
      <w:r w:rsidRPr="002751FC">
        <w:rPr>
          <w:rFonts w:asciiTheme="majorHAnsi" w:eastAsia="Times New Roman" w:hAnsiTheme="majorHAnsi" w:cstheme="majorHAnsi"/>
          <w:sz w:val="28"/>
          <w:szCs w:val="24"/>
          <w:lang w:val="ro-MD" w:eastAsia="ro-RO"/>
        </w:rPr>
        <w:t>menţionat</w:t>
      </w:r>
      <w:proofErr w:type="spellEnd"/>
      <w:r w:rsidRPr="002751FC">
        <w:rPr>
          <w:rFonts w:asciiTheme="majorHAnsi" w:eastAsia="Times New Roman" w:hAnsiTheme="majorHAnsi" w:cstheme="majorHAnsi"/>
          <w:sz w:val="28"/>
          <w:szCs w:val="24"/>
          <w:lang w:val="ro-MD" w:eastAsia="ro-RO"/>
        </w:rPr>
        <w:t xml:space="preserve">, prin care să se efectueze contrapunerea informației disponibile prezentate </w:t>
      </w:r>
      <w:r w:rsidRPr="002751FC">
        <w:rPr>
          <w:rFonts w:asciiTheme="majorHAnsi" w:eastAsia="Times New Roman" w:hAnsiTheme="majorHAnsi" w:cstheme="majorHAnsi"/>
          <w:sz w:val="28"/>
          <w:szCs w:val="24"/>
          <w:lang w:val="ro-MD" w:eastAsia="ro-RO"/>
        </w:rPr>
        <w:lastRenderedPageBreak/>
        <w:t xml:space="preserve">de către SV, ONVV, declarațiile agenților economici privind datele raportate SFS și datele privind exportul vinurilor </w:t>
      </w:r>
      <w:r w:rsidRPr="002751FC">
        <w:rPr>
          <w:rFonts w:asciiTheme="majorHAnsi" w:eastAsia="Times New Roman" w:hAnsiTheme="majorHAnsi" w:cstheme="majorHAnsi"/>
          <w:b/>
          <w:sz w:val="28"/>
          <w:szCs w:val="24"/>
          <w:lang w:val="ro-MD" w:eastAsia="ro-RO"/>
        </w:rPr>
        <w:t>(pct. 4.5.)</w:t>
      </w:r>
      <w:r w:rsidRPr="002751FC">
        <w:rPr>
          <w:rFonts w:asciiTheme="majorHAnsi" w:eastAsia="Times New Roman" w:hAnsiTheme="majorHAnsi" w:cstheme="majorHAnsi"/>
          <w:sz w:val="28"/>
          <w:szCs w:val="24"/>
          <w:lang w:val="ro-MD" w:eastAsia="ro-RO"/>
        </w:rPr>
        <w:t>.</w:t>
      </w:r>
    </w:p>
    <w:p w:rsidR="002B0C1F" w:rsidRPr="002751FC" w:rsidRDefault="002B0C1F" w:rsidP="00675F94">
      <w:pPr>
        <w:spacing w:before="120" w:after="0" w:line="240" w:lineRule="auto"/>
        <w:rPr>
          <w:rFonts w:asciiTheme="majorHAnsi" w:hAnsiTheme="majorHAnsi" w:cstheme="majorHAnsi"/>
          <w:szCs w:val="28"/>
          <w:lang w:val="ro-MD"/>
        </w:rPr>
      </w:pPr>
    </w:p>
    <w:p w:rsidR="002B0C1F" w:rsidRPr="002751FC" w:rsidRDefault="002B0C1F" w:rsidP="002B0C1F">
      <w:pPr>
        <w:pStyle w:val="1"/>
        <w:jc w:val="center"/>
        <w:rPr>
          <w:rFonts w:cstheme="majorHAnsi"/>
          <w:b/>
          <w:color w:val="auto"/>
          <w:sz w:val="28"/>
          <w:szCs w:val="28"/>
          <w:lang w:val="ro-MD"/>
        </w:rPr>
      </w:pPr>
      <w:bookmarkStart w:id="71" w:name="_Toc492893771"/>
      <w:bookmarkStart w:id="72" w:name="_Toc492899652"/>
      <w:bookmarkStart w:id="73" w:name="_Toc509412859"/>
      <w:bookmarkStart w:id="74" w:name="_Toc510185777"/>
      <w:bookmarkStart w:id="75" w:name="_Toc23259126"/>
      <w:r w:rsidRPr="002751FC">
        <w:rPr>
          <w:rFonts w:eastAsia="Times New Roman" w:cstheme="majorHAnsi"/>
          <w:b/>
          <w:bCs/>
          <w:iCs/>
          <w:color w:val="auto"/>
          <w:sz w:val="28"/>
          <w:szCs w:val="28"/>
          <w:lang w:val="ro-MD"/>
        </w:rPr>
        <w:t>VII.</w:t>
      </w:r>
      <w:r w:rsidRPr="002751FC">
        <w:rPr>
          <w:rFonts w:cstheme="majorHAnsi"/>
          <w:b/>
          <w:color w:val="auto"/>
          <w:sz w:val="28"/>
          <w:szCs w:val="28"/>
          <w:lang w:val="ro-MD"/>
        </w:rPr>
        <w:t xml:space="preserve"> SEMNĂTURILE ECHIPEI DE AUDIT</w:t>
      </w:r>
      <w:bookmarkEnd w:id="71"/>
      <w:bookmarkEnd w:id="72"/>
      <w:bookmarkEnd w:id="73"/>
      <w:bookmarkEnd w:id="74"/>
      <w:bookmarkEnd w:id="75"/>
    </w:p>
    <w:p w:rsidR="002B0C1F" w:rsidRPr="002751FC" w:rsidRDefault="002B0C1F" w:rsidP="002B0C1F">
      <w:pPr>
        <w:spacing w:before="120" w:after="0" w:line="276" w:lineRule="auto"/>
        <w:jc w:val="both"/>
        <w:rPr>
          <w:rFonts w:asciiTheme="majorHAnsi" w:hAnsiTheme="majorHAnsi" w:cstheme="majorHAnsi"/>
          <w:b/>
          <w:i/>
          <w:sz w:val="28"/>
          <w:szCs w:val="28"/>
          <w:lang w:val="ro-MD"/>
        </w:rPr>
      </w:pPr>
      <w:r w:rsidRPr="002751FC">
        <w:rPr>
          <w:rFonts w:asciiTheme="majorHAnsi" w:hAnsiTheme="majorHAnsi" w:cstheme="majorHAnsi"/>
          <w:b/>
          <w:i/>
          <w:sz w:val="28"/>
          <w:szCs w:val="28"/>
          <w:lang w:val="ro-MD"/>
        </w:rPr>
        <w:t>Responsabilii de elaborarea Raportului de audit:</w:t>
      </w:r>
    </w:p>
    <w:p w:rsidR="002B0C1F" w:rsidRPr="002751FC" w:rsidRDefault="002B0C1F" w:rsidP="002B0C1F">
      <w:pPr>
        <w:spacing w:before="120" w:after="0" w:line="276" w:lineRule="auto"/>
        <w:jc w:val="both"/>
        <w:rPr>
          <w:rFonts w:asciiTheme="majorHAnsi" w:hAnsiTheme="majorHAnsi" w:cstheme="majorHAnsi"/>
          <w:sz w:val="28"/>
          <w:szCs w:val="28"/>
          <w:lang w:val="ro-MD"/>
        </w:rPr>
      </w:pPr>
      <w:r w:rsidRPr="002751FC">
        <w:rPr>
          <w:rFonts w:asciiTheme="majorHAnsi" w:hAnsiTheme="majorHAnsi" w:cstheme="majorHAnsi"/>
          <w:b/>
          <w:sz w:val="28"/>
          <w:szCs w:val="28"/>
          <w:lang w:val="ro-MD"/>
        </w:rPr>
        <w:t>Tatiana Popa</w:t>
      </w:r>
      <w:r w:rsidRPr="002751FC">
        <w:rPr>
          <w:rFonts w:asciiTheme="majorHAnsi" w:hAnsiTheme="majorHAnsi" w:cstheme="majorHAnsi"/>
          <w:sz w:val="28"/>
          <w:szCs w:val="28"/>
          <w:lang w:val="ro-MD"/>
        </w:rPr>
        <w:t xml:space="preserve"> ___________________</w:t>
      </w:r>
    </w:p>
    <w:p w:rsidR="002B0C1F" w:rsidRPr="002751FC" w:rsidRDefault="002B0C1F" w:rsidP="002B0C1F">
      <w:pPr>
        <w:spacing w:after="0" w:line="276" w:lineRule="auto"/>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auditor public principal, </w:t>
      </w:r>
    </w:p>
    <w:p w:rsidR="002B0C1F" w:rsidRPr="002751FC" w:rsidRDefault="002B0C1F" w:rsidP="002B0C1F">
      <w:pPr>
        <w:spacing w:after="0" w:line="276" w:lineRule="auto"/>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șef al echipei de audit </w:t>
      </w:r>
    </w:p>
    <w:p w:rsidR="00C50159" w:rsidRPr="002751FC" w:rsidRDefault="00C50159" w:rsidP="002B0C1F">
      <w:pPr>
        <w:spacing w:after="0" w:line="276" w:lineRule="auto"/>
        <w:jc w:val="both"/>
        <w:rPr>
          <w:rFonts w:asciiTheme="majorHAnsi" w:hAnsiTheme="majorHAnsi" w:cstheme="majorHAnsi"/>
          <w:sz w:val="20"/>
          <w:szCs w:val="20"/>
          <w:lang w:val="ro-MD"/>
        </w:rPr>
      </w:pPr>
    </w:p>
    <w:p w:rsidR="002B0C1F" w:rsidRPr="002751FC" w:rsidRDefault="002B0C1F" w:rsidP="002B0C1F">
      <w:pPr>
        <w:spacing w:before="120" w:after="0" w:line="276" w:lineRule="auto"/>
        <w:jc w:val="both"/>
        <w:rPr>
          <w:rFonts w:asciiTheme="majorHAnsi" w:hAnsiTheme="majorHAnsi" w:cstheme="majorHAnsi"/>
          <w:sz w:val="28"/>
          <w:szCs w:val="28"/>
          <w:lang w:val="ro-MD"/>
        </w:rPr>
      </w:pPr>
      <w:r w:rsidRPr="002751FC">
        <w:rPr>
          <w:rFonts w:asciiTheme="majorHAnsi" w:hAnsiTheme="majorHAnsi" w:cstheme="majorHAnsi"/>
          <w:b/>
          <w:sz w:val="28"/>
          <w:szCs w:val="28"/>
          <w:lang w:val="ro-MD"/>
        </w:rPr>
        <w:t>Victor Verega</w:t>
      </w:r>
      <w:r w:rsidRPr="002751FC">
        <w:rPr>
          <w:rFonts w:asciiTheme="majorHAnsi" w:hAnsiTheme="majorHAnsi" w:cstheme="majorHAnsi"/>
          <w:sz w:val="28"/>
          <w:szCs w:val="28"/>
          <w:lang w:val="ro-MD"/>
        </w:rPr>
        <w:t xml:space="preserve"> _______________________</w:t>
      </w:r>
    </w:p>
    <w:p w:rsidR="002B0C1F" w:rsidRPr="002751FC" w:rsidRDefault="002B0C1F" w:rsidP="002B0C1F">
      <w:pPr>
        <w:spacing w:after="0" w:line="276" w:lineRule="auto"/>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auditor public, </w:t>
      </w:r>
    </w:p>
    <w:p w:rsidR="002B0C1F" w:rsidRPr="002751FC" w:rsidRDefault="002B0C1F" w:rsidP="002B0C1F">
      <w:pPr>
        <w:spacing w:after="0" w:line="276" w:lineRule="auto"/>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membru al echipei de audit </w:t>
      </w:r>
    </w:p>
    <w:p w:rsidR="002B0C1F" w:rsidRPr="002751FC" w:rsidRDefault="002B0C1F" w:rsidP="002B0C1F">
      <w:pPr>
        <w:spacing w:after="0" w:line="240" w:lineRule="auto"/>
        <w:jc w:val="both"/>
        <w:rPr>
          <w:rFonts w:asciiTheme="majorHAnsi" w:eastAsia="Times New Roman" w:hAnsiTheme="majorHAnsi" w:cstheme="majorHAnsi"/>
          <w:b/>
          <w:i/>
          <w:sz w:val="20"/>
          <w:szCs w:val="20"/>
          <w:lang w:val="ro-MD"/>
        </w:rPr>
      </w:pPr>
    </w:p>
    <w:p w:rsidR="002B0C1F" w:rsidRPr="002751FC" w:rsidRDefault="002B0C1F" w:rsidP="002B0C1F">
      <w:pPr>
        <w:spacing w:after="0" w:line="240" w:lineRule="auto"/>
        <w:jc w:val="both"/>
        <w:rPr>
          <w:rFonts w:asciiTheme="majorHAnsi" w:eastAsia="Times New Roman" w:hAnsiTheme="majorHAnsi" w:cstheme="majorHAnsi"/>
          <w:b/>
          <w:i/>
          <w:sz w:val="28"/>
          <w:szCs w:val="28"/>
          <w:lang w:val="ro-MD"/>
        </w:rPr>
      </w:pPr>
      <w:r w:rsidRPr="002751FC">
        <w:rPr>
          <w:rFonts w:asciiTheme="majorHAnsi" w:eastAsia="Times New Roman" w:hAnsiTheme="majorHAnsi" w:cstheme="majorHAnsi"/>
          <w:b/>
          <w:i/>
          <w:sz w:val="28"/>
          <w:szCs w:val="28"/>
          <w:lang w:val="ro-MD"/>
        </w:rPr>
        <w:t>Responsabil de monitorizarea misiunii de audit:</w:t>
      </w:r>
    </w:p>
    <w:p w:rsidR="00675F94" w:rsidRPr="002751FC" w:rsidRDefault="00675F94" w:rsidP="002B0C1F">
      <w:pPr>
        <w:spacing w:after="0" w:line="240" w:lineRule="auto"/>
        <w:jc w:val="both"/>
        <w:rPr>
          <w:rFonts w:asciiTheme="majorHAnsi" w:eastAsia="Times New Roman" w:hAnsiTheme="majorHAnsi" w:cstheme="majorHAnsi"/>
          <w:b/>
          <w:i/>
          <w:sz w:val="20"/>
          <w:szCs w:val="20"/>
          <w:lang w:val="ro-MD"/>
        </w:rPr>
      </w:pPr>
    </w:p>
    <w:p w:rsidR="002B0C1F" w:rsidRPr="002751FC" w:rsidRDefault="002B0C1F" w:rsidP="002B0C1F">
      <w:pPr>
        <w:spacing w:after="0" w:line="240" w:lineRule="auto"/>
        <w:jc w:val="both"/>
        <w:rPr>
          <w:rFonts w:asciiTheme="majorHAnsi" w:eastAsia="Times New Roman" w:hAnsiTheme="majorHAnsi" w:cstheme="majorHAnsi"/>
          <w:b/>
          <w:sz w:val="28"/>
          <w:szCs w:val="28"/>
          <w:lang w:val="ro-MD"/>
        </w:rPr>
      </w:pPr>
      <w:r w:rsidRPr="002751FC">
        <w:rPr>
          <w:rFonts w:asciiTheme="majorHAnsi" w:eastAsia="Times New Roman" w:hAnsiTheme="majorHAnsi" w:cstheme="majorHAnsi"/>
          <w:b/>
          <w:sz w:val="28"/>
          <w:szCs w:val="28"/>
          <w:lang w:val="ro-MD"/>
        </w:rPr>
        <w:t>Svetlana Purici ____________________</w:t>
      </w:r>
    </w:p>
    <w:p w:rsidR="002B0C1F" w:rsidRPr="002751FC" w:rsidRDefault="002B0C1F" w:rsidP="002F455A">
      <w:pPr>
        <w:spacing w:after="0" w:line="240" w:lineRule="auto"/>
        <w:jc w:val="both"/>
        <w:rPr>
          <w:rFonts w:asciiTheme="majorHAnsi" w:eastAsia="Times New Roman" w:hAnsiTheme="majorHAnsi" w:cstheme="majorHAnsi"/>
          <w:b/>
          <w:sz w:val="28"/>
          <w:szCs w:val="28"/>
          <w:lang w:val="ro-MD"/>
        </w:rPr>
      </w:pPr>
      <w:r w:rsidRPr="002751FC">
        <w:rPr>
          <w:rFonts w:asciiTheme="majorHAnsi" w:hAnsiTheme="majorHAnsi" w:cstheme="majorHAnsi"/>
          <w:sz w:val="28"/>
          <w:szCs w:val="28"/>
          <w:lang w:val="ro-MD"/>
        </w:rPr>
        <w:t>șeful Direcției generale de audit III</w:t>
      </w:r>
    </w:p>
    <w:p w:rsidR="002B0C1F" w:rsidRPr="002751FC" w:rsidRDefault="002B0C1F" w:rsidP="002B0C1F">
      <w:pPr>
        <w:jc w:val="center"/>
        <w:rPr>
          <w:rFonts w:asciiTheme="majorHAnsi" w:eastAsia="Times New Roman" w:hAnsiTheme="majorHAnsi" w:cstheme="majorHAnsi"/>
          <w:b/>
          <w:sz w:val="28"/>
          <w:szCs w:val="28"/>
          <w:lang w:val="ro-MD"/>
        </w:rPr>
      </w:pPr>
      <w:bookmarkStart w:id="76" w:name="_Toc8744971"/>
      <w:r w:rsidRPr="002751FC">
        <w:rPr>
          <w:rFonts w:asciiTheme="majorHAnsi" w:eastAsia="Times New Roman" w:hAnsiTheme="majorHAnsi" w:cstheme="majorHAnsi"/>
          <w:b/>
          <w:sz w:val="28"/>
          <w:szCs w:val="28"/>
          <w:highlight w:val="cyan"/>
          <w:lang w:val="ro-MD"/>
        </w:rPr>
        <w:br w:type="page"/>
      </w:r>
      <w:r w:rsidRPr="002751FC">
        <w:rPr>
          <w:rFonts w:asciiTheme="majorHAnsi" w:eastAsia="Times New Roman" w:hAnsiTheme="majorHAnsi" w:cstheme="majorHAnsi"/>
          <w:b/>
          <w:sz w:val="28"/>
          <w:szCs w:val="28"/>
          <w:lang w:val="ro-MD"/>
        </w:rPr>
        <w:lastRenderedPageBreak/>
        <w:t>ANEXE</w:t>
      </w:r>
      <w:bookmarkEnd w:id="76"/>
    </w:p>
    <w:p w:rsidR="002B0C1F" w:rsidRPr="002751FC" w:rsidRDefault="002B0C1F" w:rsidP="007E33C4">
      <w:pPr>
        <w:pStyle w:val="1"/>
        <w:spacing w:before="0" w:line="240" w:lineRule="auto"/>
        <w:jc w:val="right"/>
        <w:rPr>
          <w:rFonts w:eastAsia="Times New Roman" w:cstheme="majorHAnsi"/>
          <w:b/>
          <w:color w:val="auto"/>
          <w:sz w:val="28"/>
          <w:szCs w:val="28"/>
          <w:lang w:val="ro-MD"/>
        </w:rPr>
      </w:pPr>
      <w:bookmarkStart w:id="77" w:name="_Toc8744973"/>
      <w:bookmarkStart w:id="78" w:name="_Toc23259127"/>
      <w:r w:rsidRPr="002751FC">
        <w:rPr>
          <w:rFonts w:eastAsia="Times New Roman" w:cstheme="majorHAnsi"/>
          <w:b/>
          <w:color w:val="auto"/>
          <w:sz w:val="28"/>
          <w:szCs w:val="28"/>
          <w:lang w:val="ro-MD"/>
        </w:rPr>
        <w:t>Anexa nr.</w:t>
      </w:r>
      <w:bookmarkEnd w:id="77"/>
      <w:r w:rsidRPr="002751FC">
        <w:rPr>
          <w:rFonts w:eastAsia="Times New Roman" w:cstheme="majorHAnsi"/>
          <w:b/>
          <w:color w:val="auto"/>
          <w:sz w:val="28"/>
          <w:szCs w:val="28"/>
          <w:lang w:val="ro-MD"/>
        </w:rPr>
        <w:t>1</w:t>
      </w:r>
      <w:bookmarkEnd w:id="78"/>
    </w:p>
    <w:p w:rsidR="002B0C1F" w:rsidRPr="00A964C4" w:rsidRDefault="002B0C1F" w:rsidP="007E33C4">
      <w:pPr>
        <w:pStyle w:val="1"/>
        <w:spacing w:before="0" w:line="240" w:lineRule="auto"/>
        <w:rPr>
          <w:rFonts w:cstheme="majorHAnsi"/>
          <w:b/>
          <w:color w:val="auto"/>
          <w:sz w:val="28"/>
          <w:szCs w:val="28"/>
          <w:lang w:val="ro-MD"/>
        </w:rPr>
      </w:pPr>
      <w:bookmarkStart w:id="79" w:name="_Toc8744974"/>
      <w:bookmarkStart w:id="80" w:name="_Toc23259128"/>
      <w:r w:rsidRPr="00A964C4">
        <w:rPr>
          <w:rFonts w:cstheme="majorHAnsi"/>
          <w:b/>
          <w:color w:val="auto"/>
          <w:sz w:val="28"/>
          <w:szCs w:val="28"/>
          <w:lang w:val="ro-MD"/>
        </w:rPr>
        <w:t>Sfera și abordarea auditului</w:t>
      </w:r>
      <w:bookmarkEnd w:id="79"/>
      <w:bookmarkEnd w:id="80"/>
    </w:p>
    <w:p w:rsidR="002B0C1F" w:rsidRPr="002751FC" w:rsidRDefault="002B0C1F" w:rsidP="007E33C4">
      <w:pPr>
        <w:spacing w:after="0" w:line="240" w:lineRule="auto"/>
        <w:ind w:firstLine="36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În cadrul misiunii de audit efectuate au fost auditate activitățile realizate de către ONVV privind gestionarea Fondului Viei şi Vinului. </w:t>
      </w:r>
    </w:p>
    <w:p w:rsidR="002B0C1F" w:rsidRPr="002751FC" w:rsidRDefault="002B0C1F" w:rsidP="007E33C4">
      <w:pPr>
        <w:spacing w:after="0" w:line="240" w:lineRule="auto"/>
        <w:ind w:firstLine="36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Auditul a avut drept scop evaluarea conformității </w:t>
      </w:r>
      <w:r w:rsidRPr="002751FC">
        <w:rPr>
          <w:rFonts w:asciiTheme="majorHAnsi" w:hAnsiTheme="majorHAnsi" w:cstheme="majorHAnsi"/>
          <w:bCs/>
          <w:iCs/>
          <w:sz w:val="28"/>
          <w:szCs w:val="28"/>
          <w:lang w:val="ro-MD"/>
        </w:rPr>
        <w:t>alocării şi utilizării mijloacelor Fondului Viei şi Vinului corespunzător cadrului regulator</w:t>
      </w:r>
      <w:r w:rsidRPr="002751FC">
        <w:rPr>
          <w:rFonts w:asciiTheme="majorHAnsi" w:hAnsiTheme="majorHAnsi" w:cstheme="majorHAnsi"/>
          <w:sz w:val="28"/>
          <w:szCs w:val="28"/>
          <w:lang w:val="ro-MD"/>
        </w:rPr>
        <w:t>.</w:t>
      </w:r>
    </w:p>
    <w:p w:rsidR="002B0C1F" w:rsidRPr="002751FC" w:rsidRDefault="002B0C1F" w:rsidP="007E33C4">
      <w:pPr>
        <w:spacing w:after="0" w:line="240" w:lineRule="auto"/>
        <w:ind w:firstLine="360"/>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Pentru obținerea probelor relevante care să susțină constatările și concluziile de audit, echipa de audit a examinat documente și rapoarte, a analizat înregistrările în sistemele informaționale, a intervievat persoanele responsabile din cadrul entității auditate şi a realizat deplasări în teren cu scopul vizualizării loturilor demonstrative şi a echipamentului procurat de ONVV pe parcursul anului 2018. </w:t>
      </w:r>
    </w:p>
    <w:p w:rsidR="002B0C1F" w:rsidRPr="002751FC" w:rsidRDefault="002B0C1F" w:rsidP="007E33C4">
      <w:pPr>
        <w:pStyle w:val="2"/>
        <w:spacing w:before="0" w:line="240" w:lineRule="auto"/>
        <w:jc w:val="left"/>
        <w:rPr>
          <w:rFonts w:asciiTheme="majorHAnsi" w:hAnsiTheme="majorHAnsi" w:cstheme="majorHAnsi"/>
          <w:szCs w:val="28"/>
          <w:lang w:val="ro-MD"/>
        </w:rPr>
      </w:pPr>
    </w:p>
    <w:p w:rsidR="002B0C1F" w:rsidRPr="002751FC" w:rsidRDefault="002B0C1F" w:rsidP="007E33C4">
      <w:pPr>
        <w:spacing w:after="0" w:line="240" w:lineRule="auto"/>
        <w:ind w:firstLine="360"/>
        <w:jc w:val="both"/>
        <w:rPr>
          <w:rFonts w:asciiTheme="majorHAnsi" w:hAnsiTheme="majorHAnsi" w:cstheme="majorHAnsi"/>
          <w:bCs/>
          <w:iCs/>
          <w:sz w:val="28"/>
          <w:szCs w:val="28"/>
          <w:lang w:val="ro-MD"/>
        </w:rPr>
      </w:pPr>
      <w:r w:rsidRPr="002751FC">
        <w:rPr>
          <w:rFonts w:asciiTheme="majorHAnsi" w:hAnsiTheme="majorHAnsi" w:cstheme="majorHAnsi"/>
          <w:bCs/>
          <w:iCs/>
          <w:sz w:val="28"/>
          <w:szCs w:val="28"/>
          <w:lang w:val="ro-MD"/>
        </w:rPr>
        <w:t>În cadrul misiunii de audit efectuate au fost auditate activități, entități implicate în gestionarea mijloacelor FVV. Astfel, probele de audit au fost colect</w:t>
      </w:r>
      <w:r w:rsidR="00173968" w:rsidRPr="002751FC">
        <w:rPr>
          <w:rFonts w:asciiTheme="majorHAnsi" w:hAnsiTheme="majorHAnsi" w:cstheme="majorHAnsi"/>
          <w:bCs/>
          <w:iCs/>
          <w:sz w:val="28"/>
          <w:szCs w:val="28"/>
          <w:lang w:val="ro-MD"/>
        </w:rPr>
        <w:t>ate de la ONVV, SFS, SV și MF.</w:t>
      </w:r>
    </w:p>
    <w:p w:rsidR="002B0C1F" w:rsidRPr="002751FC" w:rsidRDefault="002B0C1F" w:rsidP="007E33C4">
      <w:pPr>
        <w:spacing w:after="0" w:line="240" w:lineRule="auto"/>
        <w:ind w:firstLine="360"/>
        <w:jc w:val="both"/>
        <w:rPr>
          <w:rFonts w:asciiTheme="majorHAnsi" w:hAnsiTheme="majorHAnsi" w:cstheme="majorHAnsi"/>
          <w:bCs/>
          <w:iCs/>
          <w:sz w:val="28"/>
          <w:szCs w:val="28"/>
          <w:lang w:val="ro-MD"/>
        </w:rPr>
      </w:pPr>
      <w:r w:rsidRPr="002751FC">
        <w:rPr>
          <w:rFonts w:asciiTheme="majorHAnsi" w:hAnsiTheme="majorHAnsi" w:cstheme="majorHAnsi"/>
          <w:bCs/>
          <w:iCs/>
          <w:sz w:val="28"/>
          <w:szCs w:val="28"/>
          <w:lang w:val="ro-MD"/>
        </w:rPr>
        <w:t xml:space="preserve">Pe parcursul misiunii de audit, la efectuarea activităților aferente, echipa de audit a Curții de Conturi s-a ghidat de: ISSAI 100 „Principii fundamentale ale auditului sectorului public”; ISSAI 400 </w:t>
      </w:r>
      <w:r w:rsidR="000B6FD6" w:rsidRPr="002751FC">
        <w:rPr>
          <w:rFonts w:asciiTheme="majorHAnsi" w:hAnsiTheme="majorHAnsi" w:cstheme="majorHAnsi"/>
          <w:bCs/>
          <w:iCs/>
          <w:sz w:val="28"/>
          <w:szCs w:val="28"/>
          <w:lang w:val="ro-MD"/>
        </w:rPr>
        <w:t>„</w:t>
      </w:r>
      <w:r w:rsidRPr="002751FC">
        <w:rPr>
          <w:rFonts w:asciiTheme="majorHAnsi" w:hAnsiTheme="majorHAnsi" w:cstheme="majorHAnsi"/>
          <w:bCs/>
          <w:iCs/>
          <w:sz w:val="28"/>
          <w:szCs w:val="28"/>
          <w:lang w:val="ro-MD"/>
        </w:rPr>
        <w:t xml:space="preserve">Principii fundamentale ale auditului de conformitate”; ISSAI 4000 </w:t>
      </w:r>
      <w:r w:rsidR="000B6FD6" w:rsidRPr="002751FC">
        <w:rPr>
          <w:rFonts w:asciiTheme="majorHAnsi" w:hAnsiTheme="majorHAnsi" w:cstheme="majorHAnsi"/>
          <w:bCs/>
          <w:iCs/>
          <w:sz w:val="28"/>
          <w:szCs w:val="28"/>
          <w:lang w:val="ro-MD"/>
        </w:rPr>
        <w:t>„</w:t>
      </w:r>
      <w:r w:rsidRPr="002751FC">
        <w:rPr>
          <w:rFonts w:asciiTheme="majorHAnsi" w:hAnsiTheme="majorHAnsi" w:cstheme="majorHAnsi"/>
          <w:bCs/>
          <w:iCs/>
          <w:sz w:val="28"/>
          <w:szCs w:val="28"/>
          <w:lang w:val="ro-MD"/>
        </w:rPr>
        <w:t>Ghidul auditului de conformitate. Introducere generală”; actele legislative și normative în vigoare aferente domeniului auditat.</w:t>
      </w:r>
    </w:p>
    <w:p w:rsidR="002B0C1F" w:rsidRPr="002751FC" w:rsidRDefault="002B0C1F" w:rsidP="007E33C4">
      <w:pPr>
        <w:spacing w:after="0" w:line="240" w:lineRule="auto"/>
        <w:rPr>
          <w:rFonts w:asciiTheme="majorHAnsi" w:hAnsiTheme="majorHAnsi" w:cstheme="majorHAnsi"/>
          <w:szCs w:val="28"/>
          <w:lang w:val="ro-MD"/>
        </w:rPr>
      </w:pPr>
    </w:p>
    <w:p w:rsidR="002B0C1F" w:rsidRPr="002751FC" w:rsidRDefault="002B0C1F" w:rsidP="007E33C4">
      <w:pPr>
        <w:spacing w:after="0" w:line="240" w:lineRule="auto"/>
        <w:jc w:val="both"/>
        <w:rPr>
          <w:rFonts w:asciiTheme="majorHAnsi" w:hAnsiTheme="majorHAnsi" w:cstheme="majorHAnsi"/>
          <w:b/>
          <w:sz w:val="28"/>
          <w:szCs w:val="28"/>
          <w:lang w:val="ro-MD"/>
        </w:rPr>
      </w:pPr>
      <w:r w:rsidRPr="002751FC">
        <w:rPr>
          <w:rFonts w:asciiTheme="majorHAnsi" w:hAnsiTheme="majorHAnsi" w:cstheme="majorHAnsi"/>
          <w:b/>
          <w:sz w:val="28"/>
          <w:szCs w:val="28"/>
          <w:lang w:val="ro-MD"/>
        </w:rPr>
        <w:t>Metodol</w:t>
      </w:r>
      <w:r w:rsidR="00E212A0" w:rsidRPr="002751FC">
        <w:rPr>
          <w:rFonts w:asciiTheme="majorHAnsi" w:hAnsiTheme="majorHAnsi" w:cstheme="majorHAnsi"/>
          <w:b/>
          <w:sz w:val="28"/>
          <w:szCs w:val="28"/>
          <w:lang w:val="ro-MD"/>
        </w:rPr>
        <w:t>o</w:t>
      </w:r>
      <w:r w:rsidRPr="002751FC">
        <w:rPr>
          <w:rFonts w:asciiTheme="majorHAnsi" w:hAnsiTheme="majorHAnsi" w:cstheme="majorHAnsi"/>
          <w:b/>
          <w:sz w:val="28"/>
          <w:szCs w:val="28"/>
          <w:lang w:val="ro-MD"/>
        </w:rPr>
        <w:t>gia auditului</w:t>
      </w:r>
    </w:p>
    <w:p w:rsidR="002B0C1F" w:rsidRPr="002751FC" w:rsidRDefault="002B0C1F" w:rsidP="007E33C4">
      <w:pPr>
        <w:spacing w:after="0" w:line="240" w:lineRule="auto"/>
        <w:jc w:val="both"/>
        <w:rPr>
          <w:rFonts w:asciiTheme="majorHAnsi" w:hAnsiTheme="majorHAnsi" w:cstheme="majorHAnsi"/>
          <w:bCs/>
          <w:iCs/>
          <w:sz w:val="28"/>
          <w:szCs w:val="28"/>
          <w:lang w:val="ro-MD"/>
        </w:rPr>
      </w:pPr>
    </w:p>
    <w:p w:rsidR="002B0C1F" w:rsidRPr="002751FC" w:rsidRDefault="002B0C1F" w:rsidP="007E33C4">
      <w:pPr>
        <w:spacing w:after="0" w:line="240" w:lineRule="auto"/>
        <w:jc w:val="both"/>
        <w:rPr>
          <w:rFonts w:asciiTheme="majorHAnsi" w:hAnsiTheme="majorHAnsi" w:cstheme="majorHAnsi"/>
          <w:b/>
          <w:sz w:val="28"/>
          <w:szCs w:val="28"/>
          <w:lang w:val="ro-MD"/>
        </w:rPr>
      </w:pPr>
      <w:r w:rsidRPr="002751FC">
        <w:rPr>
          <w:rFonts w:asciiTheme="majorHAnsi" w:hAnsiTheme="majorHAnsi" w:cstheme="majorHAnsi"/>
          <w:sz w:val="28"/>
          <w:szCs w:val="28"/>
          <w:lang w:val="ro-MD"/>
        </w:rPr>
        <w:t xml:space="preserve">Pentru obținerea unor probe relevante și rezonabile, care să susțină concluziile și credibilitatea constatărilor expuse în </w:t>
      </w:r>
      <w:r w:rsidR="00556E4C" w:rsidRPr="002751FC">
        <w:rPr>
          <w:rFonts w:asciiTheme="majorHAnsi" w:hAnsiTheme="majorHAnsi" w:cstheme="majorHAnsi"/>
          <w:sz w:val="28"/>
          <w:szCs w:val="28"/>
          <w:lang w:val="ro-MD"/>
        </w:rPr>
        <w:t xml:space="preserve">prezentul </w:t>
      </w:r>
      <w:r w:rsidRPr="002751FC">
        <w:rPr>
          <w:rFonts w:asciiTheme="majorHAnsi" w:hAnsiTheme="majorHAnsi" w:cstheme="majorHAnsi"/>
          <w:sz w:val="28"/>
          <w:szCs w:val="28"/>
          <w:lang w:val="ro-MD"/>
        </w:rPr>
        <w:t>Raport, echipa de audit a utilizat mai multe proceduri de audit, cum ar fi: examinarea documentelor și a rapoartelor, analiza dosarelor aferente proiectelor selectate spre auditare, observațiile etc. În cadrul acțiunii de audit au fost colectate, sintetizate, analizate și interpretate probe de audit fizice, verbale, documentare și analitice.</w:t>
      </w:r>
    </w:p>
    <w:p w:rsidR="002B0C1F" w:rsidRPr="002751FC" w:rsidRDefault="002B0C1F" w:rsidP="007E33C4">
      <w:pPr>
        <w:spacing w:after="0" w:line="240" w:lineRule="auto"/>
        <w:jc w:val="both"/>
        <w:rPr>
          <w:rFonts w:asciiTheme="majorHAnsi" w:hAnsiTheme="majorHAnsi" w:cstheme="majorHAnsi"/>
          <w:bCs/>
          <w:iCs/>
          <w:sz w:val="28"/>
          <w:szCs w:val="28"/>
          <w:lang w:val="ro-MD"/>
        </w:rPr>
      </w:pPr>
    </w:p>
    <w:p w:rsidR="002B0C1F" w:rsidRPr="002751FC" w:rsidRDefault="002B0C1F" w:rsidP="007E33C4">
      <w:pPr>
        <w:spacing w:after="0" w:line="240" w:lineRule="auto"/>
        <w:jc w:val="both"/>
        <w:rPr>
          <w:rFonts w:asciiTheme="majorHAnsi" w:hAnsiTheme="majorHAnsi" w:cstheme="majorHAnsi"/>
          <w:sz w:val="28"/>
          <w:szCs w:val="28"/>
          <w:lang w:val="ro-MD"/>
        </w:rPr>
      </w:pPr>
      <w:r w:rsidRPr="002751FC">
        <w:rPr>
          <w:rFonts w:asciiTheme="majorHAnsi" w:hAnsiTheme="majorHAnsi" w:cstheme="majorHAnsi"/>
          <w:sz w:val="28"/>
          <w:szCs w:val="28"/>
          <w:lang w:val="ro-MD"/>
        </w:rPr>
        <w:t xml:space="preserve">Tehnicile și procedurile de audit utilizate pentru realizarea misiunii de audit au constat în examinarea: (i) structurii organizaționale a ONVV, </w:t>
      </w:r>
      <w:r w:rsidRPr="002751FC">
        <w:rPr>
          <w:rFonts w:asciiTheme="majorHAnsi" w:hAnsiTheme="majorHAnsi" w:cstheme="majorHAnsi"/>
          <w:b/>
          <w:sz w:val="28"/>
          <w:szCs w:val="28"/>
          <w:lang w:val="ro-MD"/>
        </w:rPr>
        <w:t>(ii)</w:t>
      </w:r>
      <w:r w:rsidRPr="002751FC">
        <w:rPr>
          <w:rFonts w:asciiTheme="majorHAnsi" w:hAnsiTheme="majorHAnsi" w:cstheme="majorHAnsi"/>
          <w:sz w:val="28"/>
          <w:szCs w:val="28"/>
          <w:lang w:val="ro-MD"/>
        </w:rPr>
        <w:t xml:space="preserve"> </w:t>
      </w:r>
      <w:r w:rsidR="00556E4C" w:rsidRPr="002751FC">
        <w:rPr>
          <w:rFonts w:asciiTheme="majorHAnsi" w:hAnsiTheme="majorHAnsi" w:cstheme="majorHAnsi"/>
          <w:sz w:val="28"/>
          <w:szCs w:val="28"/>
          <w:lang w:val="ro-MD"/>
        </w:rPr>
        <w:t>p</w:t>
      </w:r>
      <w:r w:rsidRPr="002751FC">
        <w:rPr>
          <w:rFonts w:asciiTheme="majorHAnsi" w:hAnsiTheme="majorHAnsi" w:cstheme="majorHAnsi"/>
          <w:sz w:val="28"/>
          <w:szCs w:val="28"/>
          <w:lang w:val="ro-MD"/>
        </w:rPr>
        <w:t xml:space="preserve">roceselor-verbale ale CC, </w:t>
      </w:r>
      <w:r w:rsidRPr="002751FC">
        <w:rPr>
          <w:rFonts w:asciiTheme="majorHAnsi" w:hAnsiTheme="majorHAnsi" w:cstheme="majorHAnsi"/>
          <w:b/>
          <w:sz w:val="28"/>
          <w:szCs w:val="28"/>
          <w:lang w:val="ro-MD"/>
        </w:rPr>
        <w:t>(iii)</w:t>
      </w:r>
      <w:r w:rsidRPr="002751FC">
        <w:rPr>
          <w:rFonts w:asciiTheme="majorHAnsi" w:hAnsiTheme="majorHAnsi" w:cstheme="majorHAnsi"/>
          <w:sz w:val="28"/>
          <w:szCs w:val="28"/>
          <w:lang w:val="ro-MD"/>
        </w:rPr>
        <w:t xml:space="preserve"> fișelor postului ale angajaților din cadrul ONVV, </w:t>
      </w:r>
      <w:r w:rsidRPr="002751FC">
        <w:rPr>
          <w:rFonts w:asciiTheme="majorHAnsi" w:hAnsiTheme="majorHAnsi" w:cstheme="majorHAnsi"/>
          <w:b/>
          <w:sz w:val="28"/>
          <w:szCs w:val="28"/>
          <w:lang w:val="ro-MD"/>
        </w:rPr>
        <w:t>(iv)</w:t>
      </w:r>
      <w:r w:rsidRPr="002751FC">
        <w:rPr>
          <w:rFonts w:asciiTheme="majorHAnsi" w:hAnsiTheme="majorHAnsi" w:cstheme="majorHAnsi"/>
          <w:sz w:val="28"/>
          <w:szCs w:val="28"/>
          <w:lang w:val="ro-MD"/>
        </w:rPr>
        <w:t xml:space="preserve"> Registrului vitivinicol, </w:t>
      </w:r>
      <w:r w:rsidRPr="002751FC">
        <w:rPr>
          <w:rFonts w:asciiTheme="majorHAnsi" w:hAnsiTheme="majorHAnsi" w:cstheme="majorHAnsi"/>
          <w:b/>
          <w:sz w:val="28"/>
          <w:szCs w:val="28"/>
          <w:lang w:val="ro-MD"/>
        </w:rPr>
        <w:t>(v)</w:t>
      </w:r>
      <w:r w:rsidRPr="002751FC">
        <w:rPr>
          <w:rFonts w:asciiTheme="majorHAnsi" w:hAnsiTheme="majorHAnsi" w:cstheme="majorHAnsi"/>
          <w:sz w:val="28"/>
          <w:szCs w:val="28"/>
          <w:lang w:val="ro-MD"/>
        </w:rPr>
        <w:t xml:space="preserve"> solicitărilor depuse la ONVV pentru înregistrarea în FVV etc.</w:t>
      </w:r>
    </w:p>
    <w:p w:rsidR="002B0C1F" w:rsidRPr="002751FC" w:rsidRDefault="002B0C1F" w:rsidP="007E33C4">
      <w:pPr>
        <w:spacing w:after="0" w:line="240" w:lineRule="auto"/>
        <w:jc w:val="both"/>
        <w:rPr>
          <w:rFonts w:asciiTheme="majorHAnsi" w:hAnsiTheme="majorHAnsi" w:cstheme="majorHAnsi"/>
          <w:bCs/>
          <w:iCs/>
          <w:sz w:val="28"/>
          <w:szCs w:val="28"/>
          <w:lang w:val="ro-MD"/>
        </w:rPr>
      </w:pPr>
    </w:p>
    <w:p w:rsidR="00A964C4" w:rsidRDefault="00A964C4" w:rsidP="007E33C4">
      <w:pPr>
        <w:spacing w:after="0" w:line="240" w:lineRule="auto"/>
        <w:jc w:val="both"/>
        <w:rPr>
          <w:rFonts w:asciiTheme="majorHAnsi" w:eastAsia="Times New Roman" w:hAnsiTheme="majorHAnsi" w:cstheme="majorHAnsi"/>
          <w:b/>
          <w:sz w:val="28"/>
          <w:szCs w:val="28"/>
          <w:lang w:val="ro-MD"/>
        </w:rPr>
      </w:pPr>
    </w:p>
    <w:p w:rsidR="00A964C4" w:rsidRDefault="00A964C4" w:rsidP="007E33C4">
      <w:pPr>
        <w:spacing w:after="0" w:line="240" w:lineRule="auto"/>
        <w:jc w:val="both"/>
        <w:rPr>
          <w:rFonts w:asciiTheme="majorHAnsi" w:eastAsia="Times New Roman" w:hAnsiTheme="majorHAnsi" w:cstheme="majorHAnsi"/>
          <w:b/>
          <w:sz w:val="28"/>
          <w:szCs w:val="28"/>
          <w:lang w:val="ro-MD"/>
        </w:rPr>
      </w:pPr>
    </w:p>
    <w:p w:rsidR="002B0C1F" w:rsidRPr="002751FC" w:rsidRDefault="002B0C1F" w:rsidP="007E33C4">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b/>
          <w:sz w:val="28"/>
          <w:szCs w:val="28"/>
          <w:lang w:val="ro-MD"/>
        </w:rPr>
        <w:lastRenderedPageBreak/>
        <w:t>Criteriile de audit</w:t>
      </w:r>
      <w:r w:rsidRPr="002751FC">
        <w:rPr>
          <w:rFonts w:asciiTheme="majorHAnsi" w:eastAsia="Times New Roman" w:hAnsiTheme="majorHAnsi" w:cstheme="majorHAnsi"/>
          <w:sz w:val="28"/>
          <w:szCs w:val="28"/>
          <w:lang w:val="ro-MD"/>
        </w:rPr>
        <w:t xml:space="preserve"> </w:t>
      </w:r>
    </w:p>
    <w:p w:rsidR="002B0C1F" w:rsidRPr="002751FC" w:rsidRDefault="002B0C1F" w:rsidP="007E33C4">
      <w:pPr>
        <w:spacing w:after="0" w:line="240" w:lineRule="auto"/>
        <w:jc w:val="both"/>
        <w:rPr>
          <w:rFonts w:asciiTheme="majorHAnsi" w:eastAsia="Times New Roman" w:hAnsiTheme="majorHAnsi" w:cstheme="majorHAnsi"/>
          <w:sz w:val="28"/>
          <w:szCs w:val="28"/>
          <w:lang w:val="ro-MD"/>
        </w:rPr>
      </w:pPr>
    </w:p>
    <w:p w:rsidR="002B0C1F" w:rsidRPr="002751FC" w:rsidRDefault="002B0C1F" w:rsidP="007E33C4">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Drept surse ale criteriilor de audit au servit actele legislative și normative ce reglementează realizarea activităților de către ONVV, standardele și măsurile adoptate, angajamentele asumate în ceea ce privește atingerea rezultatelor. </w:t>
      </w:r>
    </w:p>
    <w:p w:rsidR="002B0C1F" w:rsidRPr="002751FC" w:rsidRDefault="002B0C1F" w:rsidP="007E33C4">
      <w:pPr>
        <w:spacing w:after="0" w:line="240" w:lineRule="auto"/>
        <w:jc w:val="both"/>
        <w:rPr>
          <w:rFonts w:asciiTheme="majorHAnsi" w:eastAsia="Times New Roman" w:hAnsiTheme="majorHAnsi" w:cstheme="majorHAnsi"/>
          <w:sz w:val="28"/>
          <w:szCs w:val="28"/>
          <w:lang w:val="ro-MD"/>
        </w:rPr>
      </w:pPr>
    </w:p>
    <w:p w:rsidR="002B0C1F" w:rsidRPr="002751FC" w:rsidRDefault="002B0C1F" w:rsidP="007E33C4">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Constatările și concluziile asupra aspectelor auditate în cadrul auditului sunt redate în compartimentele respective ale prezentului Raport de audit.</w:t>
      </w:r>
    </w:p>
    <w:p w:rsidR="002B0C1F" w:rsidRPr="002751FC" w:rsidRDefault="002B0C1F" w:rsidP="007E33C4">
      <w:pPr>
        <w:spacing w:after="0" w:line="240" w:lineRule="auto"/>
        <w:ind w:firstLine="360"/>
        <w:jc w:val="both"/>
        <w:rPr>
          <w:rFonts w:asciiTheme="majorHAnsi" w:hAnsiTheme="majorHAnsi" w:cstheme="majorHAnsi"/>
          <w:bCs/>
          <w:iCs/>
          <w:sz w:val="28"/>
          <w:szCs w:val="28"/>
          <w:lang w:val="ro-MD"/>
        </w:rPr>
      </w:pPr>
    </w:p>
    <w:p w:rsidR="002B0C1F" w:rsidRPr="002751FC" w:rsidRDefault="002B0C1F" w:rsidP="007E33C4">
      <w:pPr>
        <w:spacing w:after="0" w:line="240" w:lineRule="auto"/>
        <w:rPr>
          <w:rFonts w:asciiTheme="majorHAnsi" w:hAnsiTheme="majorHAnsi" w:cstheme="majorHAnsi"/>
          <w:b/>
          <w:i/>
          <w:sz w:val="28"/>
          <w:szCs w:val="28"/>
          <w:lang w:val="ro-MD"/>
        </w:rPr>
      </w:pPr>
      <w:r w:rsidRPr="002751FC">
        <w:rPr>
          <w:rFonts w:asciiTheme="majorHAnsi" w:hAnsiTheme="majorHAnsi" w:cstheme="majorHAnsi"/>
          <w:b/>
          <w:i/>
          <w:sz w:val="28"/>
          <w:szCs w:val="28"/>
          <w:lang w:val="ro-MD"/>
        </w:rPr>
        <w:t>Actele legislative și normative ce reglementează domeniul auditat</w:t>
      </w:r>
    </w:p>
    <w:p w:rsidR="002B0C1F" w:rsidRPr="002751FC" w:rsidRDefault="002B0C1F" w:rsidP="007E33C4">
      <w:pPr>
        <w:spacing w:after="0" w:line="240" w:lineRule="auto"/>
        <w:ind w:firstLine="360"/>
        <w:jc w:val="both"/>
        <w:rPr>
          <w:rFonts w:asciiTheme="majorHAnsi" w:hAnsiTheme="majorHAnsi" w:cstheme="majorHAnsi"/>
          <w:bCs/>
          <w:iCs/>
          <w:sz w:val="28"/>
          <w:szCs w:val="28"/>
          <w:lang w:val="ro-MD"/>
        </w:rPr>
      </w:pPr>
    </w:p>
    <w:p w:rsidR="002B0C1F" w:rsidRPr="002751FC" w:rsidRDefault="002B0C1F" w:rsidP="007E33C4">
      <w:pPr>
        <w:pStyle w:val="ac"/>
        <w:numPr>
          <w:ilvl w:val="0"/>
          <w:numId w:val="27"/>
        </w:numPr>
        <w:tabs>
          <w:tab w:val="left" w:pos="851"/>
        </w:tabs>
        <w:ind w:left="0" w:firstLine="567"/>
        <w:rPr>
          <w:rFonts w:asciiTheme="majorHAnsi" w:hAnsiTheme="majorHAnsi" w:cstheme="majorHAnsi"/>
          <w:lang w:val="ro-MD"/>
        </w:rPr>
      </w:pPr>
      <w:proofErr w:type="spellStart"/>
      <w:r w:rsidRPr="002751FC">
        <w:rPr>
          <w:rFonts w:asciiTheme="majorHAnsi" w:hAnsiTheme="majorHAnsi" w:cstheme="majorHAnsi"/>
          <w:lang w:val="ro-MD"/>
        </w:rPr>
        <w:t>Constituţia</w:t>
      </w:r>
      <w:proofErr w:type="spellEnd"/>
      <w:r w:rsidRPr="002751FC">
        <w:rPr>
          <w:rFonts w:asciiTheme="majorHAnsi" w:hAnsiTheme="majorHAnsi" w:cstheme="majorHAnsi"/>
          <w:lang w:val="ro-MD"/>
        </w:rPr>
        <w:t xml:space="preserve"> Republicii Moldova;</w:t>
      </w:r>
    </w:p>
    <w:p w:rsidR="002B0C1F" w:rsidRPr="002751FC" w:rsidRDefault="002B0C1F" w:rsidP="007E33C4">
      <w:pPr>
        <w:pStyle w:val="ac"/>
        <w:numPr>
          <w:ilvl w:val="0"/>
          <w:numId w:val="27"/>
        </w:numPr>
        <w:tabs>
          <w:tab w:val="left" w:pos="851"/>
        </w:tabs>
        <w:ind w:left="0" w:firstLine="567"/>
        <w:rPr>
          <w:rFonts w:asciiTheme="majorHAnsi" w:hAnsiTheme="majorHAnsi" w:cstheme="majorHAnsi"/>
          <w:lang w:val="ro-MD"/>
        </w:rPr>
      </w:pPr>
      <w:r w:rsidRPr="002751FC">
        <w:rPr>
          <w:rFonts w:asciiTheme="majorHAnsi" w:hAnsiTheme="majorHAnsi" w:cstheme="majorHAnsi"/>
          <w:lang w:val="ro-MD"/>
        </w:rPr>
        <w:t>Legea viei şi vinului nr.57 din 10.03.2006;</w:t>
      </w:r>
    </w:p>
    <w:p w:rsidR="002B0C1F" w:rsidRPr="002751FC" w:rsidRDefault="002B0C1F" w:rsidP="007E33C4">
      <w:pPr>
        <w:pStyle w:val="ac"/>
        <w:numPr>
          <w:ilvl w:val="0"/>
          <w:numId w:val="27"/>
        </w:numPr>
        <w:tabs>
          <w:tab w:val="left" w:pos="851"/>
        </w:tabs>
        <w:ind w:left="0" w:firstLine="567"/>
        <w:rPr>
          <w:rFonts w:asciiTheme="majorHAnsi" w:hAnsiTheme="majorHAnsi" w:cstheme="majorHAnsi"/>
          <w:lang w:val="ro-MD"/>
        </w:rPr>
      </w:pPr>
      <w:r w:rsidRPr="002751FC">
        <w:rPr>
          <w:rFonts w:asciiTheme="majorHAnsi" w:hAnsiTheme="majorHAnsi" w:cstheme="majorHAnsi"/>
          <w:lang w:val="ro-MD"/>
        </w:rPr>
        <w:t>Lege</w:t>
      </w:r>
      <w:r w:rsidR="00556E4C" w:rsidRPr="002751FC">
        <w:rPr>
          <w:rFonts w:asciiTheme="majorHAnsi" w:hAnsiTheme="majorHAnsi" w:cstheme="majorHAnsi"/>
          <w:lang w:val="ro-MD"/>
        </w:rPr>
        <w:t>a</w:t>
      </w:r>
      <w:r w:rsidRPr="002751FC">
        <w:rPr>
          <w:rFonts w:asciiTheme="majorHAnsi" w:hAnsiTheme="majorHAnsi" w:cstheme="majorHAnsi"/>
          <w:lang w:val="ro-MD"/>
        </w:rPr>
        <w:t xml:space="preserve"> nr.227 din 10.12.2015 cu privire la plata de către producătorii de produse vitivinicole a </w:t>
      </w:r>
      <w:proofErr w:type="spellStart"/>
      <w:r w:rsidRPr="002751FC">
        <w:rPr>
          <w:rFonts w:asciiTheme="majorHAnsi" w:hAnsiTheme="majorHAnsi" w:cstheme="majorHAnsi"/>
          <w:lang w:val="ro-MD"/>
        </w:rPr>
        <w:t>contribuţiilor</w:t>
      </w:r>
      <w:proofErr w:type="spellEnd"/>
      <w:r w:rsidRPr="002751FC">
        <w:rPr>
          <w:rFonts w:asciiTheme="majorHAnsi" w:hAnsiTheme="majorHAnsi" w:cstheme="majorHAnsi"/>
          <w:lang w:val="ro-MD"/>
        </w:rPr>
        <w:t xml:space="preserve"> obligatorii în Fondul Viei şi Vinului;</w:t>
      </w:r>
    </w:p>
    <w:p w:rsidR="002B0C1F" w:rsidRPr="002751FC" w:rsidRDefault="002B0C1F" w:rsidP="007E33C4">
      <w:pPr>
        <w:pStyle w:val="ac"/>
        <w:numPr>
          <w:ilvl w:val="0"/>
          <w:numId w:val="27"/>
        </w:numPr>
        <w:tabs>
          <w:tab w:val="left" w:pos="851"/>
        </w:tabs>
        <w:ind w:left="0" w:firstLine="567"/>
        <w:rPr>
          <w:rFonts w:asciiTheme="majorHAnsi" w:hAnsiTheme="majorHAnsi" w:cstheme="majorHAnsi"/>
          <w:lang w:val="ro-MD"/>
        </w:rPr>
      </w:pPr>
      <w:r w:rsidRPr="002751FC">
        <w:rPr>
          <w:rFonts w:asciiTheme="majorHAnsi" w:hAnsiTheme="majorHAnsi" w:cstheme="majorHAnsi"/>
          <w:lang w:val="ro-MD"/>
        </w:rPr>
        <w:t xml:space="preserve">Hotărârea Guvernului nr.725 din 16.09.2013 </w:t>
      </w:r>
      <w:r w:rsidR="00556E4C" w:rsidRPr="002751FC">
        <w:rPr>
          <w:rFonts w:asciiTheme="majorHAnsi" w:hAnsiTheme="majorHAnsi" w:cstheme="majorHAnsi"/>
          <w:lang w:val="ro-MD"/>
        </w:rPr>
        <w:t>„C</w:t>
      </w:r>
      <w:r w:rsidRPr="002751FC">
        <w:rPr>
          <w:rFonts w:asciiTheme="majorHAnsi" w:hAnsiTheme="majorHAnsi" w:cstheme="majorHAnsi"/>
          <w:lang w:val="ro-MD"/>
        </w:rPr>
        <w:t>u privire la Oficiul Naţional al Viei şi Vinului</w:t>
      </w:r>
      <w:r w:rsidR="00556E4C" w:rsidRPr="002751FC">
        <w:rPr>
          <w:rFonts w:asciiTheme="majorHAnsi" w:hAnsiTheme="majorHAnsi" w:cstheme="majorHAnsi"/>
          <w:lang w:val="ro-MD"/>
        </w:rPr>
        <w:t>”</w:t>
      </w:r>
      <w:r w:rsidRPr="002751FC">
        <w:rPr>
          <w:rFonts w:asciiTheme="majorHAnsi" w:hAnsiTheme="majorHAnsi" w:cstheme="majorHAnsi"/>
          <w:lang w:val="ro-MD"/>
        </w:rPr>
        <w:t>;</w:t>
      </w:r>
    </w:p>
    <w:p w:rsidR="002B0C1F" w:rsidRPr="002751FC" w:rsidRDefault="002B0C1F" w:rsidP="007E33C4">
      <w:pPr>
        <w:pStyle w:val="ac"/>
        <w:numPr>
          <w:ilvl w:val="0"/>
          <w:numId w:val="27"/>
        </w:numPr>
        <w:tabs>
          <w:tab w:val="left" w:pos="851"/>
        </w:tabs>
        <w:ind w:left="0" w:firstLine="567"/>
        <w:rPr>
          <w:rFonts w:asciiTheme="majorHAnsi" w:hAnsiTheme="majorHAnsi" w:cstheme="majorHAnsi"/>
          <w:lang w:val="ro-MD"/>
        </w:rPr>
      </w:pPr>
      <w:r w:rsidRPr="002751FC">
        <w:rPr>
          <w:rFonts w:asciiTheme="majorHAnsi" w:hAnsiTheme="majorHAnsi" w:cstheme="majorHAnsi"/>
          <w:lang w:val="ro-MD"/>
        </w:rPr>
        <w:t xml:space="preserve">Hotărârea Guvernului nr.726 din 16.09.2013 </w:t>
      </w:r>
      <w:r w:rsidR="00556E4C" w:rsidRPr="002751FC">
        <w:rPr>
          <w:rFonts w:asciiTheme="majorHAnsi" w:hAnsiTheme="majorHAnsi" w:cstheme="majorHAnsi"/>
          <w:lang w:val="ro-MD"/>
        </w:rPr>
        <w:t>„C</w:t>
      </w:r>
      <w:r w:rsidRPr="002751FC">
        <w:rPr>
          <w:rFonts w:asciiTheme="majorHAnsi" w:hAnsiTheme="majorHAnsi" w:cstheme="majorHAnsi"/>
          <w:lang w:val="ro-MD"/>
        </w:rPr>
        <w:t>u privire la aprobarea Regulamentului Fondului Viei şi Vinului</w:t>
      </w:r>
      <w:r w:rsidR="00556E4C" w:rsidRPr="002751FC">
        <w:rPr>
          <w:rFonts w:asciiTheme="majorHAnsi" w:hAnsiTheme="majorHAnsi" w:cstheme="majorHAnsi"/>
          <w:lang w:val="ro-MD"/>
        </w:rPr>
        <w:t>”</w:t>
      </w:r>
      <w:r w:rsidRPr="002751FC">
        <w:rPr>
          <w:rFonts w:asciiTheme="majorHAnsi" w:hAnsiTheme="majorHAnsi" w:cstheme="majorHAnsi"/>
          <w:lang w:val="ro-MD"/>
        </w:rPr>
        <w:t>;</w:t>
      </w:r>
    </w:p>
    <w:p w:rsidR="002B0C1F" w:rsidRPr="002751FC" w:rsidRDefault="002B0C1F" w:rsidP="007E33C4">
      <w:pPr>
        <w:pStyle w:val="ac"/>
        <w:numPr>
          <w:ilvl w:val="0"/>
          <w:numId w:val="27"/>
        </w:numPr>
        <w:tabs>
          <w:tab w:val="left" w:pos="851"/>
        </w:tabs>
        <w:ind w:left="0" w:firstLine="567"/>
        <w:rPr>
          <w:rFonts w:asciiTheme="majorHAnsi" w:hAnsiTheme="majorHAnsi" w:cstheme="majorHAnsi"/>
          <w:lang w:val="ro-MD"/>
        </w:rPr>
      </w:pPr>
      <w:r w:rsidRPr="002751FC">
        <w:rPr>
          <w:rFonts w:asciiTheme="majorHAnsi" w:hAnsiTheme="majorHAnsi" w:cstheme="majorHAnsi"/>
          <w:lang w:val="ro-MD"/>
        </w:rPr>
        <w:t xml:space="preserve">Hotărârea Guvernului nr.282 din 11.03.2016 </w:t>
      </w:r>
      <w:r w:rsidR="00556E4C" w:rsidRPr="002751FC">
        <w:rPr>
          <w:rFonts w:asciiTheme="majorHAnsi" w:hAnsiTheme="majorHAnsi" w:cstheme="majorHAnsi"/>
          <w:lang w:val="ro-MD"/>
        </w:rPr>
        <w:t>„C</w:t>
      </w:r>
      <w:r w:rsidRPr="002751FC">
        <w:rPr>
          <w:rFonts w:asciiTheme="majorHAnsi" w:hAnsiTheme="majorHAnsi" w:cstheme="majorHAnsi"/>
          <w:lang w:val="ro-MD"/>
        </w:rPr>
        <w:t>u privire la aprobarea Conceptului tehnic al Sistemului informaţional automatizat „Registrul vitivinicol”</w:t>
      </w:r>
      <w:r w:rsidR="00556E4C" w:rsidRPr="002751FC">
        <w:rPr>
          <w:rFonts w:asciiTheme="majorHAnsi" w:hAnsiTheme="majorHAnsi" w:cstheme="majorHAnsi"/>
          <w:lang w:val="ro-MD"/>
        </w:rPr>
        <w:t>”</w:t>
      </w:r>
      <w:r w:rsidRPr="002751FC">
        <w:rPr>
          <w:rFonts w:asciiTheme="majorHAnsi" w:hAnsiTheme="majorHAnsi" w:cstheme="majorHAnsi"/>
          <w:lang w:val="ro-MD"/>
        </w:rPr>
        <w:t>;</w:t>
      </w:r>
    </w:p>
    <w:p w:rsidR="002B0C1F" w:rsidRPr="002751FC" w:rsidRDefault="002B0C1F" w:rsidP="007E33C4">
      <w:pPr>
        <w:pStyle w:val="ac"/>
        <w:numPr>
          <w:ilvl w:val="0"/>
          <w:numId w:val="27"/>
        </w:numPr>
        <w:tabs>
          <w:tab w:val="left" w:pos="851"/>
        </w:tabs>
        <w:ind w:left="0" w:firstLine="567"/>
        <w:rPr>
          <w:rFonts w:asciiTheme="majorHAnsi" w:hAnsiTheme="majorHAnsi" w:cstheme="majorHAnsi"/>
          <w:lang w:val="ro-MD"/>
        </w:rPr>
      </w:pPr>
      <w:r w:rsidRPr="002751FC">
        <w:rPr>
          <w:rFonts w:asciiTheme="majorHAnsi" w:hAnsiTheme="majorHAnsi" w:cstheme="majorHAnsi"/>
          <w:lang w:val="ro-MD"/>
        </w:rPr>
        <w:t xml:space="preserve">Hotărârea Guvernului nr.292 din 10.05.2017 </w:t>
      </w:r>
      <w:r w:rsidR="00556E4C" w:rsidRPr="002751FC">
        <w:rPr>
          <w:rFonts w:asciiTheme="majorHAnsi" w:hAnsiTheme="majorHAnsi" w:cstheme="majorHAnsi"/>
          <w:lang w:val="ro-MD"/>
        </w:rPr>
        <w:t>„P</w:t>
      </w:r>
      <w:r w:rsidRPr="002751FC">
        <w:rPr>
          <w:rFonts w:asciiTheme="majorHAnsi" w:hAnsiTheme="majorHAnsi" w:cstheme="majorHAnsi"/>
          <w:lang w:val="ro-MD"/>
        </w:rPr>
        <w:t xml:space="preserve">entru aprobarea Regulamentului privind modul de </w:t>
      </w:r>
      <w:proofErr w:type="spellStart"/>
      <w:r w:rsidRPr="002751FC">
        <w:rPr>
          <w:rFonts w:asciiTheme="majorHAnsi" w:hAnsiTheme="majorHAnsi" w:cstheme="majorHAnsi"/>
          <w:lang w:val="ro-MD"/>
        </w:rPr>
        <w:t>ţinere</w:t>
      </w:r>
      <w:proofErr w:type="spellEnd"/>
      <w:r w:rsidRPr="002751FC">
        <w:rPr>
          <w:rFonts w:asciiTheme="majorHAnsi" w:hAnsiTheme="majorHAnsi" w:cstheme="majorHAnsi"/>
          <w:lang w:val="ro-MD"/>
        </w:rPr>
        <w:t xml:space="preserve"> a Registrului vitivinicol al Republicii Moldova</w:t>
      </w:r>
      <w:r w:rsidR="00556E4C" w:rsidRPr="002751FC">
        <w:rPr>
          <w:rFonts w:asciiTheme="majorHAnsi" w:hAnsiTheme="majorHAnsi" w:cstheme="majorHAnsi"/>
          <w:lang w:val="ro-MD"/>
        </w:rPr>
        <w:t>”</w:t>
      </w:r>
      <w:r w:rsidRPr="002751FC">
        <w:rPr>
          <w:rFonts w:asciiTheme="majorHAnsi" w:hAnsiTheme="majorHAnsi" w:cstheme="majorHAnsi"/>
          <w:lang w:val="ro-MD"/>
        </w:rPr>
        <w:t>;</w:t>
      </w:r>
    </w:p>
    <w:p w:rsidR="002B0C1F" w:rsidRPr="002751FC" w:rsidRDefault="002B0C1F" w:rsidP="007E33C4">
      <w:pPr>
        <w:pStyle w:val="ac"/>
        <w:numPr>
          <w:ilvl w:val="0"/>
          <w:numId w:val="27"/>
        </w:numPr>
        <w:tabs>
          <w:tab w:val="left" w:pos="851"/>
        </w:tabs>
        <w:ind w:left="0" w:firstLine="567"/>
        <w:rPr>
          <w:rFonts w:asciiTheme="majorHAnsi" w:hAnsiTheme="majorHAnsi" w:cstheme="majorHAnsi"/>
          <w:lang w:val="ro-MD"/>
        </w:rPr>
      </w:pPr>
      <w:r w:rsidRPr="002751FC">
        <w:rPr>
          <w:rFonts w:asciiTheme="majorHAnsi" w:hAnsiTheme="majorHAnsi" w:cstheme="majorHAnsi"/>
          <w:lang w:val="ro-MD"/>
        </w:rPr>
        <w:t xml:space="preserve">Hotărârea Guvernului nr.356 din 11.06.2015 </w:t>
      </w:r>
      <w:r w:rsidR="00556E4C" w:rsidRPr="002751FC">
        <w:rPr>
          <w:rFonts w:asciiTheme="majorHAnsi" w:hAnsiTheme="majorHAnsi" w:cstheme="majorHAnsi"/>
          <w:lang w:val="ro-MD"/>
        </w:rPr>
        <w:t>„C</w:t>
      </w:r>
      <w:r w:rsidRPr="002751FC">
        <w:rPr>
          <w:rFonts w:asciiTheme="majorHAnsi" w:hAnsiTheme="majorHAnsi" w:cstheme="majorHAnsi"/>
          <w:lang w:val="ro-MD"/>
        </w:rPr>
        <w:t xml:space="preserve">u privire la aprobarea Reglementării tehnice „Organizarea </w:t>
      </w:r>
      <w:proofErr w:type="spellStart"/>
      <w:r w:rsidRPr="002751FC">
        <w:rPr>
          <w:rFonts w:asciiTheme="majorHAnsi" w:hAnsiTheme="majorHAnsi" w:cstheme="majorHAnsi"/>
          <w:lang w:val="ro-MD"/>
        </w:rPr>
        <w:t>pieţei</w:t>
      </w:r>
      <w:proofErr w:type="spellEnd"/>
      <w:r w:rsidRPr="002751FC">
        <w:rPr>
          <w:rFonts w:asciiTheme="majorHAnsi" w:hAnsiTheme="majorHAnsi" w:cstheme="majorHAnsi"/>
          <w:lang w:val="ro-MD"/>
        </w:rPr>
        <w:t xml:space="preserve"> vitivinicole”</w:t>
      </w:r>
      <w:r w:rsidR="00556E4C" w:rsidRPr="002751FC">
        <w:rPr>
          <w:rFonts w:asciiTheme="majorHAnsi" w:hAnsiTheme="majorHAnsi" w:cstheme="majorHAnsi"/>
          <w:lang w:val="ro-MD"/>
        </w:rPr>
        <w:t>”</w:t>
      </w:r>
      <w:r w:rsidRPr="002751FC">
        <w:rPr>
          <w:rFonts w:asciiTheme="majorHAnsi" w:hAnsiTheme="majorHAnsi" w:cstheme="majorHAnsi"/>
          <w:lang w:val="ro-MD"/>
        </w:rPr>
        <w:t xml:space="preserve">. </w:t>
      </w:r>
    </w:p>
    <w:p w:rsidR="002B0C1F" w:rsidRPr="002751FC" w:rsidRDefault="002B0C1F" w:rsidP="007E33C4">
      <w:pPr>
        <w:pStyle w:val="ac"/>
        <w:tabs>
          <w:tab w:val="left" w:pos="851"/>
        </w:tabs>
        <w:ind w:left="567"/>
        <w:rPr>
          <w:rFonts w:asciiTheme="majorHAnsi" w:hAnsiTheme="majorHAnsi" w:cstheme="majorHAnsi"/>
          <w:lang w:val="ro-MD"/>
        </w:rPr>
      </w:pPr>
    </w:p>
    <w:p w:rsidR="002B0C1F" w:rsidRPr="002751FC" w:rsidRDefault="002B0C1F" w:rsidP="007E33C4">
      <w:pPr>
        <w:pStyle w:val="a3"/>
        <w:tabs>
          <w:tab w:val="left" w:pos="851"/>
        </w:tabs>
        <w:ind w:firstLine="0"/>
        <w:rPr>
          <w:rFonts w:asciiTheme="majorHAnsi" w:hAnsiTheme="majorHAnsi" w:cstheme="majorHAnsi"/>
          <w:b/>
          <w:i/>
          <w:sz w:val="28"/>
          <w:szCs w:val="28"/>
          <w:lang w:val="ro-MD"/>
        </w:rPr>
      </w:pPr>
      <w:r w:rsidRPr="002751FC">
        <w:rPr>
          <w:rFonts w:asciiTheme="majorHAnsi" w:hAnsiTheme="majorHAnsi" w:cstheme="majorHAnsi"/>
          <w:b/>
          <w:i/>
          <w:sz w:val="28"/>
          <w:szCs w:val="28"/>
          <w:lang w:val="ro-MD"/>
        </w:rPr>
        <w:t>Cadrul de evidență contabilă în perioada auditată:</w:t>
      </w:r>
    </w:p>
    <w:p w:rsidR="002B0C1F" w:rsidRPr="002751FC" w:rsidRDefault="002B0C1F" w:rsidP="007E33C4">
      <w:pPr>
        <w:pStyle w:val="a3"/>
        <w:tabs>
          <w:tab w:val="left" w:pos="851"/>
        </w:tabs>
        <w:ind w:firstLine="0"/>
        <w:rPr>
          <w:rFonts w:asciiTheme="majorHAnsi" w:hAnsiTheme="majorHAnsi" w:cstheme="majorHAnsi"/>
          <w:b/>
          <w:i/>
          <w:sz w:val="28"/>
          <w:szCs w:val="28"/>
          <w:lang w:val="ro-MD"/>
        </w:rPr>
      </w:pPr>
    </w:p>
    <w:p w:rsidR="002B0C1F" w:rsidRPr="002751FC" w:rsidRDefault="002B0C1F" w:rsidP="007E33C4">
      <w:pPr>
        <w:pStyle w:val="ac"/>
        <w:numPr>
          <w:ilvl w:val="0"/>
          <w:numId w:val="28"/>
        </w:numPr>
        <w:tabs>
          <w:tab w:val="left" w:pos="851"/>
        </w:tabs>
        <w:rPr>
          <w:rFonts w:asciiTheme="majorHAnsi" w:hAnsiTheme="majorHAnsi" w:cstheme="majorHAnsi"/>
          <w:lang w:val="ro-MD"/>
        </w:rPr>
      </w:pPr>
      <w:r w:rsidRPr="002751FC">
        <w:rPr>
          <w:rFonts w:asciiTheme="majorHAnsi" w:hAnsiTheme="majorHAnsi" w:cstheme="majorHAnsi"/>
          <w:lang w:val="ro-MD"/>
        </w:rPr>
        <w:t>Legea contabilității nr.113-XVI din 27.04.2007 (aplicată până la 31.12.2018);</w:t>
      </w:r>
    </w:p>
    <w:p w:rsidR="002B0C1F" w:rsidRPr="002751FC" w:rsidRDefault="002B0C1F" w:rsidP="007E33C4">
      <w:pPr>
        <w:pStyle w:val="ac"/>
        <w:numPr>
          <w:ilvl w:val="0"/>
          <w:numId w:val="28"/>
        </w:numPr>
        <w:tabs>
          <w:tab w:val="left" w:pos="851"/>
        </w:tabs>
        <w:rPr>
          <w:rFonts w:asciiTheme="majorHAnsi" w:hAnsiTheme="majorHAnsi" w:cstheme="majorHAnsi"/>
          <w:lang w:val="ro-MD"/>
        </w:rPr>
      </w:pPr>
      <w:r w:rsidRPr="002751FC">
        <w:rPr>
          <w:rFonts w:asciiTheme="majorHAnsi" w:hAnsiTheme="majorHAnsi" w:cstheme="majorHAnsi"/>
          <w:lang w:val="ro-MD"/>
        </w:rPr>
        <w:t xml:space="preserve">Legea </w:t>
      </w:r>
      <w:proofErr w:type="spellStart"/>
      <w:r w:rsidRPr="002751FC">
        <w:rPr>
          <w:rFonts w:asciiTheme="majorHAnsi" w:hAnsiTheme="majorHAnsi" w:cstheme="majorHAnsi"/>
          <w:lang w:val="ro-MD"/>
        </w:rPr>
        <w:t>contabilităţii</w:t>
      </w:r>
      <w:proofErr w:type="spellEnd"/>
      <w:r w:rsidRPr="002751FC">
        <w:rPr>
          <w:rFonts w:asciiTheme="majorHAnsi" w:hAnsiTheme="majorHAnsi" w:cstheme="majorHAnsi"/>
          <w:lang w:val="ro-MD"/>
        </w:rPr>
        <w:t xml:space="preserve"> </w:t>
      </w:r>
      <w:proofErr w:type="spellStart"/>
      <w:r w:rsidRPr="002751FC">
        <w:rPr>
          <w:rFonts w:asciiTheme="majorHAnsi" w:hAnsiTheme="majorHAnsi" w:cstheme="majorHAnsi"/>
          <w:lang w:val="ro-MD"/>
        </w:rPr>
        <w:t>şi</w:t>
      </w:r>
      <w:proofErr w:type="spellEnd"/>
      <w:r w:rsidRPr="002751FC">
        <w:rPr>
          <w:rFonts w:asciiTheme="majorHAnsi" w:hAnsiTheme="majorHAnsi" w:cstheme="majorHAnsi"/>
          <w:lang w:val="ro-MD"/>
        </w:rPr>
        <w:t xml:space="preserve"> raportării financiare nr.287 din 15.12.2017 (aplicată începând cu 01.01.2019);</w:t>
      </w:r>
    </w:p>
    <w:p w:rsidR="002B0C1F" w:rsidRPr="002751FC" w:rsidRDefault="002B0C1F" w:rsidP="007E33C4">
      <w:pPr>
        <w:pStyle w:val="ac"/>
        <w:numPr>
          <w:ilvl w:val="0"/>
          <w:numId w:val="28"/>
        </w:numPr>
        <w:tabs>
          <w:tab w:val="left" w:pos="851"/>
        </w:tabs>
        <w:rPr>
          <w:rFonts w:asciiTheme="majorHAnsi" w:hAnsiTheme="majorHAnsi" w:cstheme="majorHAnsi"/>
          <w:lang w:val="ro-MD"/>
        </w:rPr>
      </w:pPr>
      <w:r w:rsidRPr="002751FC">
        <w:rPr>
          <w:rFonts w:asciiTheme="majorHAnsi" w:hAnsiTheme="majorHAnsi" w:cstheme="majorHAnsi"/>
          <w:lang w:val="ro-MD"/>
        </w:rPr>
        <w:t>Ordinul Ministerului Finanţelor nr.118 din 06.08.2013 privind aprobarea Standardelor Naţionale de Contabilitate;</w:t>
      </w:r>
    </w:p>
    <w:p w:rsidR="002B0C1F" w:rsidRPr="002751FC" w:rsidRDefault="002B0C1F" w:rsidP="007E33C4">
      <w:pPr>
        <w:pStyle w:val="ac"/>
        <w:numPr>
          <w:ilvl w:val="0"/>
          <w:numId w:val="28"/>
        </w:numPr>
        <w:tabs>
          <w:tab w:val="left" w:pos="851"/>
        </w:tabs>
        <w:rPr>
          <w:rFonts w:asciiTheme="majorHAnsi" w:hAnsiTheme="majorHAnsi" w:cstheme="majorHAnsi"/>
          <w:lang w:val="ro-MD"/>
        </w:rPr>
      </w:pPr>
      <w:r w:rsidRPr="002751FC">
        <w:rPr>
          <w:rFonts w:asciiTheme="majorHAnsi" w:hAnsiTheme="majorHAnsi" w:cstheme="majorHAnsi"/>
          <w:lang w:val="ro-MD"/>
        </w:rPr>
        <w:t>Ordinul Ministerului Finanţelor nr.119 din 06.08.2013 privind aprobarea Planului general de conturi contabile.</w:t>
      </w:r>
    </w:p>
    <w:p w:rsidR="002B0C1F" w:rsidRPr="002751FC" w:rsidRDefault="002B0C1F" w:rsidP="002B0C1F">
      <w:pPr>
        <w:pStyle w:val="2"/>
        <w:jc w:val="right"/>
        <w:rPr>
          <w:rFonts w:asciiTheme="majorHAnsi" w:hAnsiTheme="majorHAnsi" w:cstheme="majorHAnsi"/>
          <w:szCs w:val="28"/>
          <w:lang w:val="ro-MD"/>
        </w:rPr>
      </w:pPr>
    </w:p>
    <w:p w:rsidR="002B0C1F" w:rsidRPr="002751FC" w:rsidRDefault="002B0C1F" w:rsidP="002B0C1F">
      <w:pPr>
        <w:pStyle w:val="2"/>
        <w:jc w:val="right"/>
        <w:rPr>
          <w:rFonts w:asciiTheme="majorHAnsi" w:hAnsiTheme="majorHAnsi" w:cstheme="majorHAnsi"/>
          <w:szCs w:val="28"/>
          <w:lang w:val="ro-MD"/>
        </w:rPr>
      </w:pPr>
      <w:r w:rsidRPr="002751FC">
        <w:rPr>
          <w:rFonts w:asciiTheme="majorHAnsi" w:hAnsiTheme="majorHAnsi" w:cstheme="majorHAnsi"/>
          <w:szCs w:val="28"/>
          <w:lang w:val="ro-MD"/>
        </w:rPr>
        <w:br w:type="page"/>
      </w:r>
    </w:p>
    <w:p w:rsidR="002B0C1F" w:rsidRPr="002751FC" w:rsidRDefault="002B0C1F" w:rsidP="002B0C1F">
      <w:pPr>
        <w:pStyle w:val="2"/>
        <w:jc w:val="right"/>
        <w:rPr>
          <w:rFonts w:asciiTheme="majorHAnsi" w:hAnsiTheme="majorHAnsi" w:cstheme="majorHAnsi"/>
          <w:szCs w:val="28"/>
          <w:lang w:val="ro-MD"/>
        </w:rPr>
        <w:sectPr w:rsidR="002B0C1F" w:rsidRPr="002751FC" w:rsidSect="00F4164E">
          <w:footerReference w:type="default" r:id="rId14"/>
          <w:pgSz w:w="12240" w:h="15840"/>
          <w:pgMar w:top="851" w:right="851" w:bottom="851" w:left="1701" w:header="720" w:footer="720" w:gutter="0"/>
          <w:cols w:space="720"/>
          <w:titlePg/>
          <w:docGrid w:linePitch="360"/>
        </w:sectPr>
      </w:pPr>
    </w:p>
    <w:p w:rsidR="002B0C1F" w:rsidRPr="002751FC" w:rsidRDefault="002B0C1F" w:rsidP="006D7BE0">
      <w:pPr>
        <w:pStyle w:val="1"/>
        <w:spacing w:before="0" w:line="240" w:lineRule="auto"/>
        <w:jc w:val="right"/>
        <w:rPr>
          <w:rFonts w:cstheme="majorHAnsi"/>
          <w:b/>
          <w:color w:val="auto"/>
          <w:sz w:val="28"/>
          <w:szCs w:val="28"/>
          <w:lang w:val="ro-MD"/>
        </w:rPr>
      </w:pPr>
      <w:bookmarkStart w:id="81" w:name="_Toc23259129"/>
      <w:r w:rsidRPr="002751FC">
        <w:rPr>
          <w:rFonts w:cstheme="majorHAnsi"/>
          <w:b/>
          <w:color w:val="auto"/>
          <w:sz w:val="28"/>
          <w:szCs w:val="28"/>
          <w:lang w:val="ro-MD"/>
        </w:rPr>
        <w:lastRenderedPageBreak/>
        <w:t>Anexa nr.2</w:t>
      </w:r>
      <w:bookmarkEnd w:id="81"/>
    </w:p>
    <w:p w:rsidR="002B0C1F" w:rsidRPr="002751FC" w:rsidRDefault="002B0C1F" w:rsidP="006D7BE0">
      <w:pPr>
        <w:pStyle w:val="1"/>
        <w:spacing w:before="0" w:line="240" w:lineRule="auto"/>
        <w:jc w:val="both"/>
        <w:rPr>
          <w:rFonts w:cstheme="majorHAnsi"/>
          <w:b/>
          <w:color w:val="auto"/>
          <w:sz w:val="28"/>
          <w:szCs w:val="28"/>
          <w:lang w:val="ro-MD"/>
        </w:rPr>
      </w:pPr>
      <w:bookmarkStart w:id="82" w:name="_Toc23259130"/>
      <w:r w:rsidRPr="002751FC">
        <w:rPr>
          <w:rFonts w:cstheme="majorHAnsi"/>
          <w:b/>
          <w:color w:val="auto"/>
          <w:sz w:val="28"/>
          <w:szCs w:val="28"/>
          <w:lang w:val="ro-MD"/>
        </w:rPr>
        <w:t>Informații relevante aferente FVV</w:t>
      </w:r>
      <w:bookmarkEnd w:id="82"/>
    </w:p>
    <w:p w:rsidR="002B0C1F" w:rsidRPr="002751FC" w:rsidRDefault="002B0C1F" w:rsidP="006D7BE0">
      <w:pPr>
        <w:spacing w:after="0" w:line="240" w:lineRule="auto"/>
        <w:jc w:val="right"/>
        <w:rPr>
          <w:rFonts w:asciiTheme="majorHAnsi" w:hAnsiTheme="majorHAnsi" w:cstheme="majorHAnsi"/>
          <w:lang w:val="ro-MD"/>
        </w:rPr>
      </w:pPr>
    </w:p>
    <w:p w:rsidR="002B0C1F" w:rsidRPr="002751FC" w:rsidRDefault="002B0C1F" w:rsidP="006D7BE0">
      <w:pPr>
        <w:pStyle w:val="ac"/>
        <w:numPr>
          <w:ilvl w:val="1"/>
          <w:numId w:val="5"/>
        </w:numPr>
        <w:jc w:val="left"/>
        <w:rPr>
          <w:rFonts w:asciiTheme="majorHAnsi" w:hAnsiTheme="majorHAnsi" w:cstheme="majorHAnsi"/>
          <w:b/>
          <w:lang w:val="ro-MD"/>
        </w:rPr>
      </w:pPr>
      <w:r w:rsidRPr="002751FC">
        <w:rPr>
          <w:rFonts w:asciiTheme="majorHAnsi" w:hAnsiTheme="majorHAnsi" w:cstheme="majorHAnsi"/>
          <w:b/>
          <w:lang w:val="ro-MD"/>
        </w:rPr>
        <w:t>Cuantumurile contribuțiilor în FVV</w:t>
      </w:r>
    </w:p>
    <w:tbl>
      <w:tblPr>
        <w:tblStyle w:val="ae"/>
        <w:tblW w:w="0" w:type="auto"/>
        <w:tblLook w:val="04A0" w:firstRow="1" w:lastRow="0" w:firstColumn="1" w:lastColumn="0" w:noHBand="0" w:noVBand="1"/>
      </w:tblPr>
      <w:tblGrid>
        <w:gridCol w:w="1271"/>
        <w:gridCol w:w="8255"/>
      </w:tblGrid>
      <w:tr w:rsidR="002B0C1F" w:rsidRPr="002751FC" w:rsidTr="00C50159">
        <w:tc>
          <w:tcPr>
            <w:tcW w:w="1271" w:type="dxa"/>
          </w:tcPr>
          <w:p w:rsidR="002B0C1F" w:rsidRPr="002751FC" w:rsidRDefault="002B0C1F" w:rsidP="00192F48">
            <w:pPr>
              <w:jc w:val="center"/>
              <w:rPr>
                <w:rFonts w:asciiTheme="majorHAnsi" w:hAnsiTheme="majorHAnsi" w:cstheme="majorHAnsi"/>
                <w:b/>
                <w:sz w:val="20"/>
                <w:szCs w:val="20"/>
                <w:lang w:val="ro-MD"/>
              </w:rPr>
            </w:pPr>
            <w:r w:rsidRPr="002751FC">
              <w:rPr>
                <w:rFonts w:asciiTheme="majorHAnsi" w:eastAsia="Times New Roman" w:hAnsiTheme="majorHAnsi" w:cstheme="majorHAnsi"/>
                <w:b/>
                <w:sz w:val="20"/>
                <w:szCs w:val="20"/>
                <w:lang w:val="ro-MD"/>
              </w:rPr>
              <w:t xml:space="preserve">0,12 </w:t>
            </w:r>
            <w:r w:rsidR="00556E4C" w:rsidRPr="002751FC">
              <w:rPr>
                <w:rFonts w:asciiTheme="majorHAnsi" w:eastAsia="Times New Roman" w:hAnsiTheme="majorHAnsi" w:cstheme="majorHAnsi"/>
                <w:b/>
                <w:sz w:val="20"/>
                <w:szCs w:val="20"/>
                <w:lang w:val="ro-MD"/>
              </w:rPr>
              <w:t>MDL</w:t>
            </w:r>
          </w:p>
        </w:tc>
        <w:tc>
          <w:tcPr>
            <w:tcW w:w="8255" w:type="dxa"/>
          </w:tcPr>
          <w:p w:rsidR="002B0C1F" w:rsidRPr="002751FC" w:rsidRDefault="002B0C1F" w:rsidP="006D7BE0">
            <w:pPr>
              <w:rPr>
                <w:rFonts w:asciiTheme="majorHAnsi" w:hAnsiTheme="majorHAnsi" w:cstheme="majorHAnsi"/>
                <w:b/>
                <w:sz w:val="20"/>
                <w:szCs w:val="20"/>
                <w:lang w:val="ro-MD"/>
              </w:rPr>
            </w:pPr>
            <w:r w:rsidRPr="002751FC">
              <w:rPr>
                <w:rFonts w:asciiTheme="majorHAnsi" w:eastAsia="Times New Roman" w:hAnsiTheme="majorHAnsi" w:cstheme="majorHAnsi"/>
                <w:sz w:val="20"/>
                <w:szCs w:val="20"/>
                <w:lang w:val="ro-MD"/>
              </w:rPr>
              <w:t xml:space="preserve">pentru o </w:t>
            </w:r>
            <w:proofErr w:type="spellStart"/>
            <w:r w:rsidRPr="002751FC">
              <w:rPr>
                <w:rFonts w:asciiTheme="majorHAnsi" w:eastAsia="Times New Roman" w:hAnsiTheme="majorHAnsi" w:cstheme="majorHAnsi"/>
                <w:sz w:val="20"/>
                <w:szCs w:val="20"/>
                <w:lang w:val="ro-MD"/>
              </w:rPr>
              <w:t>viţă</w:t>
            </w:r>
            <w:proofErr w:type="spellEnd"/>
            <w:r w:rsidRPr="002751FC">
              <w:rPr>
                <w:rFonts w:asciiTheme="majorHAnsi" w:eastAsia="Times New Roman" w:hAnsiTheme="majorHAnsi" w:cstheme="majorHAnsi"/>
                <w:sz w:val="20"/>
                <w:szCs w:val="20"/>
                <w:lang w:val="ro-MD"/>
              </w:rPr>
              <w:t xml:space="preserve"> altoită comercializată, destinată fabricării produselor vitivinicole</w:t>
            </w:r>
          </w:p>
        </w:tc>
      </w:tr>
      <w:tr w:rsidR="002B0C1F" w:rsidRPr="002751FC" w:rsidTr="00C50159">
        <w:tc>
          <w:tcPr>
            <w:tcW w:w="1271" w:type="dxa"/>
          </w:tcPr>
          <w:p w:rsidR="002B0C1F" w:rsidRPr="002751FC" w:rsidRDefault="002B0C1F" w:rsidP="00192F48">
            <w:pPr>
              <w:jc w:val="center"/>
              <w:rPr>
                <w:rFonts w:asciiTheme="majorHAnsi" w:hAnsiTheme="majorHAnsi" w:cstheme="majorHAnsi"/>
                <w:b/>
                <w:sz w:val="20"/>
                <w:szCs w:val="20"/>
                <w:lang w:val="ro-MD"/>
              </w:rPr>
            </w:pPr>
            <w:r w:rsidRPr="002751FC">
              <w:rPr>
                <w:rFonts w:asciiTheme="majorHAnsi" w:eastAsia="Times New Roman" w:hAnsiTheme="majorHAnsi" w:cstheme="majorHAnsi"/>
                <w:b/>
                <w:sz w:val="20"/>
                <w:szCs w:val="20"/>
                <w:lang w:val="ro-MD"/>
              </w:rPr>
              <w:t xml:space="preserve">30,0 </w:t>
            </w:r>
            <w:r w:rsidR="00556E4C" w:rsidRPr="002751FC">
              <w:rPr>
                <w:rFonts w:asciiTheme="majorHAnsi" w:eastAsia="Times New Roman" w:hAnsiTheme="majorHAnsi" w:cstheme="majorHAnsi"/>
                <w:b/>
                <w:sz w:val="20"/>
                <w:szCs w:val="20"/>
                <w:lang w:val="ro-MD"/>
              </w:rPr>
              <w:t>MDL</w:t>
            </w:r>
          </w:p>
        </w:tc>
        <w:tc>
          <w:tcPr>
            <w:tcW w:w="8255" w:type="dxa"/>
          </w:tcPr>
          <w:p w:rsidR="002B0C1F" w:rsidRPr="002751FC" w:rsidRDefault="002B0C1F" w:rsidP="006D7BE0">
            <w:pPr>
              <w:rPr>
                <w:rFonts w:asciiTheme="majorHAnsi" w:hAnsiTheme="majorHAnsi" w:cstheme="majorHAnsi"/>
                <w:b/>
                <w:sz w:val="20"/>
                <w:szCs w:val="20"/>
                <w:lang w:val="ro-MD"/>
              </w:rPr>
            </w:pPr>
            <w:r w:rsidRPr="002751FC">
              <w:rPr>
                <w:rFonts w:asciiTheme="majorHAnsi" w:eastAsia="Times New Roman" w:hAnsiTheme="majorHAnsi" w:cstheme="majorHAnsi"/>
                <w:sz w:val="20"/>
                <w:szCs w:val="20"/>
                <w:lang w:val="ro-MD"/>
              </w:rPr>
              <w:t xml:space="preserve">pentru o tonă comercializată de struguri </w:t>
            </w:r>
            <w:proofErr w:type="spellStart"/>
            <w:r w:rsidRPr="002751FC">
              <w:rPr>
                <w:rFonts w:asciiTheme="majorHAnsi" w:eastAsia="Times New Roman" w:hAnsiTheme="majorHAnsi" w:cstheme="majorHAnsi"/>
                <w:sz w:val="20"/>
                <w:szCs w:val="20"/>
                <w:lang w:val="ro-MD"/>
              </w:rPr>
              <w:t>destinaţi</w:t>
            </w:r>
            <w:proofErr w:type="spellEnd"/>
            <w:r w:rsidRPr="002751FC">
              <w:rPr>
                <w:rFonts w:asciiTheme="majorHAnsi" w:eastAsia="Times New Roman" w:hAnsiTheme="majorHAnsi" w:cstheme="majorHAnsi"/>
                <w:sz w:val="20"/>
                <w:szCs w:val="20"/>
                <w:lang w:val="ro-MD"/>
              </w:rPr>
              <w:t xml:space="preserve"> vinificării</w:t>
            </w:r>
          </w:p>
        </w:tc>
      </w:tr>
      <w:tr w:rsidR="002B0C1F" w:rsidRPr="002751FC" w:rsidTr="00C50159">
        <w:tc>
          <w:tcPr>
            <w:tcW w:w="1271" w:type="dxa"/>
          </w:tcPr>
          <w:p w:rsidR="002B0C1F" w:rsidRPr="002751FC" w:rsidRDefault="002B0C1F" w:rsidP="00192F48">
            <w:pPr>
              <w:jc w:val="center"/>
              <w:rPr>
                <w:rFonts w:asciiTheme="majorHAnsi" w:hAnsiTheme="majorHAnsi" w:cstheme="majorHAnsi"/>
                <w:b/>
                <w:sz w:val="20"/>
                <w:szCs w:val="20"/>
                <w:lang w:val="ro-MD"/>
              </w:rPr>
            </w:pPr>
            <w:r w:rsidRPr="002751FC">
              <w:rPr>
                <w:rFonts w:asciiTheme="majorHAnsi" w:eastAsia="Times New Roman" w:hAnsiTheme="majorHAnsi" w:cstheme="majorHAnsi"/>
                <w:b/>
                <w:sz w:val="20"/>
                <w:szCs w:val="20"/>
                <w:lang w:val="ro-MD"/>
              </w:rPr>
              <w:t xml:space="preserve">0,1 </w:t>
            </w:r>
            <w:r w:rsidR="00556E4C" w:rsidRPr="002751FC">
              <w:rPr>
                <w:rFonts w:asciiTheme="majorHAnsi" w:eastAsia="Times New Roman" w:hAnsiTheme="majorHAnsi" w:cstheme="majorHAnsi"/>
                <w:b/>
                <w:sz w:val="20"/>
                <w:szCs w:val="20"/>
                <w:lang w:val="ro-MD"/>
              </w:rPr>
              <w:t>MDL</w:t>
            </w:r>
          </w:p>
        </w:tc>
        <w:tc>
          <w:tcPr>
            <w:tcW w:w="8255" w:type="dxa"/>
          </w:tcPr>
          <w:p w:rsidR="002B0C1F" w:rsidRPr="002751FC" w:rsidRDefault="002B0C1F" w:rsidP="006D7BE0">
            <w:pPr>
              <w:rPr>
                <w:rFonts w:asciiTheme="majorHAnsi" w:hAnsiTheme="majorHAnsi" w:cstheme="majorHAnsi"/>
                <w:b/>
                <w:sz w:val="20"/>
                <w:szCs w:val="20"/>
                <w:lang w:val="ro-MD"/>
              </w:rPr>
            </w:pPr>
            <w:r w:rsidRPr="002751FC">
              <w:rPr>
                <w:rFonts w:asciiTheme="majorHAnsi" w:eastAsia="Times New Roman" w:hAnsiTheme="majorHAnsi" w:cstheme="majorHAnsi"/>
                <w:sz w:val="20"/>
                <w:szCs w:val="20"/>
                <w:lang w:val="ro-MD"/>
              </w:rPr>
              <w:t>pentru un litru comercializat de vin sau de băutură pe bază de vin</w:t>
            </w:r>
          </w:p>
        </w:tc>
      </w:tr>
      <w:tr w:rsidR="002B0C1F" w:rsidRPr="002751FC" w:rsidTr="00C50159">
        <w:tc>
          <w:tcPr>
            <w:tcW w:w="1271" w:type="dxa"/>
          </w:tcPr>
          <w:p w:rsidR="002B0C1F" w:rsidRPr="002751FC" w:rsidRDefault="002B0C1F" w:rsidP="00192F48">
            <w:pPr>
              <w:jc w:val="center"/>
              <w:rPr>
                <w:rFonts w:asciiTheme="majorHAnsi" w:hAnsiTheme="majorHAnsi" w:cstheme="majorHAnsi"/>
                <w:b/>
                <w:sz w:val="20"/>
                <w:szCs w:val="20"/>
                <w:lang w:val="ro-MD"/>
              </w:rPr>
            </w:pPr>
            <w:r w:rsidRPr="002751FC">
              <w:rPr>
                <w:rFonts w:asciiTheme="majorHAnsi" w:eastAsia="Times New Roman" w:hAnsiTheme="majorHAnsi" w:cstheme="majorHAnsi"/>
                <w:b/>
                <w:sz w:val="20"/>
                <w:szCs w:val="20"/>
                <w:lang w:val="ro-MD"/>
              </w:rPr>
              <w:t xml:space="preserve">1,6 </w:t>
            </w:r>
            <w:r w:rsidR="00556E4C" w:rsidRPr="002751FC">
              <w:rPr>
                <w:rFonts w:asciiTheme="majorHAnsi" w:eastAsia="Times New Roman" w:hAnsiTheme="majorHAnsi" w:cstheme="majorHAnsi"/>
                <w:b/>
                <w:sz w:val="20"/>
                <w:szCs w:val="20"/>
                <w:lang w:val="ro-MD"/>
              </w:rPr>
              <w:t>MDL</w:t>
            </w:r>
          </w:p>
        </w:tc>
        <w:tc>
          <w:tcPr>
            <w:tcW w:w="8255" w:type="dxa"/>
          </w:tcPr>
          <w:p w:rsidR="002B0C1F" w:rsidRPr="002751FC" w:rsidRDefault="002B0C1F" w:rsidP="006D7BE0">
            <w:pPr>
              <w:jc w:val="both"/>
              <w:rPr>
                <w:rFonts w:asciiTheme="majorHAnsi" w:hAnsiTheme="majorHAnsi" w:cstheme="majorHAnsi"/>
                <w:b/>
                <w:sz w:val="20"/>
                <w:szCs w:val="20"/>
                <w:lang w:val="ro-MD"/>
              </w:rPr>
            </w:pPr>
            <w:r w:rsidRPr="002751FC">
              <w:rPr>
                <w:rFonts w:asciiTheme="majorHAnsi" w:eastAsia="Times New Roman" w:hAnsiTheme="majorHAnsi" w:cstheme="majorHAnsi"/>
                <w:sz w:val="20"/>
                <w:szCs w:val="20"/>
                <w:lang w:val="ro-MD"/>
              </w:rPr>
              <w:t xml:space="preserve">pentru un litru de alcool absolut comercializat </w:t>
            </w:r>
            <w:proofErr w:type="spellStart"/>
            <w:r w:rsidRPr="002751FC">
              <w:rPr>
                <w:rFonts w:asciiTheme="majorHAnsi" w:eastAsia="Times New Roman" w:hAnsiTheme="majorHAnsi" w:cstheme="majorHAnsi"/>
                <w:sz w:val="20"/>
                <w:szCs w:val="20"/>
                <w:lang w:val="ro-MD"/>
              </w:rPr>
              <w:t>obţinut</w:t>
            </w:r>
            <w:proofErr w:type="spellEnd"/>
            <w:r w:rsidRPr="002751FC">
              <w:rPr>
                <w:rFonts w:asciiTheme="majorHAnsi" w:eastAsia="Times New Roman" w:hAnsiTheme="majorHAnsi" w:cstheme="majorHAnsi"/>
                <w:sz w:val="20"/>
                <w:szCs w:val="20"/>
                <w:lang w:val="ro-MD"/>
              </w:rPr>
              <w:t xml:space="preserve"> pe bază de vin, cu </w:t>
            </w:r>
            <w:proofErr w:type="spellStart"/>
            <w:r w:rsidRPr="002751FC">
              <w:rPr>
                <w:rFonts w:asciiTheme="majorHAnsi" w:eastAsia="Times New Roman" w:hAnsiTheme="majorHAnsi" w:cstheme="majorHAnsi"/>
                <w:sz w:val="20"/>
                <w:szCs w:val="20"/>
                <w:lang w:val="ro-MD"/>
              </w:rPr>
              <w:t>concentraţia</w:t>
            </w:r>
            <w:proofErr w:type="spellEnd"/>
            <w:r w:rsidRPr="002751FC">
              <w:rPr>
                <w:rFonts w:asciiTheme="majorHAnsi" w:eastAsia="Times New Roman" w:hAnsiTheme="majorHAnsi" w:cstheme="majorHAnsi"/>
                <w:sz w:val="20"/>
                <w:szCs w:val="20"/>
                <w:lang w:val="ro-MD"/>
              </w:rPr>
              <w:t xml:space="preserve"> alcoolică de cel puţin 25% vol.</w:t>
            </w:r>
          </w:p>
        </w:tc>
      </w:tr>
    </w:tbl>
    <w:p w:rsidR="002B0C1F" w:rsidRPr="002751FC" w:rsidRDefault="00373255" w:rsidP="006D7BE0">
      <w:pPr>
        <w:spacing w:after="0" w:line="240" w:lineRule="auto"/>
        <w:rPr>
          <w:rFonts w:asciiTheme="majorHAnsi" w:hAnsiTheme="majorHAnsi" w:cstheme="majorHAnsi"/>
          <w:lang w:val="ro-MD"/>
        </w:rPr>
      </w:pPr>
      <w:r w:rsidRPr="002751FC">
        <w:rPr>
          <w:rFonts w:asciiTheme="majorHAnsi" w:hAnsiTheme="majorHAnsi" w:cstheme="majorHAnsi"/>
          <w:b/>
          <w:lang w:val="ro-MD"/>
        </w:rPr>
        <w:t xml:space="preserve">Sursa: </w:t>
      </w:r>
      <w:r w:rsidRPr="002751FC">
        <w:rPr>
          <w:rFonts w:asciiTheme="majorHAnsi" w:hAnsiTheme="majorHAnsi" w:cstheme="majorHAnsi"/>
          <w:lang w:val="ro-MD"/>
        </w:rPr>
        <w:t>cadrul legislativ.</w:t>
      </w:r>
    </w:p>
    <w:p w:rsidR="00F33483" w:rsidRPr="002751FC" w:rsidRDefault="00F33483" w:rsidP="006D7BE0">
      <w:pPr>
        <w:spacing w:after="0" w:line="240" w:lineRule="auto"/>
        <w:rPr>
          <w:rFonts w:asciiTheme="majorHAnsi" w:hAnsiTheme="majorHAnsi" w:cstheme="majorHAnsi"/>
          <w:lang w:val="ro-MD"/>
        </w:rPr>
      </w:pPr>
    </w:p>
    <w:p w:rsidR="002B0C1F" w:rsidRPr="002751FC" w:rsidRDefault="002B0C1F" w:rsidP="006D7BE0">
      <w:pPr>
        <w:pStyle w:val="ac"/>
        <w:numPr>
          <w:ilvl w:val="1"/>
          <w:numId w:val="5"/>
        </w:numPr>
        <w:jc w:val="left"/>
        <w:rPr>
          <w:rFonts w:asciiTheme="majorHAnsi" w:hAnsiTheme="majorHAnsi" w:cstheme="majorHAnsi"/>
          <w:b/>
          <w:lang w:val="ro-MD"/>
        </w:rPr>
      </w:pPr>
      <w:r w:rsidRPr="002751FC">
        <w:rPr>
          <w:rFonts w:asciiTheme="majorHAnsi" w:hAnsiTheme="majorHAnsi" w:cstheme="majorHAnsi"/>
          <w:b/>
          <w:lang w:val="ro-MD"/>
        </w:rPr>
        <w:t>Declararea și achitarea contribuțiilor în FVV</w:t>
      </w:r>
    </w:p>
    <w:p w:rsidR="002B0C1F" w:rsidRPr="002751FC" w:rsidRDefault="002B0C1F" w:rsidP="006D7BE0">
      <w:pPr>
        <w:spacing w:after="0" w:line="240" w:lineRule="auto"/>
        <w:ind w:firstLine="567"/>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Obligativitatea </w:t>
      </w:r>
      <w:proofErr w:type="spellStart"/>
      <w:r w:rsidRPr="002751FC">
        <w:rPr>
          <w:rFonts w:asciiTheme="majorHAnsi" w:eastAsia="Times New Roman" w:hAnsiTheme="majorHAnsi" w:cstheme="majorHAnsi"/>
          <w:sz w:val="28"/>
          <w:szCs w:val="28"/>
          <w:lang w:val="ro-MD"/>
        </w:rPr>
        <w:t>plăţii</w:t>
      </w:r>
      <w:proofErr w:type="spellEnd"/>
      <w:r w:rsidRPr="002751FC">
        <w:rPr>
          <w:rFonts w:asciiTheme="majorHAnsi" w:eastAsia="Times New Roman" w:hAnsiTheme="majorHAnsi" w:cstheme="majorHAnsi"/>
          <w:sz w:val="28"/>
          <w:szCs w:val="28"/>
          <w:lang w:val="ro-MD"/>
        </w:rPr>
        <w:t xml:space="preserve"> </w:t>
      </w:r>
      <w:proofErr w:type="spellStart"/>
      <w:r w:rsidRPr="002751FC">
        <w:rPr>
          <w:rFonts w:asciiTheme="majorHAnsi" w:eastAsia="Times New Roman" w:hAnsiTheme="majorHAnsi" w:cstheme="majorHAnsi"/>
          <w:sz w:val="28"/>
          <w:szCs w:val="28"/>
          <w:lang w:val="ro-MD"/>
        </w:rPr>
        <w:t>contribuţiilor</w:t>
      </w:r>
      <w:proofErr w:type="spellEnd"/>
      <w:r w:rsidRPr="002751FC">
        <w:rPr>
          <w:rFonts w:asciiTheme="majorHAnsi" w:eastAsia="Times New Roman" w:hAnsiTheme="majorHAnsi" w:cstheme="majorHAnsi"/>
          <w:sz w:val="28"/>
          <w:szCs w:val="28"/>
          <w:lang w:val="ro-MD"/>
        </w:rPr>
        <w:t xml:space="preserve"> intervine din data eliber</w:t>
      </w:r>
      <w:r w:rsidR="00556E4C" w:rsidRPr="002751FC">
        <w:rPr>
          <w:rFonts w:asciiTheme="majorHAnsi" w:eastAsia="Times New Roman" w:hAnsiTheme="majorHAnsi" w:cstheme="majorHAnsi"/>
          <w:sz w:val="28"/>
          <w:szCs w:val="28"/>
          <w:lang w:val="ro-MD"/>
        </w:rPr>
        <w:t>ării</w:t>
      </w:r>
      <w:r w:rsidRPr="002751FC">
        <w:rPr>
          <w:rFonts w:asciiTheme="majorHAnsi" w:eastAsia="Times New Roman" w:hAnsiTheme="majorHAnsi" w:cstheme="majorHAnsi"/>
          <w:sz w:val="28"/>
          <w:szCs w:val="28"/>
          <w:lang w:val="ro-MD"/>
        </w:rPr>
        <w:t xml:space="preserve"> facturii fiscale. Plata </w:t>
      </w:r>
      <w:r w:rsidR="00E1074F" w:rsidRPr="002751FC">
        <w:rPr>
          <w:rFonts w:asciiTheme="majorHAnsi" w:eastAsia="Times New Roman" w:hAnsiTheme="majorHAnsi" w:cstheme="majorHAnsi"/>
          <w:sz w:val="28"/>
          <w:szCs w:val="28"/>
          <w:lang w:val="ro-MD"/>
        </w:rPr>
        <w:t>contribuției</w:t>
      </w:r>
      <w:r w:rsidRPr="002751FC">
        <w:rPr>
          <w:rFonts w:asciiTheme="majorHAnsi" w:eastAsia="Times New Roman" w:hAnsiTheme="majorHAnsi" w:cstheme="majorHAnsi"/>
          <w:sz w:val="28"/>
          <w:szCs w:val="28"/>
          <w:lang w:val="ro-MD"/>
        </w:rPr>
        <w:t xml:space="preserve"> de </w:t>
      </w:r>
      <w:r w:rsidRPr="002751FC">
        <w:rPr>
          <w:rFonts w:asciiTheme="majorHAnsi" w:hAnsiTheme="majorHAnsi" w:cstheme="majorHAnsi"/>
          <w:sz w:val="28"/>
          <w:szCs w:val="28"/>
          <w:lang w:val="ro-MD"/>
        </w:rPr>
        <w:t xml:space="preserve">30,0 </w:t>
      </w:r>
      <w:r w:rsidR="00556E4C" w:rsidRPr="002751FC">
        <w:rPr>
          <w:rFonts w:asciiTheme="majorHAnsi" w:hAnsiTheme="majorHAnsi" w:cstheme="majorHAnsi"/>
          <w:sz w:val="28"/>
          <w:szCs w:val="28"/>
          <w:lang w:val="ro-MD"/>
        </w:rPr>
        <w:t xml:space="preserve">MDL </w:t>
      </w:r>
      <w:r w:rsidRPr="002751FC">
        <w:rPr>
          <w:rFonts w:asciiTheme="majorHAnsi" w:hAnsiTheme="majorHAnsi" w:cstheme="majorHAnsi"/>
          <w:sz w:val="28"/>
          <w:szCs w:val="28"/>
          <w:lang w:val="ro-MD"/>
        </w:rPr>
        <w:t xml:space="preserve">pentru o tonă comercializată de struguri </w:t>
      </w:r>
      <w:r w:rsidR="00E1074F" w:rsidRPr="002751FC">
        <w:rPr>
          <w:rFonts w:asciiTheme="majorHAnsi" w:hAnsiTheme="majorHAnsi" w:cstheme="majorHAnsi"/>
          <w:sz w:val="28"/>
          <w:szCs w:val="28"/>
          <w:lang w:val="ro-MD"/>
        </w:rPr>
        <w:t>destinați</w:t>
      </w:r>
      <w:r w:rsidR="00556E4C" w:rsidRPr="002751FC">
        <w:rPr>
          <w:rFonts w:asciiTheme="majorHAnsi" w:hAnsiTheme="majorHAnsi" w:cstheme="majorHAnsi"/>
          <w:sz w:val="28"/>
          <w:szCs w:val="28"/>
          <w:lang w:val="ro-MD"/>
        </w:rPr>
        <w:t xml:space="preserve"> </w:t>
      </w:r>
      <w:r w:rsidRPr="002751FC">
        <w:rPr>
          <w:rFonts w:asciiTheme="majorHAnsi" w:hAnsiTheme="majorHAnsi" w:cstheme="majorHAnsi"/>
          <w:sz w:val="28"/>
          <w:szCs w:val="28"/>
          <w:lang w:val="ro-MD"/>
        </w:rPr>
        <w:t>vinificării</w:t>
      </w:r>
      <w:r w:rsidR="00556E4C" w:rsidRPr="002751FC">
        <w:rPr>
          <w:rFonts w:asciiTheme="majorHAnsi" w:hAnsiTheme="majorHAnsi" w:cstheme="majorHAnsi"/>
          <w:sz w:val="28"/>
          <w:szCs w:val="28"/>
          <w:lang w:val="ro-MD"/>
        </w:rPr>
        <w:t xml:space="preserve"> </w:t>
      </w:r>
      <w:r w:rsidRPr="002751FC">
        <w:rPr>
          <w:rFonts w:asciiTheme="majorHAnsi" w:eastAsia="Times New Roman" w:hAnsiTheme="majorHAnsi" w:cstheme="majorHAnsi"/>
          <w:sz w:val="28"/>
          <w:szCs w:val="28"/>
          <w:lang w:val="ro-MD"/>
        </w:rPr>
        <w:t xml:space="preserve">se efectuează de unitatea vinicolă care a </w:t>
      </w:r>
      <w:r w:rsidR="00E1074F" w:rsidRPr="002751FC">
        <w:rPr>
          <w:rFonts w:asciiTheme="majorHAnsi" w:eastAsia="Times New Roman" w:hAnsiTheme="majorHAnsi" w:cstheme="majorHAnsi"/>
          <w:sz w:val="28"/>
          <w:szCs w:val="28"/>
          <w:lang w:val="ro-MD"/>
        </w:rPr>
        <w:t>achiziționat</w:t>
      </w:r>
      <w:r w:rsidRPr="002751FC">
        <w:rPr>
          <w:rFonts w:asciiTheme="majorHAnsi" w:eastAsia="Times New Roman" w:hAnsiTheme="majorHAnsi" w:cstheme="majorHAnsi"/>
          <w:sz w:val="28"/>
          <w:szCs w:val="28"/>
          <w:lang w:val="ro-MD"/>
        </w:rPr>
        <w:t xml:space="preserve"> strugurii </w:t>
      </w:r>
      <w:r w:rsidR="00E1074F" w:rsidRPr="002751FC">
        <w:rPr>
          <w:rFonts w:asciiTheme="majorHAnsi" w:eastAsia="Times New Roman" w:hAnsiTheme="majorHAnsi" w:cstheme="majorHAnsi"/>
          <w:sz w:val="28"/>
          <w:szCs w:val="28"/>
          <w:lang w:val="ro-MD"/>
        </w:rPr>
        <w:t>destinați</w:t>
      </w:r>
      <w:r w:rsidRPr="002751FC">
        <w:rPr>
          <w:rFonts w:asciiTheme="majorHAnsi" w:eastAsia="Times New Roman" w:hAnsiTheme="majorHAnsi" w:cstheme="majorHAnsi"/>
          <w:sz w:val="28"/>
          <w:szCs w:val="28"/>
          <w:lang w:val="ro-MD"/>
        </w:rPr>
        <w:t xml:space="preserve"> vinificării.</w:t>
      </w:r>
    </w:p>
    <w:p w:rsidR="002B0C1F" w:rsidRPr="002751FC" w:rsidRDefault="002B0C1F" w:rsidP="006D7BE0">
      <w:pPr>
        <w:spacing w:after="0" w:line="240" w:lineRule="auto"/>
        <w:ind w:firstLine="567"/>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Plătitorul de </w:t>
      </w:r>
      <w:r w:rsidR="00E1074F" w:rsidRPr="002751FC">
        <w:rPr>
          <w:rFonts w:asciiTheme="majorHAnsi" w:eastAsia="Times New Roman" w:hAnsiTheme="majorHAnsi" w:cstheme="majorHAnsi"/>
          <w:sz w:val="28"/>
          <w:szCs w:val="28"/>
          <w:lang w:val="ro-MD"/>
        </w:rPr>
        <w:t>contribuții</w:t>
      </w:r>
      <w:r w:rsidRPr="002751FC">
        <w:rPr>
          <w:rFonts w:asciiTheme="majorHAnsi" w:eastAsia="Times New Roman" w:hAnsiTheme="majorHAnsi" w:cstheme="majorHAnsi"/>
          <w:sz w:val="28"/>
          <w:szCs w:val="28"/>
          <w:lang w:val="ro-MD"/>
        </w:rPr>
        <w:t xml:space="preserve"> obligatorii calculează de sine stătător sumele datorate către FVV şi efectuează plata în decurs de cel mult 120 de zile calendaristice din ziua eliber</w:t>
      </w:r>
      <w:r w:rsidR="00556E4C" w:rsidRPr="002751FC">
        <w:rPr>
          <w:rFonts w:asciiTheme="majorHAnsi" w:eastAsia="Times New Roman" w:hAnsiTheme="majorHAnsi" w:cstheme="majorHAnsi"/>
          <w:sz w:val="28"/>
          <w:szCs w:val="28"/>
          <w:lang w:val="ro-MD"/>
        </w:rPr>
        <w:t>ării</w:t>
      </w:r>
      <w:r w:rsidRPr="002751FC">
        <w:rPr>
          <w:rFonts w:asciiTheme="majorHAnsi" w:eastAsia="Times New Roman" w:hAnsiTheme="majorHAnsi" w:cstheme="majorHAnsi"/>
          <w:sz w:val="28"/>
          <w:szCs w:val="28"/>
          <w:lang w:val="ro-MD"/>
        </w:rPr>
        <w:t xml:space="preserve"> facturii fiscale. În </w:t>
      </w:r>
      <w:proofErr w:type="spellStart"/>
      <w:r w:rsidRPr="002751FC">
        <w:rPr>
          <w:rFonts w:asciiTheme="majorHAnsi" w:eastAsia="Times New Roman" w:hAnsiTheme="majorHAnsi" w:cstheme="majorHAnsi"/>
          <w:sz w:val="28"/>
          <w:szCs w:val="28"/>
          <w:lang w:val="ro-MD"/>
        </w:rPr>
        <w:t>acelaşi</w:t>
      </w:r>
      <w:proofErr w:type="spellEnd"/>
      <w:r w:rsidRPr="002751FC">
        <w:rPr>
          <w:rFonts w:asciiTheme="majorHAnsi" w:eastAsia="Times New Roman" w:hAnsiTheme="majorHAnsi" w:cstheme="majorHAnsi"/>
          <w:sz w:val="28"/>
          <w:szCs w:val="28"/>
          <w:lang w:val="ro-MD"/>
        </w:rPr>
        <w:t xml:space="preserve"> termen, plătitorul prezintă </w:t>
      </w:r>
      <w:r w:rsidR="00E1074F" w:rsidRPr="002751FC">
        <w:rPr>
          <w:rFonts w:asciiTheme="majorHAnsi" w:eastAsia="Times New Roman" w:hAnsiTheme="majorHAnsi" w:cstheme="majorHAnsi"/>
          <w:sz w:val="28"/>
          <w:szCs w:val="28"/>
          <w:lang w:val="ro-MD"/>
        </w:rPr>
        <w:t>SFS</w:t>
      </w:r>
      <w:r w:rsidRPr="002751FC">
        <w:rPr>
          <w:rFonts w:asciiTheme="majorHAnsi" w:eastAsia="Times New Roman" w:hAnsiTheme="majorHAnsi" w:cstheme="majorHAnsi"/>
          <w:sz w:val="28"/>
          <w:szCs w:val="28"/>
          <w:lang w:val="ro-MD"/>
        </w:rPr>
        <w:t xml:space="preserve"> calculul </w:t>
      </w:r>
      <w:r w:rsidR="00E1074F" w:rsidRPr="002751FC">
        <w:rPr>
          <w:rFonts w:asciiTheme="majorHAnsi" w:eastAsia="Times New Roman" w:hAnsiTheme="majorHAnsi" w:cstheme="majorHAnsi"/>
          <w:sz w:val="28"/>
          <w:szCs w:val="28"/>
          <w:lang w:val="ro-MD"/>
        </w:rPr>
        <w:t>contribuției</w:t>
      </w:r>
      <w:r w:rsidRPr="002751FC">
        <w:rPr>
          <w:rFonts w:asciiTheme="majorHAnsi" w:eastAsia="Times New Roman" w:hAnsiTheme="majorHAnsi" w:cstheme="majorHAnsi"/>
          <w:sz w:val="28"/>
          <w:szCs w:val="28"/>
          <w:lang w:val="ro-MD"/>
        </w:rPr>
        <w:t xml:space="preserve"> conform unui formular tipizat, aprobat de către </w:t>
      </w:r>
      <w:r w:rsidR="00E1074F" w:rsidRPr="002751FC">
        <w:rPr>
          <w:rFonts w:asciiTheme="majorHAnsi" w:eastAsia="Times New Roman" w:hAnsiTheme="majorHAnsi" w:cstheme="majorHAnsi"/>
          <w:sz w:val="28"/>
          <w:szCs w:val="28"/>
          <w:lang w:val="ro-MD"/>
        </w:rPr>
        <w:t>SFS</w:t>
      </w:r>
      <w:r w:rsidRPr="002751FC">
        <w:rPr>
          <w:rFonts w:asciiTheme="majorHAnsi" w:eastAsia="Times New Roman" w:hAnsiTheme="majorHAnsi" w:cstheme="majorHAnsi"/>
          <w:sz w:val="28"/>
          <w:szCs w:val="28"/>
          <w:lang w:val="ro-MD"/>
        </w:rPr>
        <w:t>.</w:t>
      </w:r>
    </w:p>
    <w:p w:rsidR="002B0C1F" w:rsidRPr="002751FC" w:rsidRDefault="002B0C1F" w:rsidP="006D7BE0">
      <w:pPr>
        <w:spacing w:after="0" w:line="240" w:lineRule="auto"/>
        <w:ind w:firstLine="567"/>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Suma </w:t>
      </w:r>
      <w:proofErr w:type="spellStart"/>
      <w:r w:rsidRPr="002751FC">
        <w:rPr>
          <w:rFonts w:asciiTheme="majorHAnsi" w:eastAsia="Times New Roman" w:hAnsiTheme="majorHAnsi" w:cstheme="majorHAnsi"/>
          <w:sz w:val="28"/>
          <w:szCs w:val="28"/>
          <w:lang w:val="ro-MD"/>
        </w:rPr>
        <w:t>contribuţiilor</w:t>
      </w:r>
      <w:proofErr w:type="spellEnd"/>
      <w:r w:rsidRPr="002751FC">
        <w:rPr>
          <w:rFonts w:asciiTheme="majorHAnsi" w:eastAsia="Times New Roman" w:hAnsiTheme="majorHAnsi" w:cstheme="majorHAnsi"/>
          <w:sz w:val="28"/>
          <w:szCs w:val="28"/>
          <w:lang w:val="ro-MD"/>
        </w:rPr>
        <w:t xml:space="preserve"> plătite se include în componenţa cheltuielilor care vor fi deduse.</w:t>
      </w:r>
    </w:p>
    <w:p w:rsidR="002B0C1F" w:rsidRPr="002751FC" w:rsidRDefault="002B0C1F" w:rsidP="006D7BE0">
      <w:pPr>
        <w:pStyle w:val="a3"/>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Pentru sumele datorate Fondului se calculează penalitate în valoare de 0,1% din suma datoriei pentru fiecare zi de înt</w:t>
      </w:r>
      <w:r w:rsidR="00425FBA" w:rsidRPr="002751FC">
        <w:rPr>
          <w:rFonts w:asciiTheme="majorHAnsi" w:eastAsia="Times New Roman" w:hAnsiTheme="majorHAnsi" w:cstheme="majorHAnsi"/>
          <w:sz w:val="28"/>
          <w:szCs w:val="28"/>
          <w:lang w:val="ro-MD"/>
        </w:rPr>
        <w:t>â</w:t>
      </w:r>
      <w:r w:rsidRPr="002751FC">
        <w:rPr>
          <w:rFonts w:asciiTheme="majorHAnsi" w:eastAsia="Times New Roman" w:hAnsiTheme="majorHAnsi" w:cstheme="majorHAnsi"/>
          <w:sz w:val="28"/>
          <w:szCs w:val="28"/>
          <w:lang w:val="ro-MD"/>
        </w:rPr>
        <w:t>rziere de la expirarea termenului de plată (cel mult 120 de zile calendaristice din ziua eliber</w:t>
      </w:r>
      <w:r w:rsidR="00425FBA" w:rsidRPr="002751FC">
        <w:rPr>
          <w:rFonts w:asciiTheme="majorHAnsi" w:eastAsia="Times New Roman" w:hAnsiTheme="majorHAnsi" w:cstheme="majorHAnsi"/>
          <w:sz w:val="28"/>
          <w:szCs w:val="28"/>
          <w:lang w:val="ro-MD"/>
        </w:rPr>
        <w:t>ării</w:t>
      </w:r>
      <w:r w:rsidRPr="002751FC">
        <w:rPr>
          <w:rFonts w:asciiTheme="majorHAnsi" w:eastAsia="Times New Roman" w:hAnsiTheme="majorHAnsi" w:cstheme="majorHAnsi"/>
          <w:sz w:val="28"/>
          <w:szCs w:val="28"/>
          <w:lang w:val="ro-MD"/>
        </w:rPr>
        <w:t xml:space="preserve"> facturii fiscal</w:t>
      </w:r>
      <w:r w:rsidR="00425FBA" w:rsidRPr="002751FC">
        <w:rPr>
          <w:rFonts w:asciiTheme="majorHAnsi" w:eastAsia="Times New Roman" w:hAnsiTheme="majorHAnsi" w:cstheme="majorHAnsi"/>
          <w:sz w:val="28"/>
          <w:szCs w:val="28"/>
          <w:lang w:val="ro-MD"/>
        </w:rPr>
        <w:t>e</w:t>
      </w:r>
      <w:r w:rsidRPr="002751FC">
        <w:rPr>
          <w:rFonts w:asciiTheme="majorHAnsi" w:eastAsia="Times New Roman" w:hAnsiTheme="majorHAnsi" w:cstheme="majorHAnsi"/>
          <w:sz w:val="28"/>
          <w:szCs w:val="28"/>
          <w:lang w:val="ro-MD"/>
        </w:rPr>
        <w:t>).</w:t>
      </w:r>
    </w:p>
    <w:p w:rsidR="002B0C1F" w:rsidRPr="002751FC" w:rsidRDefault="00425FBA" w:rsidP="006D7BE0">
      <w:pPr>
        <w:pStyle w:val="a3"/>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Pentru </w:t>
      </w:r>
      <w:r w:rsidR="002B0C1F" w:rsidRPr="002751FC">
        <w:rPr>
          <w:rFonts w:asciiTheme="majorHAnsi" w:eastAsia="Times New Roman" w:hAnsiTheme="majorHAnsi" w:cstheme="majorHAnsi"/>
          <w:sz w:val="28"/>
          <w:szCs w:val="28"/>
          <w:lang w:val="ro-MD"/>
        </w:rPr>
        <w:t xml:space="preserve">realizarea sarcinilor delegate SFS privind gestionarea colectării </w:t>
      </w:r>
      <w:proofErr w:type="spellStart"/>
      <w:r w:rsidR="002B0C1F" w:rsidRPr="002751FC">
        <w:rPr>
          <w:rFonts w:asciiTheme="majorHAnsi" w:eastAsia="Times New Roman" w:hAnsiTheme="majorHAnsi" w:cstheme="majorHAnsi"/>
          <w:sz w:val="28"/>
          <w:szCs w:val="28"/>
          <w:lang w:val="ro-MD"/>
        </w:rPr>
        <w:t>contribuţiilor</w:t>
      </w:r>
      <w:proofErr w:type="spellEnd"/>
      <w:r w:rsidR="002B0C1F" w:rsidRPr="002751FC">
        <w:rPr>
          <w:rFonts w:asciiTheme="majorHAnsi" w:eastAsia="Times New Roman" w:hAnsiTheme="majorHAnsi" w:cstheme="majorHAnsi"/>
          <w:sz w:val="28"/>
          <w:szCs w:val="28"/>
          <w:lang w:val="ro-MD"/>
        </w:rPr>
        <w:t xml:space="preserve"> de la plătitori, </w:t>
      </w:r>
      <w:proofErr w:type="spellStart"/>
      <w:r w:rsidR="002B0C1F" w:rsidRPr="002751FC">
        <w:rPr>
          <w:rFonts w:asciiTheme="majorHAnsi" w:eastAsia="Times New Roman" w:hAnsiTheme="majorHAnsi" w:cstheme="majorHAnsi"/>
          <w:sz w:val="28"/>
          <w:szCs w:val="28"/>
          <w:lang w:val="ro-MD"/>
        </w:rPr>
        <w:t>evidenţa</w:t>
      </w:r>
      <w:proofErr w:type="spellEnd"/>
      <w:r w:rsidR="002B0C1F" w:rsidRPr="002751FC">
        <w:rPr>
          <w:rFonts w:asciiTheme="majorHAnsi" w:eastAsia="Times New Roman" w:hAnsiTheme="majorHAnsi" w:cstheme="majorHAnsi"/>
          <w:sz w:val="28"/>
          <w:szCs w:val="28"/>
          <w:lang w:val="ro-MD"/>
        </w:rPr>
        <w:t xml:space="preserve"> </w:t>
      </w:r>
      <w:proofErr w:type="spellStart"/>
      <w:r w:rsidR="002B0C1F" w:rsidRPr="002751FC">
        <w:rPr>
          <w:rFonts w:asciiTheme="majorHAnsi" w:eastAsia="Times New Roman" w:hAnsiTheme="majorHAnsi" w:cstheme="majorHAnsi"/>
          <w:sz w:val="28"/>
          <w:szCs w:val="28"/>
          <w:lang w:val="ro-MD"/>
        </w:rPr>
        <w:t>contribuţiilor</w:t>
      </w:r>
      <w:proofErr w:type="spellEnd"/>
      <w:r w:rsidR="002B0C1F" w:rsidRPr="002751FC">
        <w:rPr>
          <w:rFonts w:asciiTheme="majorHAnsi" w:eastAsia="Times New Roman" w:hAnsiTheme="majorHAnsi" w:cstheme="majorHAnsi"/>
          <w:sz w:val="28"/>
          <w:szCs w:val="28"/>
          <w:lang w:val="ro-MD"/>
        </w:rPr>
        <w:t xml:space="preserve">, calculele </w:t>
      </w:r>
      <w:r w:rsidR="006C41FA" w:rsidRPr="002751FC">
        <w:rPr>
          <w:rFonts w:asciiTheme="majorHAnsi" w:eastAsia="Times New Roman" w:hAnsiTheme="majorHAnsi" w:cstheme="majorHAnsi"/>
          <w:sz w:val="28"/>
          <w:szCs w:val="28"/>
          <w:lang w:val="ro-MD"/>
        </w:rPr>
        <w:t>penalităților</w:t>
      </w:r>
      <w:r w:rsidR="002B0C1F" w:rsidRPr="002751FC">
        <w:rPr>
          <w:rFonts w:asciiTheme="majorHAnsi" w:eastAsia="Times New Roman" w:hAnsiTheme="majorHAnsi" w:cstheme="majorHAnsi"/>
          <w:sz w:val="28"/>
          <w:szCs w:val="28"/>
          <w:lang w:val="ro-MD"/>
        </w:rPr>
        <w:t>, precum şi urmărirea datoriilor, IFPS (actualmente SFS) a aprobat</w:t>
      </w:r>
      <w:r w:rsidR="002B0C1F" w:rsidRPr="002751FC">
        <w:rPr>
          <w:rStyle w:val="ab"/>
          <w:rFonts w:asciiTheme="majorHAnsi" w:hAnsiTheme="majorHAnsi" w:cstheme="majorHAnsi"/>
          <w:sz w:val="28"/>
          <w:szCs w:val="28"/>
          <w:lang w:val="ro-MD"/>
        </w:rPr>
        <w:footnoteReference w:id="129"/>
      </w:r>
      <w:r w:rsidR="002B0C1F" w:rsidRPr="002751FC">
        <w:rPr>
          <w:rFonts w:asciiTheme="majorHAnsi" w:eastAsia="Times New Roman" w:hAnsiTheme="majorHAnsi" w:cstheme="majorHAnsi"/>
          <w:sz w:val="28"/>
          <w:szCs w:val="28"/>
          <w:lang w:val="ro-MD"/>
        </w:rPr>
        <w:t xml:space="preserve"> formularul dării de seamă privind calcularea contribuției obligatorii în FVV și modul de completare și prezentare a dării de seamă privind calcularea contribuției obligatorii în FVV.</w:t>
      </w:r>
    </w:p>
    <w:p w:rsidR="002B0C1F" w:rsidRPr="002751FC" w:rsidRDefault="002B0C1F" w:rsidP="006D7BE0">
      <w:pPr>
        <w:pStyle w:val="a3"/>
        <w:rPr>
          <w:rFonts w:asciiTheme="majorHAnsi" w:eastAsia="Times New Roman" w:hAnsiTheme="majorHAnsi" w:cstheme="majorHAnsi"/>
          <w:b/>
          <w:sz w:val="28"/>
          <w:szCs w:val="28"/>
          <w:lang w:val="ro-MD"/>
        </w:rPr>
      </w:pPr>
      <w:r w:rsidRPr="002751FC">
        <w:rPr>
          <w:rFonts w:asciiTheme="majorHAnsi" w:eastAsia="Times New Roman" w:hAnsiTheme="majorHAnsi" w:cstheme="majorHAnsi"/>
          <w:sz w:val="28"/>
          <w:szCs w:val="28"/>
          <w:lang w:val="ro-MD"/>
        </w:rPr>
        <w:t xml:space="preserve">Conform modului de completare și prezentare a </w:t>
      </w:r>
      <w:r w:rsidR="00425FBA" w:rsidRPr="002751FC">
        <w:rPr>
          <w:rFonts w:asciiTheme="majorHAnsi" w:eastAsia="Times New Roman" w:hAnsiTheme="majorHAnsi" w:cstheme="majorHAnsi"/>
          <w:sz w:val="28"/>
          <w:szCs w:val="28"/>
          <w:lang w:val="ro-MD"/>
        </w:rPr>
        <w:t xml:space="preserve">dării </w:t>
      </w:r>
      <w:r w:rsidRPr="002751FC">
        <w:rPr>
          <w:rFonts w:asciiTheme="majorHAnsi" w:eastAsia="Times New Roman" w:hAnsiTheme="majorHAnsi" w:cstheme="majorHAnsi"/>
          <w:sz w:val="28"/>
          <w:szCs w:val="28"/>
          <w:lang w:val="ro-MD"/>
        </w:rPr>
        <w:t>de seamă privind calcularea contribuției în FVV, contribuabil</w:t>
      </w:r>
      <w:r w:rsidR="00A50155" w:rsidRPr="002751FC">
        <w:rPr>
          <w:rFonts w:asciiTheme="majorHAnsi" w:eastAsia="Times New Roman" w:hAnsiTheme="majorHAnsi" w:cstheme="majorHAnsi"/>
          <w:sz w:val="28"/>
          <w:szCs w:val="28"/>
          <w:lang w:val="ro-MD"/>
        </w:rPr>
        <w:t xml:space="preserve">ii urmează să prezinte anual 3 </w:t>
      </w:r>
      <w:r w:rsidRPr="002751FC">
        <w:rPr>
          <w:rFonts w:asciiTheme="majorHAnsi" w:eastAsia="Times New Roman" w:hAnsiTheme="majorHAnsi" w:cstheme="majorHAnsi"/>
          <w:sz w:val="28"/>
          <w:szCs w:val="28"/>
          <w:lang w:val="ro-MD"/>
        </w:rPr>
        <w:t xml:space="preserve">dări de seamă pentru perioade discrete ale anului de gestiune: </w:t>
      </w:r>
      <w:r w:rsidR="00425FBA" w:rsidRPr="002751FC">
        <w:rPr>
          <w:rFonts w:asciiTheme="majorHAnsi" w:eastAsia="Times New Roman" w:hAnsiTheme="majorHAnsi" w:cstheme="majorHAnsi"/>
          <w:sz w:val="28"/>
          <w:szCs w:val="28"/>
          <w:lang w:val="ro-MD"/>
        </w:rPr>
        <w:t>i)</w:t>
      </w:r>
      <w:r w:rsidRPr="002751FC">
        <w:rPr>
          <w:rFonts w:asciiTheme="majorHAnsi" w:eastAsia="Times New Roman" w:hAnsiTheme="majorHAnsi" w:cstheme="majorHAnsi"/>
          <w:sz w:val="28"/>
          <w:szCs w:val="28"/>
          <w:lang w:val="ro-MD"/>
        </w:rPr>
        <w:t xml:space="preserve"> 01 ianuarie-20 aprilie, </w:t>
      </w:r>
      <w:r w:rsidR="00425FBA" w:rsidRPr="002751FC">
        <w:rPr>
          <w:rFonts w:asciiTheme="majorHAnsi" w:eastAsia="Times New Roman" w:hAnsiTheme="majorHAnsi" w:cstheme="majorHAnsi"/>
          <w:sz w:val="28"/>
          <w:szCs w:val="28"/>
          <w:lang w:val="ro-MD"/>
        </w:rPr>
        <w:t>ii)</w:t>
      </w:r>
      <w:r w:rsidRPr="002751FC">
        <w:rPr>
          <w:rFonts w:asciiTheme="majorHAnsi" w:eastAsia="Times New Roman" w:hAnsiTheme="majorHAnsi" w:cstheme="majorHAnsi"/>
          <w:sz w:val="28"/>
          <w:szCs w:val="28"/>
          <w:lang w:val="ro-MD"/>
        </w:rPr>
        <w:t xml:space="preserve"> 01 mai-31 august, și </w:t>
      </w:r>
      <w:r w:rsidR="00425FBA" w:rsidRPr="002751FC">
        <w:rPr>
          <w:rFonts w:asciiTheme="majorHAnsi" w:eastAsia="Times New Roman" w:hAnsiTheme="majorHAnsi" w:cstheme="majorHAnsi"/>
          <w:sz w:val="28"/>
          <w:szCs w:val="28"/>
          <w:lang w:val="ro-MD"/>
        </w:rPr>
        <w:t>iii)</w:t>
      </w:r>
      <w:r w:rsidRPr="002751FC">
        <w:rPr>
          <w:rFonts w:asciiTheme="majorHAnsi" w:eastAsia="Times New Roman" w:hAnsiTheme="majorHAnsi" w:cstheme="majorHAnsi"/>
          <w:sz w:val="28"/>
          <w:szCs w:val="28"/>
          <w:lang w:val="ro-MD"/>
        </w:rPr>
        <w:t xml:space="preserve"> 01 </w:t>
      </w:r>
      <w:r w:rsidR="00425FBA" w:rsidRPr="002751FC">
        <w:rPr>
          <w:rFonts w:asciiTheme="majorHAnsi" w:eastAsia="Times New Roman" w:hAnsiTheme="majorHAnsi" w:cstheme="majorHAnsi"/>
          <w:sz w:val="28"/>
          <w:szCs w:val="28"/>
          <w:lang w:val="ro-MD"/>
        </w:rPr>
        <w:t>s</w:t>
      </w:r>
      <w:r w:rsidRPr="002751FC">
        <w:rPr>
          <w:rFonts w:asciiTheme="majorHAnsi" w:eastAsia="Times New Roman" w:hAnsiTheme="majorHAnsi" w:cstheme="majorHAnsi"/>
          <w:sz w:val="28"/>
          <w:szCs w:val="28"/>
          <w:lang w:val="ro-MD"/>
        </w:rPr>
        <w:t>eptembrie-31 decembrie. Darea de seam</w:t>
      </w:r>
      <w:r w:rsidR="00425FBA" w:rsidRPr="002751FC">
        <w:rPr>
          <w:rFonts w:asciiTheme="majorHAnsi" w:eastAsia="Times New Roman" w:hAnsiTheme="majorHAnsi" w:cstheme="majorHAnsi"/>
          <w:sz w:val="28"/>
          <w:szCs w:val="28"/>
          <w:lang w:val="ro-MD"/>
        </w:rPr>
        <w:t>ă</w:t>
      </w:r>
      <w:r w:rsidRPr="002751FC">
        <w:rPr>
          <w:rFonts w:asciiTheme="majorHAnsi" w:eastAsia="Times New Roman" w:hAnsiTheme="majorHAnsi" w:cstheme="majorHAnsi"/>
          <w:sz w:val="28"/>
          <w:szCs w:val="28"/>
          <w:lang w:val="ro-MD"/>
        </w:rPr>
        <w:t xml:space="preserve"> se prezintă SFS nu mai t</w:t>
      </w:r>
      <w:r w:rsidR="00425FBA" w:rsidRPr="002751FC">
        <w:rPr>
          <w:rFonts w:asciiTheme="majorHAnsi" w:eastAsia="Times New Roman" w:hAnsiTheme="majorHAnsi" w:cstheme="majorHAnsi"/>
          <w:sz w:val="28"/>
          <w:szCs w:val="28"/>
          <w:lang w:val="ro-MD"/>
        </w:rPr>
        <w:t>â</w:t>
      </w:r>
      <w:r w:rsidRPr="002751FC">
        <w:rPr>
          <w:rFonts w:asciiTheme="majorHAnsi" w:eastAsia="Times New Roman" w:hAnsiTheme="majorHAnsi" w:cstheme="majorHAnsi"/>
          <w:sz w:val="28"/>
          <w:szCs w:val="28"/>
          <w:lang w:val="ro-MD"/>
        </w:rPr>
        <w:t>rziu de data de 20 a lunii următoare după încheierea perioadei de raportare de 120 de zile.</w:t>
      </w:r>
      <w:r w:rsidRPr="002751FC">
        <w:rPr>
          <w:rFonts w:asciiTheme="majorHAnsi" w:eastAsia="Times New Roman" w:hAnsiTheme="majorHAnsi" w:cstheme="majorHAnsi"/>
          <w:b/>
          <w:sz w:val="28"/>
          <w:szCs w:val="28"/>
          <w:lang w:val="ro-MD"/>
        </w:rPr>
        <w:br w:type="page"/>
      </w:r>
    </w:p>
    <w:p w:rsidR="002B0C1F" w:rsidRPr="002751FC" w:rsidRDefault="002B0C1F" w:rsidP="002B0C1F">
      <w:pPr>
        <w:pStyle w:val="a3"/>
        <w:jc w:val="right"/>
        <w:outlineLvl w:val="0"/>
        <w:rPr>
          <w:rFonts w:asciiTheme="majorHAnsi" w:eastAsia="Times New Roman" w:hAnsiTheme="majorHAnsi" w:cstheme="majorHAnsi"/>
          <w:b/>
          <w:sz w:val="28"/>
          <w:szCs w:val="28"/>
          <w:lang w:val="ro-MD"/>
        </w:rPr>
      </w:pPr>
      <w:bookmarkStart w:id="83" w:name="_Toc23259131"/>
      <w:r w:rsidRPr="002751FC">
        <w:rPr>
          <w:rFonts w:asciiTheme="majorHAnsi" w:eastAsia="Times New Roman" w:hAnsiTheme="majorHAnsi" w:cstheme="majorHAnsi"/>
          <w:b/>
          <w:sz w:val="28"/>
          <w:szCs w:val="28"/>
          <w:lang w:val="ro-MD"/>
        </w:rPr>
        <w:lastRenderedPageBreak/>
        <w:t>Anexa nr.3</w:t>
      </w:r>
      <w:bookmarkEnd w:id="83"/>
      <w:r w:rsidRPr="002751FC">
        <w:rPr>
          <w:rFonts w:asciiTheme="majorHAnsi" w:eastAsia="Times New Roman" w:hAnsiTheme="majorHAnsi" w:cstheme="majorHAnsi"/>
          <w:b/>
          <w:sz w:val="28"/>
          <w:szCs w:val="28"/>
          <w:lang w:val="ro-MD"/>
        </w:rPr>
        <w:t xml:space="preserve"> </w:t>
      </w:r>
    </w:p>
    <w:p w:rsidR="002B0C1F" w:rsidRPr="002751FC" w:rsidRDefault="002B0C1F" w:rsidP="002B0C1F">
      <w:pPr>
        <w:pStyle w:val="a3"/>
        <w:jc w:val="right"/>
        <w:outlineLvl w:val="0"/>
        <w:rPr>
          <w:rFonts w:asciiTheme="majorHAnsi" w:eastAsia="Times New Roman" w:hAnsiTheme="majorHAnsi" w:cstheme="majorHAnsi"/>
          <w:b/>
          <w:sz w:val="28"/>
          <w:szCs w:val="28"/>
          <w:lang w:val="ro-MD"/>
        </w:rPr>
      </w:pPr>
    </w:p>
    <w:p w:rsidR="002B0C1F" w:rsidRPr="002751FC" w:rsidRDefault="002B0C1F" w:rsidP="00F33483">
      <w:pPr>
        <w:pStyle w:val="a3"/>
        <w:jc w:val="center"/>
        <w:outlineLvl w:val="0"/>
        <w:rPr>
          <w:rFonts w:asciiTheme="majorHAnsi" w:eastAsia="Times New Roman" w:hAnsiTheme="majorHAnsi" w:cstheme="majorHAnsi"/>
          <w:b/>
          <w:lang w:val="ro-MD"/>
        </w:rPr>
      </w:pPr>
      <w:bookmarkStart w:id="84" w:name="_Toc23259132"/>
      <w:proofErr w:type="spellStart"/>
      <w:r w:rsidRPr="002751FC">
        <w:rPr>
          <w:rFonts w:asciiTheme="majorHAnsi" w:eastAsia="Times New Roman" w:hAnsiTheme="majorHAnsi" w:cstheme="majorHAnsi"/>
          <w:b/>
          <w:lang w:val="ro-MD"/>
        </w:rPr>
        <w:t>Responsabilit</w:t>
      </w:r>
      <w:r w:rsidR="0062235A" w:rsidRPr="002751FC">
        <w:rPr>
          <w:rFonts w:asciiTheme="majorHAnsi" w:eastAsia="Times New Roman" w:hAnsiTheme="majorHAnsi" w:cstheme="majorHAnsi"/>
          <w:b/>
          <w:lang w:val="ro-MD"/>
        </w:rPr>
        <w:t>ăţile</w:t>
      </w:r>
      <w:proofErr w:type="spellEnd"/>
      <w:r w:rsidR="0062235A" w:rsidRPr="002751FC">
        <w:rPr>
          <w:rFonts w:asciiTheme="majorHAnsi" w:eastAsia="Times New Roman" w:hAnsiTheme="majorHAnsi" w:cstheme="majorHAnsi"/>
          <w:b/>
          <w:lang w:val="ro-MD"/>
        </w:rPr>
        <w:t xml:space="preserve">, </w:t>
      </w:r>
      <w:proofErr w:type="spellStart"/>
      <w:r w:rsidR="0062235A" w:rsidRPr="002751FC">
        <w:rPr>
          <w:rFonts w:asciiTheme="majorHAnsi" w:eastAsia="Times New Roman" w:hAnsiTheme="majorHAnsi" w:cstheme="majorHAnsi"/>
          <w:b/>
          <w:lang w:val="ro-MD"/>
        </w:rPr>
        <w:t>atribuţ</w:t>
      </w:r>
      <w:r w:rsidRPr="002751FC">
        <w:rPr>
          <w:rFonts w:asciiTheme="majorHAnsi" w:eastAsia="Times New Roman" w:hAnsiTheme="majorHAnsi" w:cstheme="majorHAnsi"/>
          <w:b/>
          <w:lang w:val="ro-MD"/>
        </w:rPr>
        <w:t>iile</w:t>
      </w:r>
      <w:proofErr w:type="spellEnd"/>
      <w:r w:rsidRPr="002751FC">
        <w:rPr>
          <w:rFonts w:asciiTheme="majorHAnsi" w:eastAsia="Times New Roman" w:hAnsiTheme="majorHAnsi" w:cstheme="majorHAnsi"/>
          <w:b/>
          <w:lang w:val="ro-MD"/>
        </w:rPr>
        <w:t>, sarcin</w:t>
      </w:r>
      <w:r w:rsidR="00425FBA" w:rsidRPr="002751FC">
        <w:rPr>
          <w:rFonts w:asciiTheme="majorHAnsi" w:eastAsia="Times New Roman" w:hAnsiTheme="majorHAnsi" w:cstheme="majorHAnsi"/>
          <w:b/>
          <w:lang w:val="ro-MD"/>
        </w:rPr>
        <w:t>i</w:t>
      </w:r>
      <w:r w:rsidRPr="002751FC">
        <w:rPr>
          <w:rFonts w:asciiTheme="majorHAnsi" w:eastAsia="Times New Roman" w:hAnsiTheme="majorHAnsi" w:cstheme="majorHAnsi"/>
          <w:b/>
          <w:lang w:val="ro-MD"/>
        </w:rPr>
        <w:t>le de baz</w:t>
      </w:r>
      <w:r w:rsidR="0062235A" w:rsidRPr="002751FC">
        <w:rPr>
          <w:rFonts w:asciiTheme="majorHAnsi" w:eastAsia="Times New Roman" w:hAnsiTheme="majorHAnsi" w:cstheme="majorHAnsi"/>
          <w:b/>
          <w:lang w:val="ro-MD"/>
        </w:rPr>
        <w:t>ă</w:t>
      </w:r>
      <w:r w:rsidRPr="002751FC">
        <w:rPr>
          <w:rFonts w:asciiTheme="majorHAnsi" w:eastAsia="Times New Roman" w:hAnsiTheme="majorHAnsi" w:cstheme="majorHAnsi"/>
          <w:b/>
          <w:lang w:val="ro-MD"/>
        </w:rPr>
        <w:t xml:space="preserve"> ale ONVV </w:t>
      </w:r>
      <w:r w:rsidR="0062235A" w:rsidRPr="002751FC">
        <w:rPr>
          <w:rFonts w:asciiTheme="majorHAnsi" w:eastAsia="Times New Roman" w:hAnsiTheme="majorHAnsi" w:cstheme="majorHAnsi"/>
          <w:b/>
          <w:lang w:val="ro-MD"/>
        </w:rPr>
        <w:t>şi</w:t>
      </w:r>
      <w:r w:rsidRPr="002751FC">
        <w:rPr>
          <w:rFonts w:asciiTheme="majorHAnsi" w:eastAsia="Times New Roman" w:hAnsiTheme="majorHAnsi" w:cstheme="majorHAnsi"/>
          <w:b/>
          <w:lang w:val="ro-MD"/>
        </w:rPr>
        <w:t xml:space="preserve"> MADRM</w:t>
      </w:r>
      <w:bookmarkEnd w:id="84"/>
    </w:p>
    <w:p w:rsidR="002B0C1F" w:rsidRPr="002751FC" w:rsidRDefault="002B0C1F" w:rsidP="002B0C1F">
      <w:pPr>
        <w:pStyle w:val="a3"/>
        <w:jc w:val="right"/>
        <w:rPr>
          <w:rFonts w:asciiTheme="majorHAnsi" w:eastAsia="Times New Roman" w:hAnsiTheme="majorHAnsi" w:cstheme="majorHAnsi"/>
          <w:b/>
          <w:lang w:val="ro-MD"/>
        </w:rPr>
      </w:pPr>
    </w:p>
    <w:tbl>
      <w:tblPr>
        <w:tblStyle w:val="ae"/>
        <w:tblW w:w="10118" w:type="dxa"/>
        <w:tblLook w:val="04A0" w:firstRow="1" w:lastRow="0" w:firstColumn="1" w:lastColumn="0" w:noHBand="0" w:noVBand="1"/>
      </w:tblPr>
      <w:tblGrid>
        <w:gridCol w:w="2263"/>
        <w:gridCol w:w="2185"/>
        <w:gridCol w:w="2918"/>
        <w:gridCol w:w="2752"/>
      </w:tblGrid>
      <w:tr w:rsidR="002B0C1F" w:rsidRPr="002751FC" w:rsidTr="00446D5A">
        <w:tc>
          <w:tcPr>
            <w:tcW w:w="2263" w:type="dxa"/>
            <w:shd w:val="clear" w:color="auto" w:fill="E7E6E6" w:themeFill="background2"/>
          </w:tcPr>
          <w:p w:rsidR="002B0C1F" w:rsidRPr="00E031FA" w:rsidRDefault="002B0C1F" w:rsidP="008E6A80">
            <w:pPr>
              <w:pStyle w:val="a3"/>
              <w:ind w:firstLine="0"/>
              <w:rPr>
                <w:rFonts w:asciiTheme="majorHAnsi" w:eastAsia="Times New Roman" w:hAnsiTheme="majorHAnsi" w:cstheme="majorHAnsi"/>
                <w:b/>
                <w:sz w:val="20"/>
                <w:szCs w:val="20"/>
                <w:lang w:val="ro-MD"/>
              </w:rPr>
            </w:pPr>
            <w:r w:rsidRPr="00E031FA">
              <w:rPr>
                <w:rFonts w:asciiTheme="majorHAnsi" w:eastAsia="Times New Roman" w:hAnsiTheme="majorHAnsi" w:cstheme="majorHAnsi"/>
                <w:b/>
                <w:sz w:val="20"/>
                <w:szCs w:val="20"/>
                <w:lang w:val="ro-MD"/>
              </w:rPr>
              <w:t>Responsabilitățile MADRM (art.32 din</w:t>
            </w:r>
            <w:r w:rsidR="00E033B9" w:rsidRPr="00E031FA">
              <w:rPr>
                <w:rFonts w:asciiTheme="majorHAnsi" w:eastAsia="Times New Roman" w:hAnsiTheme="majorHAnsi" w:cstheme="majorHAnsi"/>
                <w:b/>
                <w:sz w:val="20"/>
                <w:szCs w:val="20"/>
                <w:lang w:val="ro-MD"/>
              </w:rPr>
              <w:t xml:space="preserve"> </w:t>
            </w:r>
            <w:r w:rsidRPr="00E031FA">
              <w:rPr>
                <w:rFonts w:asciiTheme="majorHAnsi" w:eastAsia="Times New Roman" w:hAnsiTheme="majorHAnsi" w:cstheme="majorHAnsi"/>
                <w:b/>
                <w:sz w:val="20"/>
                <w:szCs w:val="20"/>
                <w:lang w:val="ro-MD"/>
              </w:rPr>
              <w:t>Legea viei și vinului)</w:t>
            </w:r>
          </w:p>
        </w:tc>
        <w:tc>
          <w:tcPr>
            <w:tcW w:w="2185" w:type="dxa"/>
            <w:shd w:val="clear" w:color="auto" w:fill="E7E6E6" w:themeFill="background2"/>
          </w:tcPr>
          <w:p w:rsidR="002B0C1F" w:rsidRPr="00E031FA" w:rsidRDefault="002B0C1F" w:rsidP="009C4831">
            <w:pPr>
              <w:pStyle w:val="a3"/>
              <w:ind w:firstLine="0"/>
              <w:rPr>
                <w:rFonts w:asciiTheme="majorHAnsi" w:eastAsia="Times New Roman" w:hAnsiTheme="majorHAnsi" w:cstheme="majorHAnsi"/>
                <w:b/>
                <w:sz w:val="20"/>
                <w:szCs w:val="20"/>
                <w:lang w:val="ro-MD"/>
              </w:rPr>
            </w:pPr>
            <w:r w:rsidRPr="00E031FA">
              <w:rPr>
                <w:rFonts w:asciiTheme="majorHAnsi" w:eastAsia="Times New Roman" w:hAnsiTheme="majorHAnsi" w:cstheme="majorHAnsi"/>
                <w:b/>
                <w:sz w:val="20"/>
                <w:szCs w:val="20"/>
                <w:lang w:val="ro-MD"/>
              </w:rPr>
              <w:t>Atribuții</w:t>
            </w:r>
            <w:r w:rsidR="00425FBA" w:rsidRPr="00E031FA">
              <w:rPr>
                <w:rFonts w:asciiTheme="majorHAnsi" w:eastAsia="Times New Roman" w:hAnsiTheme="majorHAnsi" w:cstheme="majorHAnsi"/>
                <w:b/>
                <w:sz w:val="20"/>
                <w:szCs w:val="20"/>
                <w:lang w:val="ro-MD"/>
              </w:rPr>
              <w:t>le</w:t>
            </w:r>
            <w:r w:rsidRPr="00E031FA">
              <w:rPr>
                <w:rFonts w:asciiTheme="majorHAnsi" w:eastAsia="Times New Roman" w:hAnsiTheme="majorHAnsi" w:cstheme="majorHAnsi"/>
                <w:b/>
                <w:sz w:val="20"/>
                <w:szCs w:val="20"/>
                <w:lang w:val="ro-MD"/>
              </w:rPr>
              <w:t xml:space="preserve"> de bază a</w:t>
            </w:r>
            <w:r w:rsidR="00425FBA" w:rsidRPr="00E031FA">
              <w:rPr>
                <w:rFonts w:asciiTheme="majorHAnsi" w:eastAsia="Times New Roman" w:hAnsiTheme="majorHAnsi" w:cstheme="majorHAnsi"/>
                <w:b/>
                <w:sz w:val="20"/>
                <w:szCs w:val="20"/>
                <w:lang w:val="ro-MD"/>
              </w:rPr>
              <w:t>le</w:t>
            </w:r>
            <w:r w:rsidRPr="00E031FA">
              <w:rPr>
                <w:rFonts w:asciiTheme="majorHAnsi" w:eastAsia="Times New Roman" w:hAnsiTheme="majorHAnsi" w:cstheme="majorHAnsi"/>
                <w:b/>
                <w:sz w:val="20"/>
                <w:szCs w:val="20"/>
                <w:lang w:val="ro-MD"/>
              </w:rPr>
              <w:t xml:space="preserve"> ONVV (pct.6 din HG nr.72</w:t>
            </w:r>
            <w:r w:rsidR="00CD30EE" w:rsidRPr="00E031FA">
              <w:rPr>
                <w:rFonts w:asciiTheme="majorHAnsi" w:eastAsia="Times New Roman" w:hAnsiTheme="majorHAnsi" w:cstheme="majorHAnsi"/>
                <w:b/>
                <w:sz w:val="20"/>
                <w:szCs w:val="20"/>
                <w:lang w:val="ro-MD"/>
              </w:rPr>
              <w:t>5</w:t>
            </w:r>
            <w:r w:rsidRPr="00E031FA">
              <w:rPr>
                <w:rFonts w:asciiTheme="majorHAnsi" w:eastAsia="Times New Roman" w:hAnsiTheme="majorHAnsi" w:cstheme="majorHAnsi"/>
                <w:b/>
                <w:sz w:val="20"/>
                <w:szCs w:val="20"/>
                <w:lang w:val="ro-MD"/>
              </w:rPr>
              <w:t>/2013</w:t>
            </w:r>
            <w:r w:rsidR="00425FBA" w:rsidRPr="00E031FA">
              <w:rPr>
                <w:rFonts w:asciiTheme="majorHAnsi" w:eastAsia="Times New Roman" w:hAnsiTheme="majorHAnsi" w:cstheme="majorHAnsi"/>
                <w:b/>
                <w:sz w:val="20"/>
                <w:szCs w:val="20"/>
                <w:lang w:val="ro-MD"/>
              </w:rPr>
              <w:t>,</w:t>
            </w:r>
            <w:r w:rsidRPr="00E031FA">
              <w:rPr>
                <w:rFonts w:asciiTheme="majorHAnsi" w:eastAsia="Times New Roman" w:hAnsiTheme="majorHAnsi" w:cstheme="majorHAnsi"/>
                <w:b/>
                <w:sz w:val="20"/>
                <w:szCs w:val="20"/>
                <w:lang w:val="ro-MD"/>
              </w:rPr>
              <w:t xml:space="preserve"> </w:t>
            </w:r>
            <w:r w:rsidR="00E645DF" w:rsidRPr="00E031FA">
              <w:rPr>
                <w:rFonts w:asciiTheme="majorHAnsi" w:eastAsia="Times New Roman" w:hAnsiTheme="majorHAnsi" w:cstheme="majorHAnsi"/>
                <w:b/>
                <w:sz w:val="20"/>
                <w:szCs w:val="20"/>
                <w:lang w:val="ro-MD"/>
              </w:rPr>
              <w:t xml:space="preserve">Statutul </w:t>
            </w:r>
            <w:r w:rsidRPr="00E031FA">
              <w:rPr>
                <w:rFonts w:asciiTheme="majorHAnsi" w:eastAsia="Times New Roman" w:hAnsiTheme="majorHAnsi" w:cstheme="majorHAnsi"/>
                <w:b/>
                <w:sz w:val="20"/>
                <w:szCs w:val="20"/>
                <w:lang w:val="ro-MD"/>
              </w:rPr>
              <w:t>ONVV)</w:t>
            </w:r>
          </w:p>
        </w:tc>
        <w:tc>
          <w:tcPr>
            <w:tcW w:w="2918" w:type="dxa"/>
            <w:shd w:val="clear" w:color="auto" w:fill="E7E6E6" w:themeFill="background2"/>
          </w:tcPr>
          <w:p w:rsidR="002B0C1F" w:rsidRPr="00E031FA" w:rsidRDefault="002B0C1F" w:rsidP="009C4831">
            <w:pPr>
              <w:pStyle w:val="a3"/>
              <w:ind w:firstLine="0"/>
              <w:rPr>
                <w:rFonts w:asciiTheme="majorHAnsi" w:eastAsia="Times New Roman" w:hAnsiTheme="majorHAnsi" w:cstheme="majorHAnsi"/>
                <w:b/>
                <w:sz w:val="20"/>
                <w:szCs w:val="20"/>
                <w:lang w:val="ro-MD"/>
              </w:rPr>
            </w:pPr>
            <w:r w:rsidRPr="00E031FA">
              <w:rPr>
                <w:rFonts w:asciiTheme="majorHAnsi" w:eastAsia="Times New Roman" w:hAnsiTheme="majorHAnsi" w:cstheme="majorHAnsi"/>
                <w:b/>
                <w:sz w:val="20"/>
                <w:szCs w:val="20"/>
                <w:lang w:val="ro-MD"/>
              </w:rPr>
              <w:t>Sarcini</w:t>
            </w:r>
            <w:r w:rsidR="00425FBA" w:rsidRPr="00E031FA">
              <w:rPr>
                <w:rFonts w:asciiTheme="majorHAnsi" w:eastAsia="Times New Roman" w:hAnsiTheme="majorHAnsi" w:cstheme="majorHAnsi"/>
                <w:b/>
                <w:sz w:val="20"/>
                <w:szCs w:val="20"/>
                <w:lang w:val="ro-MD"/>
              </w:rPr>
              <w:t>le</w:t>
            </w:r>
            <w:r w:rsidRPr="00E031FA">
              <w:rPr>
                <w:rFonts w:asciiTheme="majorHAnsi" w:eastAsia="Times New Roman" w:hAnsiTheme="majorHAnsi" w:cstheme="majorHAnsi"/>
                <w:b/>
                <w:sz w:val="20"/>
                <w:szCs w:val="20"/>
                <w:lang w:val="ro-MD"/>
              </w:rPr>
              <w:t xml:space="preserve"> de baz</w:t>
            </w:r>
            <w:r w:rsidR="00425FBA" w:rsidRPr="00E031FA">
              <w:rPr>
                <w:rFonts w:asciiTheme="majorHAnsi" w:eastAsia="Times New Roman" w:hAnsiTheme="majorHAnsi" w:cstheme="majorHAnsi"/>
                <w:b/>
                <w:sz w:val="20"/>
                <w:szCs w:val="20"/>
                <w:lang w:val="ro-MD"/>
              </w:rPr>
              <w:t>ă</w:t>
            </w:r>
            <w:r w:rsidRPr="00E031FA">
              <w:rPr>
                <w:rFonts w:asciiTheme="majorHAnsi" w:eastAsia="Times New Roman" w:hAnsiTheme="majorHAnsi" w:cstheme="majorHAnsi"/>
                <w:b/>
                <w:sz w:val="20"/>
                <w:szCs w:val="20"/>
                <w:lang w:val="ro-MD"/>
              </w:rPr>
              <w:t xml:space="preserve"> ale ONVV (pct.7 din HG </w:t>
            </w:r>
            <w:r w:rsidR="005455BC" w:rsidRPr="00E031FA">
              <w:rPr>
                <w:rFonts w:asciiTheme="majorHAnsi" w:eastAsia="Times New Roman" w:hAnsiTheme="majorHAnsi" w:cstheme="majorHAnsi"/>
                <w:b/>
                <w:sz w:val="20"/>
                <w:szCs w:val="20"/>
                <w:lang w:val="ro-MD"/>
              </w:rPr>
              <w:t xml:space="preserve">nr.725/2013, Statutul </w:t>
            </w:r>
            <w:r w:rsidRPr="00E031FA">
              <w:rPr>
                <w:rFonts w:asciiTheme="majorHAnsi" w:eastAsia="Times New Roman" w:hAnsiTheme="majorHAnsi" w:cstheme="majorHAnsi"/>
                <w:b/>
                <w:sz w:val="20"/>
                <w:szCs w:val="20"/>
                <w:lang w:val="ro-MD"/>
              </w:rPr>
              <w:t>ONVV)</w:t>
            </w:r>
          </w:p>
        </w:tc>
        <w:tc>
          <w:tcPr>
            <w:tcW w:w="2752" w:type="dxa"/>
            <w:shd w:val="clear" w:color="auto" w:fill="E7E6E6" w:themeFill="background2"/>
          </w:tcPr>
          <w:p w:rsidR="002B0C1F" w:rsidRPr="002751FC" w:rsidRDefault="002B0C1F" w:rsidP="008E6A80">
            <w:pPr>
              <w:pStyle w:val="a3"/>
              <w:ind w:firstLine="0"/>
              <w:rPr>
                <w:rFonts w:asciiTheme="majorHAnsi" w:eastAsia="Times New Roman" w:hAnsiTheme="majorHAnsi" w:cstheme="majorHAnsi"/>
                <w:b/>
                <w:sz w:val="20"/>
                <w:szCs w:val="20"/>
                <w:lang w:val="ro-MD"/>
              </w:rPr>
            </w:pPr>
            <w:r w:rsidRPr="00E031FA">
              <w:rPr>
                <w:rFonts w:asciiTheme="majorHAnsi" w:eastAsia="Times New Roman" w:hAnsiTheme="majorHAnsi" w:cstheme="majorHAnsi"/>
                <w:b/>
                <w:sz w:val="20"/>
                <w:szCs w:val="20"/>
                <w:lang w:val="ro-MD"/>
              </w:rPr>
              <w:t>Responsabilitățile ONVV (art.32</w:t>
            </w:r>
            <w:r w:rsidRPr="00E031FA">
              <w:rPr>
                <w:rFonts w:asciiTheme="majorHAnsi" w:eastAsia="Times New Roman" w:hAnsiTheme="majorHAnsi" w:cstheme="majorHAnsi"/>
                <w:b/>
                <w:sz w:val="20"/>
                <w:szCs w:val="20"/>
                <w:vertAlign w:val="superscript"/>
                <w:lang w:val="ro-MD"/>
              </w:rPr>
              <w:t xml:space="preserve">1 </w:t>
            </w:r>
            <w:r w:rsidRPr="00E031FA">
              <w:rPr>
                <w:rFonts w:asciiTheme="majorHAnsi" w:eastAsia="Times New Roman" w:hAnsiTheme="majorHAnsi" w:cstheme="majorHAnsi"/>
                <w:b/>
                <w:sz w:val="20"/>
                <w:szCs w:val="20"/>
                <w:lang w:val="ro-MD"/>
              </w:rPr>
              <w:t>alin.(4)</w:t>
            </w:r>
            <w:r w:rsidR="00E033B9" w:rsidRPr="00E031FA">
              <w:rPr>
                <w:rFonts w:asciiTheme="majorHAnsi" w:eastAsia="Times New Roman" w:hAnsiTheme="majorHAnsi" w:cstheme="majorHAnsi"/>
                <w:b/>
                <w:sz w:val="20"/>
                <w:szCs w:val="20"/>
                <w:vertAlign w:val="superscript"/>
                <w:lang w:val="ro-MD"/>
              </w:rPr>
              <w:t xml:space="preserve"> </w:t>
            </w:r>
            <w:r w:rsidRPr="00E031FA">
              <w:rPr>
                <w:rFonts w:asciiTheme="majorHAnsi" w:eastAsia="Times New Roman" w:hAnsiTheme="majorHAnsi" w:cstheme="majorHAnsi"/>
                <w:b/>
                <w:sz w:val="20"/>
                <w:szCs w:val="20"/>
                <w:lang w:val="ro-MD"/>
              </w:rPr>
              <w:t>din Legea viei și vinului)</w:t>
            </w:r>
          </w:p>
        </w:tc>
      </w:tr>
      <w:tr w:rsidR="002B0C1F" w:rsidRPr="002751FC" w:rsidTr="00446D5A">
        <w:tc>
          <w:tcPr>
            <w:tcW w:w="2263" w:type="dxa"/>
          </w:tcPr>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a) elaborează politica statului în sectorul pepinieritului viticol, viticulturii, fabricării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circulaţiei</w:t>
            </w:r>
            <w:proofErr w:type="spellEnd"/>
            <w:r w:rsidRPr="002751FC">
              <w:rPr>
                <w:rFonts w:asciiTheme="majorHAnsi" w:eastAsia="Times New Roman" w:hAnsiTheme="majorHAnsi" w:cstheme="majorHAnsi"/>
                <w:sz w:val="20"/>
                <w:szCs w:val="20"/>
                <w:lang w:val="ro-MD"/>
              </w:rPr>
              <w:t xml:space="preserve"> vinului, produselor </w:t>
            </w:r>
            <w:proofErr w:type="spellStart"/>
            <w:r w:rsidRPr="002751FC">
              <w:rPr>
                <w:rFonts w:asciiTheme="majorHAnsi" w:eastAsia="Times New Roman" w:hAnsiTheme="majorHAnsi" w:cstheme="majorHAnsi"/>
                <w:sz w:val="20"/>
                <w:szCs w:val="20"/>
                <w:lang w:val="ro-MD"/>
              </w:rPr>
              <w:t>obţinute</w:t>
            </w:r>
            <w:proofErr w:type="spellEnd"/>
            <w:r w:rsidRPr="002751FC">
              <w:rPr>
                <w:rFonts w:asciiTheme="majorHAnsi" w:eastAsia="Times New Roman" w:hAnsiTheme="majorHAnsi" w:cstheme="majorHAnsi"/>
                <w:sz w:val="20"/>
                <w:szCs w:val="20"/>
                <w:lang w:val="ro-MD"/>
              </w:rPr>
              <w:t xml:space="preserve"> pe bază de must, produselor obţinute pe bază de vin, produselor secundare vinicole şi a produselor obţinute prin valorificarea produselor secundare vinicole, precum şi în domeniul protejării </w:t>
            </w:r>
            <w:proofErr w:type="spellStart"/>
            <w:r w:rsidRPr="002751FC">
              <w:rPr>
                <w:rFonts w:asciiTheme="majorHAnsi" w:eastAsia="Times New Roman" w:hAnsiTheme="majorHAnsi" w:cstheme="majorHAnsi"/>
                <w:sz w:val="20"/>
                <w:szCs w:val="20"/>
                <w:lang w:val="ro-MD"/>
              </w:rPr>
              <w:t>pieţei</w:t>
            </w:r>
            <w:proofErr w:type="spellEnd"/>
            <w:r w:rsidRPr="002751FC">
              <w:rPr>
                <w:rFonts w:asciiTheme="majorHAnsi" w:eastAsia="Times New Roman" w:hAnsiTheme="majorHAnsi" w:cstheme="majorHAnsi"/>
                <w:sz w:val="20"/>
                <w:szCs w:val="20"/>
                <w:lang w:val="ro-MD"/>
              </w:rPr>
              <w:t xml:space="preserve"> interne de </w:t>
            </w:r>
            <w:proofErr w:type="spellStart"/>
            <w:r w:rsidRPr="002751FC">
              <w:rPr>
                <w:rFonts w:asciiTheme="majorHAnsi" w:eastAsia="Times New Roman" w:hAnsiTheme="majorHAnsi" w:cstheme="majorHAnsi"/>
                <w:sz w:val="20"/>
                <w:szCs w:val="20"/>
                <w:lang w:val="ro-MD"/>
              </w:rPr>
              <w:t>concurenţa</w:t>
            </w:r>
            <w:proofErr w:type="spellEnd"/>
            <w:r w:rsidRPr="002751FC">
              <w:rPr>
                <w:rFonts w:asciiTheme="majorHAnsi" w:eastAsia="Times New Roman" w:hAnsiTheme="majorHAnsi" w:cstheme="majorHAnsi"/>
                <w:sz w:val="20"/>
                <w:szCs w:val="20"/>
                <w:lang w:val="ro-MD"/>
              </w:rPr>
              <w:t xml:space="preserve"> neloială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de </w:t>
            </w:r>
            <w:proofErr w:type="spellStart"/>
            <w:r w:rsidRPr="002751FC">
              <w:rPr>
                <w:rFonts w:asciiTheme="majorHAnsi" w:eastAsia="Times New Roman" w:hAnsiTheme="majorHAnsi" w:cstheme="majorHAnsi"/>
                <w:sz w:val="20"/>
                <w:szCs w:val="20"/>
                <w:lang w:val="ro-MD"/>
              </w:rPr>
              <w:t>alţi</w:t>
            </w:r>
            <w:proofErr w:type="spellEnd"/>
            <w:r w:rsidRPr="002751FC">
              <w:rPr>
                <w:rFonts w:asciiTheme="majorHAnsi" w:eastAsia="Times New Roman" w:hAnsiTheme="majorHAnsi" w:cstheme="majorHAnsi"/>
                <w:sz w:val="20"/>
                <w:szCs w:val="20"/>
                <w:lang w:val="ro-MD"/>
              </w:rPr>
              <w:t xml:space="preserve"> factori negativi;</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b) elaborează programe de dezvoltare a sectorului vitivinicol;</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b</w:t>
            </w:r>
            <w:r w:rsidRPr="002751FC">
              <w:rPr>
                <w:rFonts w:asciiTheme="majorHAnsi" w:eastAsia="Times New Roman" w:hAnsiTheme="majorHAnsi" w:cstheme="majorHAnsi"/>
                <w:sz w:val="20"/>
                <w:szCs w:val="20"/>
                <w:vertAlign w:val="superscript"/>
                <w:lang w:val="ro-MD"/>
              </w:rPr>
              <w:t>1</w:t>
            </w:r>
            <w:r w:rsidRPr="002751FC">
              <w:rPr>
                <w:rFonts w:asciiTheme="majorHAnsi" w:eastAsia="Times New Roman" w:hAnsiTheme="majorHAnsi" w:cstheme="majorHAnsi"/>
                <w:sz w:val="20"/>
                <w:szCs w:val="20"/>
                <w:lang w:val="ro-MD"/>
              </w:rPr>
              <w:t>) aprobă structura şi efectivul-limită ale Oficiului Naţional al Viei şi Vinului;</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c) creează şi implementează mecanisme de atragere a mijloacelor financiare interne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străine pentru </w:t>
            </w:r>
            <w:proofErr w:type="spellStart"/>
            <w:r w:rsidRPr="002751FC">
              <w:rPr>
                <w:rFonts w:asciiTheme="majorHAnsi" w:eastAsia="Times New Roman" w:hAnsiTheme="majorHAnsi" w:cstheme="majorHAnsi"/>
                <w:sz w:val="20"/>
                <w:szCs w:val="20"/>
                <w:lang w:val="ro-MD"/>
              </w:rPr>
              <w:t>soluţionarea</w:t>
            </w:r>
            <w:proofErr w:type="spellEnd"/>
            <w:r w:rsidRPr="002751FC">
              <w:rPr>
                <w:rFonts w:asciiTheme="majorHAnsi" w:eastAsia="Times New Roman" w:hAnsiTheme="majorHAnsi" w:cstheme="majorHAnsi"/>
                <w:sz w:val="20"/>
                <w:szCs w:val="20"/>
                <w:lang w:val="ro-MD"/>
              </w:rPr>
              <w:t xml:space="preserve"> problemelor prioritare ale complexului vitivinicol; </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d) contribuie la revitalizarea viticulturii şi industriei vinicole în corespundere cu </w:t>
            </w:r>
            <w:proofErr w:type="spellStart"/>
            <w:r w:rsidRPr="002751FC">
              <w:rPr>
                <w:rFonts w:asciiTheme="majorHAnsi" w:eastAsia="Times New Roman" w:hAnsiTheme="majorHAnsi" w:cstheme="majorHAnsi"/>
                <w:sz w:val="20"/>
                <w:szCs w:val="20"/>
                <w:lang w:val="ro-MD"/>
              </w:rPr>
              <w:lastRenderedPageBreak/>
              <w:t>cerinţele</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pieţei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cu politica statului în sector; </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e) organizează seminare, </w:t>
            </w:r>
            <w:proofErr w:type="spellStart"/>
            <w:r w:rsidRPr="002751FC">
              <w:rPr>
                <w:rFonts w:asciiTheme="majorHAnsi" w:eastAsia="Times New Roman" w:hAnsiTheme="majorHAnsi" w:cstheme="majorHAnsi"/>
                <w:sz w:val="20"/>
                <w:szCs w:val="20"/>
                <w:lang w:val="ro-MD"/>
              </w:rPr>
              <w:t>conferinţe</w:t>
            </w:r>
            <w:proofErr w:type="spellEnd"/>
            <w:r w:rsidRPr="002751FC">
              <w:rPr>
                <w:rFonts w:asciiTheme="majorHAnsi" w:eastAsia="Times New Roman" w:hAnsiTheme="majorHAnsi" w:cstheme="majorHAnsi"/>
                <w:sz w:val="20"/>
                <w:szCs w:val="20"/>
                <w:lang w:val="ro-MD"/>
              </w:rPr>
              <w:t xml:space="preserve">, simpozioane tematice în sectorul său de activitate; </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f) creează </w:t>
            </w:r>
            <w:proofErr w:type="spellStart"/>
            <w:r w:rsidRPr="002751FC">
              <w:rPr>
                <w:rFonts w:asciiTheme="majorHAnsi" w:eastAsia="Times New Roman" w:hAnsiTheme="majorHAnsi" w:cstheme="majorHAnsi"/>
                <w:sz w:val="20"/>
                <w:szCs w:val="20"/>
                <w:lang w:val="ro-MD"/>
              </w:rPr>
              <w:t>condiţii</w:t>
            </w:r>
            <w:proofErr w:type="spellEnd"/>
            <w:r w:rsidRPr="002751FC">
              <w:rPr>
                <w:rFonts w:asciiTheme="majorHAnsi" w:eastAsia="Times New Roman" w:hAnsiTheme="majorHAnsi" w:cstheme="majorHAnsi"/>
                <w:sz w:val="20"/>
                <w:szCs w:val="20"/>
                <w:lang w:val="ro-MD"/>
              </w:rPr>
              <w:t xml:space="preserve"> de integrare pe verticală şi orizontală a producătorilor şi prelucrătorilor, a structurilor comerciale şi financiare, de constituire a unor grupuri agroindustriale, financiar-agrare în ramura viticulturii, </w:t>
            </w:r>
            <w:proofErr w:type="spellStart"/>
            <w:r w:rsidRPr="002751FC">
              <w:rPr>
                <w:rFonts w:asciiTheme="majorHAnsi" w:eastAsia="Times New Roman" w:hAnsiTheme="majorHAnsi" w:cstheme="majorHAnsi"/>
                <w:sz w:val="20"/>
                <w:szCs w:val="20"/>
                <w:lang w:val="ro-MD"/>
              </w:rPr>
              <w:t>vinificaţiei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alcoolului; </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g) asigură efectuarea cercetărilor ştiinţifice prioritare şi materializarea rezultatelor lor, pregătirea cadrelor pentru sectorul vitivinicol; </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h) organizează elaborarea reglementărilor tehnice în sectorul vitivinicol; </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i) coordonează, înregistrează, după caz,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aprobă </w:t>
            </w:r>
            <w:proofErr w:type="spellStart"/>
            <w:r w:rsidRPr="002751FC">
              <w:rPr>
                <w:rFonts w:asciiTheme="majorHAnsi" w:eastAsia="Times New Roman" w:hAnsiTheme="majorHAnsi" w:cstheme="majorHAnsi"/>
                <w:sz w:val="20"/>
                <w:szCs w:val="20"/>
                <w:lang w:val="ro-MD"/>
              </w:rPr>
              <w:t>documentaţia</w:t>
            </w:r>
            <w:proofErr w:type="spellEnd"/>
            <w:r w:rsidRPr="002751FC">
              <w:rPr>
                <w:rFonts w:asciiTheme="majorHAnsi" w:eastAsia="Times New Roman" w:hAnsiTheme="majorHAnsi" w:cstheme="majorHAnsi"/>
                <w:sz w:val="20"/>
                <w:szCs w:val="20"/>
                <w:lang w:val="ro-MD"/>
              </w:rPr>
              <w:t xml:space="preserve"> normativă tehnologică pentru </w:t>
            </w:r>
            <w:proofErr w:type="spellStart"/>
            <w:r w:rsidRPr="002751FC">
              <w:rPr>
                <w:rFonts w:asciiTheme="majorHAnsi" w:eastAsia="Times New Roman" w:hAnsiTheme="majorHAnsi" w:cstheme="majorHAnsi"/>
                <w:sz w:val="20"/>
                <w:szCs w:val="20"/>
                <w:lang w:val="ro-MD"/>
              </w:rPr>
              <w:t>producţia</w:t>
            </w:r>
            <w:proofErr w:type="spellEnd"/>
            <w:r w:rsidRPr="002751FC">
              <w:rPr>
                <w:rFonts w:asciiTheme="majorHAnsi" w:eastAsia="Times New Roman" w:hAnsiTheme="majorHAnsi" w:cstheme="majorHAnsi"/>
                <w:sz w:val="20"/>
                <w:szCs w:val="20"/>
                <w:lang w:val="ro-MD"/>
              </w:rPr>
              <w:t xml:space="preserve"> vitivinicolă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altă </w:t>
            </w:r>
            <w:proofErr w:type="spellStart"/>
            <w:r w:rsidRPr="002751FC">
              <w:rPr>
                <w:rFonts w:asciiTheme="majorHAnsi" w:eastAsia="Times New Roman" w:hAnsiTheme="majorHAnsi" w:cstheme="majorHAnsi"/>
                <w:sz w:val="20"/>
                <w:szCs w:val="20"/>
                <w:lang w:val="ro-MD"/>
              </w:rPr>
              <w:t>producţie</w:t>
            </w:r>
            <w:proofErr w:type="spellEnd"/>
            <w:r w:rsidRPr="002751FC">
              <w:rPr>
                <w:rFonts w:asciiTheme="majorHAnsi" w:eastAsia="Times New Roman" w:hAnsiTheme="majorHAnsi" w:cstheme="majorHAnsi"/>
                <w:sz w:val="20"/>
                <w:szCs w:val="20"/>
                <w:lang w:val="ro-MD"/>
              </w:rPr>
              <w:t xml:space="preserve"> alcoolică; </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j) promovează politica de stat în domeniul importului-exportului vinurilor, produselor obţinute pe bază de must şi</w:t>
            </w:r>
            <w:r w:rsidR="00E033B9">
              <w:rPr>
                <w:rFonts w:asciiTheme="majorHAnsi" w:eastAsia="Times New Roman" w:hAnsiTheme="majorHAnsi" w:cstheme="majorHAnsi"/>
                <w:sz w:val="20"/>
                <w:szCs w:val="20"/>
                <w:lang w:val="ro-MD"/>
              </w:rPr>
              <w:t xml:space="preserve"> </w:t>
            </w:r>
            <w:r w:rsidRPr="002751FC">
              <w:rPr>
                <w:rFonts w:asciiTheme="majorHAnsi" w:eastAsia="Times New Roman" w:hAnsiTheme="majorHAnsi" w:cstheme="majorHAnsi"/>
                <w:sz w:val="20"/>
                <w:szCs w:val="20"/>
                <w:lang w:val="ro-MD"/>
              </w:rPr>
              <w:t xml:space="preserve">produselor obţinute pe bază de vin; </w:t>
            </w:r>
          </w:p>
          <w:p w:rsidR="002B0C1F" w:rsidRPr="002751FC" w:rsidRDefault="002B0C1F" w:rsidP="008E6A80">
            <w:pPr>
              <w:spacing w:after="160" w:line="259" w:lineRule="auto"/>
              <w:ind w:firstLine="28"/>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lastRenderedPageBreak/>
              <w:t xml:space="preserve">k) gestionează mărcile proprietate a statului în conformitate cu actele legislative; </w:t>
            </w:r>
          </w:p>
          <w:p w:rsidR="002B0C1F" w:rsidRPr="002751FC" w:rsidRDefault="002B0C1F" w:rsidP="008E6A80">
            <w:pPr>
              <w:spacing w:after="160" w:line="259" w:lineRule="auto"/>
              <w:ind w:firstLine="28"/>
              <w:jc w:val="both"/>
              <w:rPr>
                <w:rFonts w:asciiTheme="majorHAnsi" w:eastAsia="Times New Roman" w:hAnsiTheme="majorHAnsi" w:cstheme="majorHAnsi"/>
                <w:b/>
                <w:sz w:val="20"/>
                <w:szCs w:val="20"/>
                <w:lang w:val="ro-MD"/>
              </w:rPr>
            </w:pPr>
            <w:r w:rsidRPr="002751FC">
              <w:rPr>
                <w:rFonts w:asciiTheme="majorHAnsi" w:eastAsia="Times New Roman" w:hAnsiTheme="majorHAnsi" w:cstheme="majorHAnsi"/>
                <w:sz w:val="20"/>
                <w:szCs w:val="20"/>
                <w:lang w:val="ro-MD"/>
              </w:rPr>
              <w:t xml:space="preserve">l) exercită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alte </w:t>
            </w:r>
            <w:proofErr w:type="spellStart"/>
            <w:r w:rsidRPr="002751FC">
              <w:rPr>
                <w:rFonts w:asciiTheme="majorHAnsi" w:eastAsia="Times New Roman" w:hAnsiTheme="majorHAnsi" w:cstheme="majorHAnsi"/>
                <w:sz w:val="20"/>
                <w:szCs w:val="20"/>
                <w:lang w:val="ro-MD"/>
              </w:rPr>
              <w:t>funcţii</w:t>
            </w:r>
            <w:proofErr w:type="spellEnd"/>
            <w:r w:rsidRPr="002751FC">
              <w:rPr>
                <w:rFonts w:asciiTheme="majorHAnsi" w:eastAsia="Times New Roman" w:hAnsiTheme="majorHAnsi" w:cstheme="majorHAnsi"/>
                <w:sz w:val="20"/>
                <w:szCs w:val="20"/>
                <w:lang w:val="ro-MD"/>
              </w:rPr>
              <w:t xml:space="preserve"> în conformitate cu legile în vigoare</w:t>
            </w:r>
          </w:p>
        </w:tc>
        <w:tc>
          <w:tcPr>
            <w:tcW w:w="2185" w:type="dxa"/>
          </w:tcPr>
          <w:p w:rsidR="002B0C1F" w:rsidRPr="002751FC" w:rsidRDefault="002B0C1F" w:rsidP="008E6A80">
            <w:pPr>
              <w:tabs>
                <w:tab w:val="left" w:pos="250"/>
                <w:tab w:val="left" w:pos="393"/>
              </w:tabs>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lastRenderedPageBreak/>
              <w:t xml:space="preserve">1) implementează politicile statului în sectorul pepinieritului viticol, al viticulturii, al fabricării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circulaţiei</w:t>
            </w:r>
            <w:proofErr w:type="spellEnd"/>
            <w:r w:rsidRPr="002751FC">
              <w:rPr>
                <w:rFonts w:asciiTheme="majorHAnsi" w:eastAsia="Times New Roman" w:hAnsiTheme="majorHAnsi" w:cstheme="majorHAnsi"/>
                <w:sz w:val="20"/>
                <w:szCs w:val="20"/>
                <w:lang w:val="ro-MD"/>
              </w:rPr>
              <w:t xml:space="preserve"> vinurilor, al produselor obţinute pe bază de must şi pe bază de vin, al produselor secundare vinicole şi al produselor obţinute prin valorificarea produselor secundare vinicole;</w:t>
            </w:r>
          </w:p>
          <w:p w:rsidR="002B0C1F" w:rsidRPr="002751FC" w:rsidRDefault="002B0C1F" w:rsidP="008E6A80">
            <w:pPr>
              <w:tabs>
                <w:tab w:val="left" w:pos="250"/>
                <w:tab w:val="left" w:pos="393"/>
              </w:tabs>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2) promovează comercializarea produselor vinicole pe </w:t>
            </w:r>
            <w:proofErr w:type="spellStart"/>
            <w:r w:rsidRPr="002751FC">
              <w:rPr>
                <w:rFonts w:asciiTheme="majorHAnsi" w:eastAsia="Times New Roman" w:hAnsiTheme="majorHAnsi" w:cstheme="majorHAnsi"/>
                <w:sz w:val="20"/>
                <w:szCs w:val="20"/>
                <w:lang w:val="ro-MD"/>
              </w:rPr>
              <w:t>piaţa</w:t>
            </w:r>
            <w:proofErr w:type="spellEnd"/>
            <w:r w:rsidRPr="002751FC">
              <w:rPr>
                <w:rFonts w:asciiTheme="majorHAnsi" w:eastAsia="Times New Roman" w:hAnsiTheme="majorHAnsi" w:cstheme="majorHAnsi"/>
                <w:sz w:val="20"/>
                <w:szCs w:val="20"/>
                <w:lang w:val="ro-MD"/>
              </w:rPr>
              <w:t xml:space="preserve"> internă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externă;</w:t>
            </w:r>
          </w:p>
          <w:p w:rsidR="002B0C1F" w:rsidRPr="002751FC" w:rsidRDefault="002B0C1F" w:rsidP="008E6A80">
            <w:pPr>
              <w:tabs>
                <w:tab w:val="left" w:pos="250"/>
                <w:tab w:val="left" w:pos="393"/>
              </w:tabs>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3) înaintează Ministerului propuneri privind elaborarea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perfecţionarea</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legislaţiei</w:t>
            </w:r>
            <w:proofErr w:type="spellEnd"/>
            <w:r w:rsidRPr="002751FC">
              <w:rPr>
                <w:rFonts w:asciiTheme="majorHAnsi" w:eastAsia="Times New Roman" w:hAnsiTheme="majorHAnsi" w:cstheme="majorHAnsi"/>
                <w:sz w:val="20"/>
                <w:szCs w:val="20"/>
                <w:lang w:val="ro-MD"/>
              </w:rPr>
              <w:t xml:space="preserve"> cu privire la fabricarea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circulaţia</w:t>
            </w:r>
            <w:proofErr w:type="spellEnd"/>
            <w:r w:rsidRPr="002751FC">
              <w:rPr>
                <w:rFonts w:asciiTheme="majorHAnsi" w:eastAsia="Times New Roman" w:hAnsiTheme="majorHAnsi" w:cstheme="majorHAnsi"/>
                <w:sz w:val="20"/>
                <w:szCs w:val="20"/>
                <w:lang w:val="ro-MD"/>
              </w:rPr>
              <w:t xml:space="preserve"> produselor vitivinicole;</w:t>
            </w:r>
          </w:p>
          <w:p w:rsidR="002B0C1F" w:rsidRPr="002751FC" w:rsidRDefault="002B0C1F" w:rsidP="008E6A80">
            <w:pPr>
              <w:tabs>
                <w:tab w:val="left" w:pos="250"/>
                <w:tab w:val="left" w:pos="393"/>
              </w:tabs>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4) </w:t>
            </w:r>
            <w:proofErr w:type="spellStart"/>
            <w:r w:rsidRPr="002751FC">
              <w:rPr>
                <w:rFonts w:asciiTheme="majorHAnsi" w:eastAsia="Times New Roman" w:hAnsiTheme="majorHAnsi" w:cstheme="majorHAnsi"/>
                <w:sz w:val="20"/>
                <w:szCs w:val="20"/>
                <w:lang w:val="ro-MD"/>
              </w:rPr>
              <w:t>stabileşte</w:t>
            </w:r>
            <w:proofErr w:type="spellEnd"/>
            <w:r w:rsidRPr="002751FC">
              <w:rPr>
                <w:rFonts w:asciiTheme="majorHAnsi" w:eastAsia="Times New Roman" w:hAnsiTheme="majorHAnsi" w:cstheme="majorHAnsi"/>
                <w:sz w:val="20"/>
                <w:szCs w:val="20"/>
                <w:lang w:val="ro-MD"/>
              </w:rPr>
              <w:t xml:space="preserve"> reguli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gestionează utilizarea brandului de </w:t>
            </w:r>
            <w:proofErr w:type="spellStart"/>
            <w:r w:rsidRPr="002751FC">
              <w:rPr>
                <w:rFonts w:asciiTheme="majorHAnsi" w:eastAsia="Times New Roman" w:hAnsiTheme="majorHAnsi" w:cstheme="majorHAnsi"/>
                <w:sz w:val="20"/>
                <w:szCs w:val="20"/>
                <w:lang w:val="ro-MD"/>
              </w:rPr>
              <w:t>ţară</w:t>
            </w:r>
            <w:proofErr w:type="spellEnd"/>
            <w:r w:rsidRPr="002751FC">
              <w:rPr>
                <w:rFonts w:asciiTheme="majorHAnsi" w:eastAsia="Times New Roman" w:hAnsiTheme="majorHAnsi" w:cstheme="majorHAnsi"/>
                <w:sz w:val="20"/>
                <w:szCs w:val="20"/>
                <w:lang w:val="ro-MD"/>
              </w:rPr>
              <w:t xml:space="preserve"> pentru vinuri;</w:t>
            </w:r>
          </w:p>
          <w:p w:rsidR="002B0C1F" w:rsidRPr="002751FC" w:rsidRDefault="002B0C1F" w:rsidP="008E6A80">
            <w:pPr>
              <w:tabs>
                <w:tab w:val="left" w:pos="250"/>
                <w:tab w:val="left" w:pos="393"/>
              </w:tabs>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5) efectuează analize sectoriale pentru asigurarea dezvoltării strategice a sectorului vitivinicol;</w:t>
            </w:r>
          </w:p>
          <w:p w:rsidR="002B0C1F" w:rsidRPr="002751FC" w:rsidRDefault="002B0C1F" w:rsidP="008E6A80">
            <w:pPr>
              <w:tabs>
                <w:tab w:val="left" w:pos="250"/>
                <w:tab w:val="left" w:pos="393"/>
                <w:tab w:val="left" w:pos="533"/>
                <w:tab w:val="left" w:pos="675"/>
              </w:tabs>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6)</w:t>
            </w:r>
            <w:r w:rsidR="00C944B3" w:rsidRPr="002751FC">
              <w:rPr>
                <w:rFonts w:asciiTheme="majorHAnsi" w:eastAsia="Times New Roman" w:hAnsiTheme="majorHAnsi" w:cstheme="majorHAnsi"/>
                <w:sz w:val="20"/>
                <w:szCs w:val="20"/>
                <w:lang w:val="ro-MD"/>
              </w:rPr>
              <w:t xml:space="preserve"> </w:t>
            </w:r>
            <w:r w:rsidRPr="002751FC">
              <w:rPr>
                <w:rFonts w:asciiTheme="majorHAnsi" w:eastAsia="Times New Roman" w:hAnsiTheme="majorHAnsi" w:cstheme="majorHAnsi"/>
                <w:sz w:val="20"/>
                <w:szCs w:val="20"/>
                <w:lang w:val="ro-MD"/>
              </w:rPr>
              <w:t xml:space="preserve">gestionează producerea produselor vitivinicole cu </w:t>
            </w:r>
            <w:proofErr w:type="spellStart"/>
            <w:r w:rsidRPr="002751FC">
              <w:rPr>
                <w:rFonts w:asciiTheme="majorHAnsi" w:eastAsia="Times New Roman" w:hAnsiTheme="majorHAnsi" w:cstheme="majorHAnsi"/>
                <w:sz w:val="20"/>
                <w:szCs w:val="20"/>
                <w:lang w:val="ro-MD"/>
              </w:rPr>
              <w:t>indicaţie</w:t>
            </w:r>
            <w:proofErr w:type="spellEnd"/>
            <w:r w:rsidRPr="002751FC">
              <w:rPr>
                <w:rFonts w:asciiTheme="majorHAnsi" w:eastAsia="Times New Roman" w:hAnsiTheme="majorHAnsi" w:cstheme="majorHAnsi"/>
                <w:sz w:val="20"/>
                <w:szCs w:val="20"/>
                <w:lang w:val="ro-MD"/>
              </w:rPr>
              <w:t xml:space="preserve"> </w:t>
            </w:r>
            <w:r w:rsidRPr="002751FC">
              <w:rPr>
                <w:rFonts w:asciiTheme="majorHAnsi" w:eastAsia="Times New Roman" w:hAnsiTheme="majorHAnsi" w:cstheme="majorHAnsi"/>
                <w:sz w:val="20"/>
                <w:szCs w:val="20"/>
                <w:lang w:val="ro-MD"/>
              </w:rPr>
              <w:lastRenderedPageBreak/>
              <w:t>geografică protejată (IGP) şi cu denumire de origine protejată (DOP), în conformitate cu reglementările tehnice aprobate de către Guvern;</w:t>
            </w:r>
          </w:p>
          <w:p w:rsidR="002B0C1F" w:rsidRPr="002751FC" w:rsidRDefault="002B0C1F" w:rsidP="008E6A80">
            <w:pPr>
              <w:tabs>
                <w:tab w:val="left" w:pos="378"/>
              </w:tabs>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7)</w:t>
            </w:r>
            <w:r w:rsidR="00C944B3" w:rsidRPr="002751FC">
              <w:rPr>
                <w:rFonts w:asciiTheme="majorHAnsi" w:eastAsia="Times New Roman" w:hAnsiTheme="majorHAnsi" w:cstheme="majorHAnsi"/>
                <w:sz w:val="20"/>
                <w:szCs w:val="20"/>
                <w:lang w:val="ro-MD"/>
              </w:rPr>
              <w:t xml:space="preserve"> </w:t>
            </w:r>
            <w:r w:rsidRPr="002751FC">
              <w:rPr>
                <w:rFonts w:asciiTheme="majorHAnsi" w:eastAsia="Times New Roman" w:hAnsiTheme="majorHAnsi" w:cstheme="majorHAnsi"/>
                <w:sz w:val="20"/>
                <w:szCs w:val="20"/>
                <w:lang w:val="ro-MD"/>
              </w:rPr>
              <w:t xml:space="preserve">monitorizează </w:t>
            </w:r>
            <w:proofErr w:type="spellStart"/>
            <w:r w:rsidRPr="002751FC">
              <w:rPr>
                <w:rFonts w:asciiTheme="majorHAnsi" w:eastAsia="Times New Roman" w:hAnsiTheme="majorHAnsi" w:cstheme="majorHAnsi"/>
                <w:sz w:val="20"/>
                <w:szCs w:val="20"/>
                <w:lang w:val="ro-MD"/>
              </w:rPr>
              <w:t>potenţialul</w:t>
            </w:r>
            <w:proofErr w:type="spellEnd"/>
            <w:r w:rsidRPr="002751FC">
              <w:rPr>
                <w:rFonts w:asciiTheme="majorHAnsi" w:eastAsia="Times New Roman" w:hAnsiTheme="majorHAnsi" w:cstheme="majorHAnsi"/>
                <w:sz w:val="20"/>
                <w:szCs w:val="20"/>
                <w:lang w:val="ro-MD"/>
              </w:rPr>
              <w:t xml:space="preserve"> de producere, inclusiv </w:t>
            </w:r>
            <w:proofErr w:type="spellStart"/>
            <w:r w:rsidRPr="002751FC">
              <w:rPr>
                <w:rFonts w:asciiTheme="majorHAnsi" w:eastAsia="Times New Roman" w:hAnsiTheme="majorHAnsi" w:cstheme="majorHAnsi"/>
                <w:sz w:val="20"/>
                <w:szCs w:val="20"/>
                <w:lang w:val="ro-MD"/>
              </w:rPr>
              <w:t>înfiinţarea</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defrişarea</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plantaţiilor</w:t>
            </w:r>
            <w:proofErr w:type="spellEnd"/>
            <w:r w:rsidRPr="002751FC">
              <w:rPr>
                <w:rFonts w:asciiTheme="majorHAnsi" w:eastAsia="Times New Roman" w:hAnsiTheme="majorHAnsi" w:cstheme="majorHAnsi"/>
                <w:sz w:val="20"/>
                <w:szCs w:val="20"/>
                <w:lang w:val="ro-MD"/>
              </w:rPr>
              <w:t xml:space="preserve"> viticole;</w:t>
            </w:r>
          </w:p>
          <w:p w:rsidR="002B0C1F" w:rsidRPr="002751FC" w:rsidRDefault="002B0C1F" w:rsidP="008E6A80">
            <w:pPr>
              <w:tabs>
                <w:tab w:val="left" w:pos="378"/>
              </w:tabs>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8)</w:t>
            </w:r>
            <w:r w:rsidR="00C944B3"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ţine</w:t>
            </w:r>
            <w:proofErr w:type="spellEnd"/>
            <w:r w:rsidRPr="002751FC">
              <w:rPr>
                <w:rFonts w:asciiTheme="majorHAnsi" w:eastAsia="Times New Roman" w:hAnsiTheme="majorHAnsi" w:cstheme="majorHAnsi"/>
                <w:sz w:val="20"/>
                <w:szCs w:val="20"/>
                <w:lang w:val="ro-MD"/>
              </w:rPr>
              <w:t xml:space="preserve"> registre referitoare la sectorul vitivinicol</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br/>
            </w:r>
          </w:p>
        </w:tc>
        <w:tc>
          <w:tcPr>
            <w:tcW w:w="2918" w:type="dxa"/>
          </w:tcPr>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lastRenderedPageBreak/>
              <w:t xml:space="preserve">1) implementează strategii, programe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planuri de </w:t>
            </w:r>
            <w:proofErr w:type="spellStart"/>
            <w:r w:rsidRPr="002751FC">
              <w:rPr>
                <w:rFonts w:asciiTheme="majorHAnsi" w:eastAsia="Times New Roman" w:hAnsiTheme="majorHAnsi" w:cstheme="majorHAnsi"/>
                <w:sz w:val="20"/>
                <w:szCs w:val="20"/>
                <w:lang w:val="ro-MD"/>
              </w:rPr>
              <w:t>acţiuni</w:t>
            </w:r>
            <w:proofErr w:type="spellEnd"/>
            <w:r w:rsidRPr="002751FC">
              <w:rPr>
                <w:rFonts w:asciiTheme="majorHAnsi" w:eastAsia="Times New Roman" w:hAnsiTheme="majorHAnsi" w:cstheme="majorHAnsi"/>
                <w:sz w:val="20"/>
                <w:szCs w:val="20"/>
                <w:lang w:val="ro-MD"/>
              </w:rPr>
              <w:t xml:space="preserve"> privind dezvoltarea sectorului vitivinicol;</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2) efectuează studii de marketing în vederea determinării </w:t>
            </w:r>
            <w:proofErr w:type="spellStart"/>
            <w:r w:rsidRPr="002751FC">
              <w:rPr>
                <w:rFonts w:asciiTheme="majorHAnsi" w:eastAsia="Times New Roman" w:hAnsiTheme="majorHAnsi" w:cstheme="majorHAnsi"/>
                <w:sz w:val="20"/>
                <w:szCs w:val="20"/>
                <w:lang w:val="ro-MD"/>
              </w:rPr>
              <w:t>pieţelor-ţintă</w:t>
            </w:r>
            <w:proofErr w:type="spellEnd"/>
            <w:r w:rsidRPr="002751FC">
              <w:rPr>
                <w:rFonts w:asciiTheme="majorHAnsi" w:eastAsia="Times New Roman" w:hAnsiTheme="majorHAnsi" w:cstheme="majorHAnsi"/>
                <w:sz w:val="20"/>
                <w:szCs w:val="20"/>
                <w:lang w:val="ro-MD"/>
              </w:rPr>
              <w:t xml:space="preserve"> pentru desfacerea produselor vitivinicole; </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3) </w:t>
            </w:r>
            <w:proofErr w:type="spellStart"/>
            <w:r w:rsidRPr="002751FC">
              <w:rPr>
                <w:rFonts w:asciiTheme="majorHAnsi" w:eastAsia="Times New Roman" w:hAnsiTheme="majorHAnsi" w:cstheme="majorHAnsi"/>
                <w:sz w:val="20"/>
                <w:szCs w:val="20"/>
                <w:lang w:val="ro-MD"/>
              </w:rPr>
              <w:t>iniţiază</w:t>
            </w:r>
            <w:proofErr w:type="spellEnd"/>
            <w:r w:rsidRPr="002751FC">
              <w:rPr>
                <w:rFonts w:asciiTheme="majorHAnsi" w:eastAsia="Times New Roman" w:hAnsiTheme="majorHAnsi" w:cstheme="majorHAnsi"/>
                <w:sz w:val="20"/>
                <w:szCs w:val="20"/>
                <w:lang w:val="ro-MD"/>
              </w:rPr>
              <w:t xml:space="preserve">, elaborează, sprijină financiar şi organizatoric planuri de </w:t>
            </w:r>
            <w:proofErr w:type="spellStart"/>
            <w:r w:rsidRPr="002751FC">
              <w:rPr>
                <w:rFonts w:asciiTheme="majorHAnsi" w:eastAsia="Times New Roman" w:hAnsiTheme="majorHAnsi" w:cstheme="majorHAnsi"/>
                <w:sz w:val="20"/>
                <w:szCs w:val="20"/>
                <w:lang w:val="ro-MD"/>
              </w:rPr>
              <w:t>acţiuni</w:t>
            </w:r>
            <w:proofErr w:type="spellEnd"/>
            <w:r w:rsidRPr="002751FC">
              <w:rPr>
                <w:rFonts w:asciiTheme="majorHAnsi" w:eastAsia="Times New Roman" w:hAnsiTheme="majorHAnsi" w:cstheme="majorHAnsi"/>
                <w:sz w:val="20"/>
                <w:szCs w:val="20"/>
                <w:lang w:val="ro-MD"/>
              </w:rPr>
              <w:t xml:space="preserve"> în vederea promovării produselor vitivinicole pe </w:t>
            </w:r>
            <w:proofErr w:type="spellStart"/>
            <w:r w:rsidRPr="002751FC">
              <w:rPr>
                <w:rFonts w:asciiTheme="majorHAnsi" w:eastAsia="Times New Roman" w:hAnsiTheme="majorHAnsi" w:cstheme="majorHAnsi"/>
                <w:sz w:val="20"/>
                <w:szCs w:val="20"/>
                <w:lang w:val="ro-MD"/>
              </w:rPr>
              <w:t>piaţa</w:t>
            </w:r>
            <w:proofErr w:type="spellEnd"/>
            <w:r w:rsidRPr="002751FC">
              <w:rPr>
                <w:rFonts w:asciiTheme="majorHAnsi" w:eastAsia="Times New Roman" w:hAnsiTheme="majorHAnsi" w:cstheme="majorHAnsi"/>
                <w:sz w:val="20"/>
                <w:szCs w:val="20"/>
                <w:lang w:val="ro-MD"/>
              </w:rPr>
              <w:t xml:space="preserve"> internă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externă, manifestări </w:t>
            </w:r>
            <w:proofErr w:type="spellStart"/>
            <w:r w:rsidRPr="002751FC">
              <w:rPr>
                <w:rFonts w:asciiTheme="majorHAnsi" w:eastAsia="Times New Roman" w:hAnsiTheme="majorHAnsi" w:cstheme="majorHAnsi"/>
                <w:sz w:val="20"/>
                <w:szCs w:val="20"/>
                <w:lang w:val="ro-MD"/>
              </w:rPr>
              <w:t>naţionale</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internaţionale</w:t>
            </w:r>
            <w:proofErr w:type="spellEnd"/>
            <w:r w:rsidRPr="002751FC">
              <w:rPr>
                <w:rFonts w:asciiTheme="majorHAnsi" w:eastAsia="Times New Roman" w:hAnsiTheme="majorHAnsi" w:cstheme="majorHAnsi"/>
                <w:sz w:val="20"/>
                <w:szCs w:val="20"/>
                <w:lang w:val="ro-MD"/>
              </w:rPr>
              <w:t xml:space="preserve"> cu caracter vitivinicol: </w:t>
            </w:r>
            <w:proofErr w:type="spellStart"/>
            <w:r w:rsidRPr="002751FC">
              <w:rPr>
                <w:rFonts w:asciiTheme="majorHAnsi" w:eastAsia="Times New Roman" w:hAnsiTheme="majorHAnsi" w:cstheme="majorHAnsi"/>
                <w:sz w:val="20"/>
                <w:szCs w:val="20"/>
                <w:lang w:val="ro-MD"/>
              </w:rPr>
              <w:t>expoziţii</w:t>
            </w:r>
            <w:proofErr w:type="spellEnd"/>
            <w:r w:rsidRPr="002751FC">
              <w:rPr>
                <w:rFonts w:asciiTheme="majorHAnsi" w:eastAsia="Times New Roman" w:hAnsiTheme="majorHAnsi" w:cstheme="majorHAnsi"/>
                <w:sz w:val="20"/>
                <w:szCs w:val="20"/>
                <w:lang w:val="ro-MD"/>
              </w:rPr>
              <w:t>, t</w:t>
            </w:r>
            <w:r w:rsidR="00C944B3" w:rsidRPr="002751FC">
              <w:rPr>
                <w:rFonts w:asciiTheme="majorHAnsi" w:eastAsia="Times New Roman" w:hAnsiTheme="majorHAnsi" w:cstheme="majorHAnsi"/>
                <w:sz w:val="20"/>
                <w:szCs w:val="20"/>
                <w:lang w:val="ro-MD"/>
              </w:rPr>
              <w:t>â</w:t>
            </w:r>
            <w:r w:rsidRPr="002751FC">
              <w:rPr>
                <w:rFonts w:asciiTheme="majorHAnsi" w:eastAsia="Times New Roman" w:hAnsiTheme="majorHAnsi" w:cstheme="majorHAnsi"/>
                <w:sz w:val="20"/>
                <w:szCs w:val="20"/>
                <w:lang w:val="ro-MD"/>
              </w:rPr>
              <w:t>rguri, congrese, simpozioane, consfătuiri, concursuri etc.;</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4) efectuează studii şi analize în domeniul viticulturii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vinificaţiei</w:t>
            </w:r>
            <w:proofErr w:type="spellEnd"/>
            <w:r w:rsidRPr="002751FC">
              <w:rPr>
                <w:rFonts w:asciiTheme="majorHAnsi" w:eastAsia="Times New Roman" w:hAnsiTheme="majorHAnsi" w:cstheme="majorHAnsi"/>
                <w:sz w:val="20"/>
                <w:szCs w:val="20"/>
                <w:lang w:val="ro-MD"/>
              </w:rPr>
              <w:t xml:space="preserve">; </w:t>
            </w:r>
          </w:p>
          <w:p w:rsidR="002B0C1F" w:rsidRPr="002751FC" w:rsidRDefault="002B0C1F" w:rsidP="008E6A80">
            <w:pPr>
              <w:spacing w:after="160" w:line="259" w:lineRule="auto"/>
              <w:ind w:firstLine="57"/>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5) efectuează studii de cercetare în vederea elaborării propunerilor pentru strategia de dezvoltare a sectorului vitivinicol;</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6) gestionează Registrul vitivinicol;</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7) prezintă Ministerului </w:t>
            </w:r>
            <w:proofErr w:type="spellStart"/>
            <w:r w:rsidRPr="002751FC">
              <w:rPr>
                <w:rFonts w:asciiTheme="majorHAnsi" w:eastAsia="Times New Roman" w:hAnsiTheme="majorHAnsi" w:cstheme="majorHAnsi"/>
                <w:sz w:val="20"/>
                <w:szCs w:val="20"/>
                <w:lang w:val="ro-MD"/>
              </w:rPr>
              <w:t>informaţii</w:t>
            </w:r>
            <w:proofErr w:type="spellEnd"/>
            <w:r w:rsidRPr="002751FC">
              <w:rPr>
                <w:rFonts w:asciiTheme="majorHAnsi" w:eastAsia="Times New Roman" w:hAnsiTheme="majorHAnsi" w:cstheme="majorHAnsi"/>
                <w:sz w:val="20"/>
                <w:szCs w:val="20"/>
                <w:lang w:val="ro-MD"/>
              </w:rPr>
              <w:t xml:space="preserve"> despre </w:t>
            </w:r>
            <w:proofErr w:type="spellStart"/>
            <w:r w:rsidRPr="002751FC">
              <w:rPr>
                <w:rFonts w:asciiTheme="majorHAnsi" w:eastAsia="Times New Roman" w:hAnsiTheme="majorHAnsi" w:cstheme="majorHAnsi"/>
                <w:sz w:val="20"/>
                <w:szCs w:val="20"/>
                <w:lang w:val="ro-MD"/>
              </w:rPr>
              <w:t>potenţialul</w:t>
            </w:r>
            <w:proofErr w:type="spellEnd"/>
            <w:r w:rsidRPr="002751FC">
              <w:rPr>
                <w:rFonts w:asciiTheme="majorHAnsi" w:eastAsia="Times New Roman" w:hAnsiTheme="majorHAnsi" w:cstheme="majorHAnsi"/>
                <w:sz w:val="20"/>
                <w:szCs w:val="20"/>
                <w:lang w:val="ro-MD"/>
              </w:rPr>
              <w:t xml:space="preserve"> de </w:t>
            </w:r>
            <w:proofErr w:type="spellStart"/>
            <w:r w:rsidRPr="002751FC">
              <w:rPr>
                <w:rFonts w:asciiTheme="majorHAnsi" w:eastAsia="Times New Roman" w:hAnsiTheme="majorHAnsi" w:cstheme="majorHAnsi"/>
                <w:sz w:val="20"/>
                <w:szCs w:val="20"/>
                <w:lang w:val="ro-MD"/>
              </w:rPr>
              <w:t>producţie</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sistemul de </w:t>
            </w:r>
            <w:proofErr w:type="spellStart"/>
            <w:r w:rsidRPr="002751FC">
              <w:rPr>
                <w:rFonts w:asciiTheme="majorHAnsi" w:eastAsia="Times New Roman" w:hAnsiTheme="majorHAnsi" w:cstheme="majorHAnsi"/>
                <w:sz w:val="20"/>
                <w:szCs w:val="20"/>
                <w:lang w:val="ro-MD"/>
              </w:rPr>
              <w:t>declaraţii</w:t>
            </w:r>
            <w:proofErr w:type="spellEnd"/>
            <w:r w:rsidRPr="002751FC">
              <w:rPr>
                <w:rFonts w:asciiTheme="majorHAnsi" w:eastAsia="Times New Roman" w:hAnsiTheme="majorHAnsi" w:cstheme="majorHAnsi"/>
                <w:sz w:val="20"/>
                <w:szCs w:val="20"/>
                <w:lang w:val="ro-MD"/>
              </w:rPr>
              <w:t xml:space="preserve"> obligatorii;</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8) prezintă Ministerului propuneri privind elaborarea sau abrogarea actelor legislative sau normative cu caracter </w:t>
            </w:r>
            <w:proofErr w:type="spellStart"/>
            <w:r w:rsidRPr="002751FC">
              <w:rPr>
                <w:rFonts w:asciiTheme="majorHAnsi" w:eastAsia="Times New Roman" w:hAnsiTheme="majorHAnsi" w:cstheme="majorHAnsi"/>
                <w:sz w:val="20"/>
                <w:szCs w:val="20"/>
                <w:lang w:val="ro-MD"/>
              </w:rPr>
              <w:t>regulatoriu</w:t>
            </w:r>
            <w:proofErr w:type="spellEnd"/>
            <w:r w:rsidRPr="002751FC">
              <w:rPr>
                <w:rFonts w:asciiTheme="majorHAnsi" w:eastAsia="Times New Roman" w:hAnsiTheme="majorHAnsi" w:cstheme="majorHAnsi"/>
                <w:sz w:val="20"/>
                <w:szCs w:val="20"/>
                <w:lang w:val="ro-MD"/>
              </w:rPr>
              <w:t xml:space="preserve"> pentru sectorul vitivinicol, </w:t>
            </w:r>
            <w:proofErr w:type="spellStart"/>
            <w:r w:rsidRPr="002751FC">
              <w:rPr>
                <w:rFonts w:asciiTheme="majorHAnsi" w:eastAsia="Times New Roman" w:hAnsiTheme="majorHAnsi" w:cstheme="majorHAnsi"/>
                <w:sz w:val="20"/>
                <w:szCs w:val="20"/>
                <w:lang w:val="ro-MD"/>
              </w:rPr>
              <w:t>ţin</w:t>
            </w:r>
            <w:r w:rsidR="00E212A0" w:rsidRPr="002751FC">
              <w:rPr>
                <w:rFonts w:asciiTheme="majorHAnsi" w:eastAsia="Times New Roman" w:hAnsiTheme="majorHAnsi" w:cstheme="majorHAnsi"/>
                <w:sz w:val="20"/>
                <w:szCs w:val="20"/>
                <w:lang w:val="ro-MD"/>
              </w:rPr>
              <w:t>â</w:t>
            </w:r>
            <w:r w:rsidRPr="002751FC">
              <w:rPr>
                <w:rFonts w:asciiTheme="majorHAnsi" w:eastAsia="Times New Roman" w:hAnsiTheme="majorHAnsi" w:cstheme="majorHAnsi"/>
                <w:sz w:val="20"/>
                <w:szCs w:val="20"/>
                <w:lang w:val="ro-MD"/>
              </w:rPr>
              <w:t>nd</w:t>
            </w:r>
            <w:proofErr w:type="spellEnd"/>
            <w:r w:rsidRPr="002751FC">
              <w:rPr>
                <w:rFonts w:asciiTheme="majorHAnsi" w:eastAsia="Times New Roman" w:hAnsiTheme="majorHAnsi" w:cstheme="majorHAnsi"/>
                <w:sz w:val="20"/>
                <w:szCs w:val="20"/>
                <w:lang w:val="ro-MD"/>
              </w:rPr>
              <w:t xml:space="preserve"> seama de </w:t>
            </w:r>
            <w:proofErr w:type="spellStart"/>
            <w:r w:rsidRPr="002751FC">
              <w:rPr>
                <w:rFonts w:asciiTheme="majorHAnsi" w:eastAsia="Times New Roman" w:hAnsiTheme="majorHAnsi" w:cstheme="majorHAnsi"/>
                <w:sz w:val="20"/>
                <w:szCs w:val="20"/>
                <w:lang w:val="ro-MD"/>
              </w:rPr>
              <w:t>cerinţele</w:t>
            </w:r>
            <w:proofErr w:type="spellEnd"/>
            <w:r w:rsidRPr="002751FC">
              <w:rPr>
                <w:rFonts w:asciiTheme="majorHAnsi" w:eastAsia="Times New Roman" w:hAnsiTheme="majorHAnsi" w:cstheme="majorHAnsi"/>
                <w:sz w:val="20"/>
                <w:szCs w:val="20"/>
                <w:lang w:val="ro-MD"/>
              </w:rPr>
              <w:t xml:space="preserve"> dezvoltării viticulturii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vinificaţiei</w:t>
            </w:r>
            <w:proofErr w:type="spellEnd"/>
            <w:r w:rsidRPr="002751FC">
              <w:rPr>
                <w:rFonts w:asciiTheme="majorHAnsi" w:eastAsia="Times New Roman" w:hAnsiTheme="majorHAnsi" w:cstheme="majorHAnsi"/>
                <w:sz w:val="20"/>
                <w:szCs w:val="20"/>
                <w:lang w:val="ro-MD"/>
              </w:rPr>
              <w:t xml:space="preserve">, de reglementările </w:t>
            </w:r>
            <w:r w:rsidRPr="002751FC">
              <w:rPr>
                <w:rFonts w:asciiTheme="majorHAnsi" w:eastAsia="Times New Roman" w:hAnsiTheme="majorHAnsi" w:cstheme="majorHAnsi"/>
                <w:sz w:val="20"/>
                <w:szCs w:val="20"/>
                <w:lang w:val="ro-MD"/>
              </w:rPr>
              <w:lastRenderedPageBreak/>
              <w:t xml:space="preserve">Uniunii Europene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de recomandările </w:t>
            </w:r>
            <w:proofErr w:type="spellStart"/>
            <w:r w:rsidRPr="002751FC">
              <w:rPr>
                <w:rFonts w:asciiTheme="majorHAnsi" w:eastAsia="Times New Roman" w:hAnsiTheme="majorHAnsi" w:cstheme="majorHAnsi"/>
                <w:sz w:val="20"/>
                <w:szCs w:val="20"/>
                <w:lang w:val="ro-MD"/>
              </w:rPr>
              <w:t>Organizaţiei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Internaţionale</w:t>
            </w:r>
            <w:proofErr w:type="spellEnd"/>
            <w:r w:rsidRPr="002751FC">
              <w:rPr>
                <w:rFonts w:asciiTheme="majorHAnsi" w:eastAsia="Times New Roman" w:hAnsiTheme="majorHAnsi" w:cstheme="majorHAnsi"/>
                <w:sz w:val="20"/>
                <w:szCs w:val="20"/>
                <w:lang w:val="ro-MD"/>
              </w:rPr>
              <w:t xml:space="preserve"> a Viei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Vinului (în continuare – O.I.V.);</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9) atrage </w:t>
            </w:r>
            <w:proofErr w:type="spellStart"/>
            <w:r w:rsidRPr="002751FC">
              <w:rPr>
                <w:rFonts w:asciiTheme="majorHAnsi" w:eastAsia="Times New Roman" w:hAnsiTheme="majorHAnsi" w:cstheme="majorHAnsi"/>
                <w:sz w:val="20"/>
                <w:szCs w:val="20"/>
                <w:lang w:val="ro-MD"/>
              </w:rPr>
              <w:t>asistenţa</w:t>
            </w:r>
            <w:proofErr w:type="spellEnd"/>
            <w:r w:rsidRPr="002751FC">
              <w:rPr>
                <w:rFonts w:asciiTheme="majorHAnsi" w:eastAsia="Times New Roman" w:hAnsiTheme="majorHAnsi" w:cstheme="majorHAnsi"/>
                <w:sz w:val="20"/>
                <w:szCs w:val="20"/>
                <w:lang w:val="ro-MD"/>
              </w:rPr>
              <w:t xml:space="preserve"> tehnică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mijloacele donatorilor, participă la fundamentarea şi implementarea proiectelor de </w:t>
            </w:r>
            <w:proofErr w:type="spellStart"/>
            <w:r w:rsidRPr="002751FC">
              <w:rPr>
                <w:rFonts w:asciiTheme="majorHAnsi" w:eastAsia="Times New Roman" w:hAnsiTheme="majorHAnsi" w:cstheme="majorHAnsi"/>
                <w:sz w:val="20"/>
                <w:szCs w:val="20"/>
                <w:lang w:val="ro-MD"/>
              </w:rPr>
              <w:t>asistenţă</w:t>
            </w:r>
            <w:proofErr w:type="spellEnd"/>
            <w:r w:rsidRPr="002751FC">
              <w:rPr>
                <w:rFonts w:asciiTheme="majorHAnsi" w:eastAsia="Times New Roman" w:hAnsiTheme="majorHAnsi" w:cstheme="majorHAnsi"/>
                <w:sz w:val="20"/>
                <w:szCs w:val="20"/>
                <w:lang w:val="ro-MD"/>
              </w:rPr>
              <w:t xml:space="preserve"> tehnică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de </w:t>
            </w:r>
            <w:proofErr w:type="spellStart"/>
            <w:r w:rsidRPr="002751FC">
              <w:rPr>
                <w:rFonts w:asciiTheme="majorHAnsi" w:eastAsia="Times New Roman" w:hAnsiTheme="majorHAnsi" w:cstheme="majorHAnsi"/>
                <w:sz w:val="20"/>
                <w:szCs w:val="20"/>
                <w:lang w:val="ro-MD"/>
              </w:rPr>
              <w:t>investiţii</w:t>
            </w:r>
            <w:proofErr w:type="spellEnd"/>
            <w:r w:rsidRPr="002751FC">
              <w:rPr>
                <w:rFonts w:asciiTheme="majorHAnsi" w:eastAsia="Times New Roman" w:hAnsiTheme="majorHAnsi" w:cstheme="majorHAnsi"/>
                <w:sz w:val="20"/>
                <w:szCs w:val="20"/>
                <w:lang w:val="ro-MD"/>
              </w:rPr>
              <w:t xml:space="preserve"> în sectorul vitivinicol;</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10) colaborează cu instituţiile de cercetare în realizarea programelor de cercetări ştiinţifice şi aplicative în sectorul vitivinicol;</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11) colaborează cu Ministerul, cu instituţiile desconcentrate din teritoriu subordonate lui, cu </w:t>
            </w:r>
            <w:proofErr w:type="spellStart"/>
            <w:r w:rsidRPr="002751FC">
              <w:rPr>
                <w:rFonts w:asciiTheme="majorHAnsi" w:eastAsia="Times New Roman" w:hAnsiTheme="majorHAnsi" w:cstheme="majorHAnsi"/>
                <w:sz w:val="20"/>
                <w:szCs w:val="20"/>
                <w:lang w:val="ro-MD"/>
              </w:rPr>
              <w:t>autorităţile</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administraţiei</w:t>
            </w:r>
            <w:proofErr w:type="spellEnd"/>
            <w:r w:rsidRPr="002751FC">
              <w:rPr>
                <w:rFonts w:asciiTheme="majorHAnsi" w:eastAsia="Times New Roman" w:hAnsiTheme="majorHAnsi" w:cstheme="majorHAnsi"/>
                <w:sz w:val="20"/>
                <w:szCs w:val="20"/>
                <w:lang w:val="ro-MD"/>
              </w:rPr>
              <w:t xml:space="preserve"> publice locale de nivelul înt</w:t>
            </w:r>
            <w:r w:rsidR="00C944B3" w:rsidRPr="002751FC">
              <w:rPr>
                <w:rFonts w:asciiTheme="majorHAnsi" w:eastAsia="Times New Roman" w:hAnsiTheme="majorHAnsi" w:cstheme="majorHAnsi"/>
                <w:sz w:val="20"/>
                <w:szCs w:val="20"/>
                <w:lang w:val="ro-MD"/>
              </w:rPr>
              <w:t>â</w:t>
            </w:r>
            <w:r w:rsidRPr="002751FC">
              <w:rPr>
                <w:rFonts w:asciiTheme="majorHAnsi" w:eastAsia="Times New Roman" w:hAnsiTheme="majorHAnsi" w:cstheme="majorHAnsi"/>
                <w:sz w:val="20"/>
                <w:szCs w:val="20"/>
                <w:lang w:val="ro-MD"/>
              </w:rPr>
              <w:t xml:space="preserve">i şi al doilea, cu </w:t>
            </w:r>
            <w:proofErr w:type="spellStart"/>
            <w:r w:rsidRPr="002751FC">
              <w:rPr>
                <w:rFonts w:asciiTheme="majorHAnsi" w:eastAsia="Times New Roman" w:hAnsiTheme="majorHAnsi" w:cstheme="majorHAnsi"/>
                <w:sz w:val="20"/>
                <w:szCs w:val="20"/>
                <w:lang w:val="ro-MD"/>
              </w:rPr>
              <w:t>organizaţiile</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asociaţiile</w:t>
            </w:r>
            <w:proofErr w:type="spellEnd"/>
            <w:r w:rsidRPr="002751FC">
              <w:rPr>
                <w:rFonts w:asciiTheme="majorHAnsi" w:eastAsia="Times New Roman" w:hAnsiTheme="majorHAnsi" w:cstheme="majorHAnsi"/>
                <w:sz w:val="20"/>
                <w:szCs w:val="20"/>
                <w:lang w:val="ro-MD"/>
              </w:rPr>
              <w:t xml:space="preserve"> de producători în vederea realizării politicii statului şi realizării obiectivelor de dezvoltare durabilă în sectorul vitivinicol;</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12) colaborează cu </w:t>
            </w:r>
            <w:proofErr w:type="spellStart"/>
            <w:r w:rsidRPr="002751FC">
              <w:rPr>
                <w:rFonts w:asciiTheme="majorHAnsi" w:eastAsia="Times New Roman" w:hAnsiTheme="majorHAnsi" w:cstheme="majorHAnsi"/>
                <w:sz w:val="20"/>
                <w:szCs w:val="20"/>
                <w:lang w:val="ro-MD"/>
              </w:rPr>
              <w:t>Agenţia</w:t>
            </w:r>
            <w:proofErr w:type="spellEnd"/>
            <w:r w:rsidRPr="002751FC">
              <w:rPr>
                <w:rFonts w:asciiTheme="majorHAnsi" w:eastAsia="Times New Roman" w:hAnsiTheme="majorHAnsi" w:cstheme="majorHAnsi"/>
                <w:sz w:val="20"/>
                <w:szCs w:val="20"/>
                <w:lang w:val="ro-MD"/>
              </w:rPr>
              <w:t xml:space="preserve"> de </w:t>
            </w:r>
            <w:proofErr w:type="spellStart"/>
            <w:r w:rsidRPr="002751FC">
              <w:rPr>
                <w:rFonts w:asciiTheme="majorHAnsi" w:eastAsia="Times New Roman" w:hAnsiTheme="majorHAnsi" w:cstheme="majorHAnsi"/>
                <w:sz w:val="20"/>
                <w:szCs w:val="20"/>
                <w:lang w:val="ro-MD"/>
              </w:rPr>
              <w:t>Intervenţie</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Plăţi</w:t>
            </w:r>
            <w:proofErr w:type="spellEnd"/>
            <w:r w:rsidRPr="002751FC">
              <w:rPr>
                <w:rFonts w:asciiTheme="majorHAnsi" w:eastAsia="Times New Roman" w:hAnsiTheme="majorHAnsi" w:cstheme="majorHAnsi"/>
                <w:sz w:val="20"/>
                <w:szCs w:val="20"/>
                <w:lang w:val="ro-MD"/>
              </w:rPr>
              <w:t xml:space="preserve"> pentru Agricultură în vederea implementării şi derulării măsurilor de sprijin financiar pentru sectorul vitivinicol din fonduri </w:t>
            </w:r>
            <w:proofErr w:type="spellStart"/>
            <w:r w:rsidRPr="002751FC">
              <w:rPr>
                <w:rFonts w:asciiTheme="majorHAnsi" w:eastAsia="Times New Roman" w:hAnsiTheme="majorHAnsi" w:cstheme="majorHAnsi"/>
                <w:sz w:val="20"/>
                <w:szCs w:val="20"/>
                <w:lang w:val="ro-MD"/>
              </w:rPr>
              <w:t>naţionale</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internaţionale</w:t>
            </w:r>
            <w:proofErr w:type="spellEnd"/>
            <w:r w:rsidRPr="002751FC">
              <w:rPr>
                <w:rFonts w:asciiTheme="majorHAnsi" w:eastAsia="Times New Roman" w:hAnsiTheme="majorHAnsi" w:cstheme="majorHAnsi"/>
                <w:sz w:val="20"/>
                <w:szCs w:val="20"/>
                <w:lang w:val="ro-MD"/>
              </w:rPr>
              <w:t>;</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13) asigură legătura Republicii Moldova cu O.I.V., precum şi cu alte organisme internaţionale similare, în conformitate cu </w:t>
            </w:r>
            <w:proofErr w:type="spellStart"/>
            <w:r w:rsidRPr="002751FC">
              <w:rPr>
                <w:rFonts w:asciiTheme="majorHAnsi" w:eastAsia="Times New Roman" w:hAnsiTheme="majorHAnsi" w:cstheme="majorHAnsi"/>
                <w:sz w:val="20"/>
                <w:szCs w:val="20"/>
                <w:lang w:val="ro-MD"/>
              </w:rPr>
              <w:t>competenţele</w:t>
            </w:r>
            <w:proofErr w:type="spellEnd"/>
            <w:r w:rsidRPr="002751FC">
              <w:rPr>
                <w:rFonts w:asciiTheme="majorHAnsi" w:eastAsia="Times New Roman" w:hAnsiTheme="majorHAnsi" w:cstheme="majorHAnsi"/>
                <w:sz w:val="20"/>
                <w:szCs w:val="20"/>
                <w:lang w:val="ro-MD"/>
              </w:rPr>
              <w:t xml:space="preserve"> delegate de către Minister;</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14) desemnează </w:t>
            </w:r>
            <w:proofErr w:type="spellStart"/>
            <w:r w:rsidRPr="002751FC">
              <w:rPr>
                <w:rFonts w:asciiTheme="majorHAnsi" w:eastAsia="Times New Roman" w:hAnsiTheme="majorHAnsi" w:cstheme="majorHAnsi"/>
                <w:sz w:val="20"/>
                <w:szCs w:val="20"/>
                <w:lang w:val="ro-MD"/>
              </w:rPr>
              <w:t>reprezentanţii</w:t>
            </w:r>
            <w:proofErr w:type="spellEnd"/>
            <w:r w:rsidRPr="002751FC">
              <w:rPr>
                <w:rFonts w:asciiTheme="majorHAnsi" w:eastAsia="Times New Roman" w:hAnsiTheme="majorHAnsi" w:cstheme="majorHAnsi"/>
                <w:sz w:val="20"/>
                <w:szCs w:val="20"/>
                <w:lang w:val="ro-MD"/>
              </w:rPr>
              <w:t xml:space="preserve"> Oficiului ce vor participa la manifestările </w:t>
            </w:r>
            <w:proofErr w:type="spellStart"/>
            <w:r w:rsidRPr="002751FC">
              <w:rPr>
                <w:rFonts w:asciiTheme="majorHAnsi" w:eastAsia="Times New Roman" w:hAnsiTheme="majorHAnsi" w:cstheme="majorHAnsi"/>
                <w:sz w:val="20"/>
                <w:szCs w:val="20"/>
                <w:lang w:val="ro-MD"/>
              </w:rPr>
              <w:t>internaţionale</w:t>
            </w:r>
            <w:proofErr w:type="spellEnd"/>
            <w:r w:rsidRPr="002751FC">
              <w:rPr>
                <w:rFonts w:asciiTheme="majorHAnsi" w:eastAsia="Times New Roman" w:hAnsiTheme="majorHAnsi" w:cstheme="majorHAnsi"/>
                <w:sz w:val="20"/>
                <w:szCs w:val="20"/>
                <w:lang w:val="ro-MD"/>
              </w:rPr>
              <w:t xml:space="preserve"> cu caracter </w:t>
            </w:r>
            <w:proofErr w:type="spellStart"/>
            <w:r w:rsidRPr="002751FC">
              <w:rPr>
                <w:rFonts w:asciiTheme="majorHAnsi" w:eastAsia="Times New Roman" w:hAnsiTheme="majorHAnsi" w:cstheme="majorHAnsi"/>
                <w:sz w:val="20"/>
                <w:szCs w:val="20"/>
                <w:lang w:val="ro-MD"/>
              </w:rPr>
              <w:t>tehnico-ştiinţific</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desfăşurate</w:t>
            </w:r>
            <w:proofErr w:type="spellEnd"/>
            <w:r w:rsidRPr="002751FC">
              <w:rPr>
                <w:rFonts w:asciiTheme="majorHAnsi" w:eastAsia="Times New Roman" w:hAnsiTheme="majorHAnsi" w:cstheme="majorHAnsi"/>
                <w:sz w:val="20"/>
                <w:szCs w:val="20"/>
                <w:lang w:val="ro-MD"/>
              </w:rPr>
              <w:t xml:space="preserve"> sub egida O.I.V.;</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lastRenderedPageBreak/>
              <w:t xml:space="preserve">15) organizează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susţine</w:t>
            </w:r>
            <w:proofErr w:type="spellEnd"/>
            <w:r w:rsidRPr="002751FC">
              <w:rPr>
                <w:rFonts w:asciiTheme="majorHAnsi" w:eastAsia="Times New Roman" w:hAnsiTheme="majorHAnsi" w:cstheme="majorHAnsi"/>
                <w:sz w:val="20"/>
                <w:szCs w:val="20"/>
                <w:lang w:val="ro-MD"/>
              </w:rPr>
              <w:t xml:space="preserve"> financiar, în colaborare cu instituţiile de învăţăm</w:t>
            </w:r>
            <w:r w:rsidR="00C944B3" w:rsidRPr="002751FC">
              <w:rPr>
                <w:rFonts w:asciiTheme="majorHAnsi" w:eastAsia="Times New Roman" w:hAnsiTheme="majorHAnsi" w:cstheme="majorHAnsi"/>
                <w:sz w:val="20"/>
                <w:szCs w:val="20"/>
                <w:lang w:val="ro-MD"/>
              </w:rPr>
              <w:t>â</w:t>
            </w:r>
            <w:r w:rsidRPr="002751FC">
              <w:rPr>
                <w:rFonts w:asciiTheme="majorHAnsi" w:eastAsia="Times New Roman" w:hAnsiTheme="majorHAnsi" w:cstheme="majorHAnsi"/>
                <w:sz w:val="20"/>
                <w:szCs w:val="20"/>
                <w:lang w:val="ro-MD"/>
              </w:rPr>
              <w:t xml:space="preserve">nt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de cercetare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cu </w:t>
            </w:r>
            <w:proofErr w:type="spellStart"/>
            <w:r w:rsidRPr="002751FC">
              <w:rPr>
                <w:rFonts w:asciiTheme="majorHAnsi" w:eastAsia="Times New Roman" w:hAnsiTheme="majorHAnsi" w:cstheme="majorHAnsi"/>
                <w:sz w:val="20"/>
                <w:szCs w:val="20"/>
                <w:lang w:val="ro-MD"/>
              </w:rPr>
              <w:t>unităţile</w:t>
            </w:r>
            <w:proofErr w:type="spellEnd"/>
            <w:r w:rsidRPr="002751FC">
              <w:rPr>
                <w:rFonts w:asciiTheme="majorHAnsi" w:eastAsia="Times New Roman" w:hAnsiTheme="majorHAnsi" w:cstheme="majorHAnsi"/>
                <w:sz w:val="20"/>
                <w:szCs w:val="20"/>
                <w:lang w:val="ro-MD"/>
              </w:rPr>
              <w:t xml:space="preserve"> producătoare din domeniul vitivinicol, programe de pregătire şi instruire profesională a </w:t>
            </w:r>
            <w:proofErr w:type="spellStart"/>
            <w:r w:rsidRPr="002751FC">
              <w:rPr>
                <w:rFonts w:asciiTheme="majorHAnsi" w:eastAsia="Times New Roman" w:hAnsiTheme="majorHAnsi" w:cstheme="majorHAnsi"/>
                <w:sz w:val="20"/>
                <w:szCs w:val="20"/>
                <w:lang w:val="ro-MD"/>
              </w:rPr>
              <w:t>specialiştilor</w:t>
            </w:r>
            <w:proofErr w:type="spellEnd"/>
            <w:r w:rsidRPr="002751FC">
              <w:rPr>
                <w:rFonts w:asciiTheme="majorHAnsi" w:eastAsia="Times New Roman" w:hAnsiTheme="majorHAnsi" w:cstheme="majorHAnsi"/>
                <w:sz w:val="20"/>
                <w:szCs w:val="20"/>
                <w:lang w:val="ro-MD"/>
              </w:rPr>
              <w:t xml:space="preserve"> din sectorul vitivinicol, </w:t>
            </w:r>
            <w:proofErr w:type="spellStart"/>
            <w:r w:rsidRPr="002751FC">
              <w:rPr>
                <w:rFonts w:asciiTheme="majorHAnsi" w:eastAsia="Times New Roman" w:hAnsiTheme="majorHAnsi" w:cstheme="majorHAnsi"/>
                <w:sz w:val="20"/>
                <w:szCs w:val="20"/>
                <w:lang w:val="ro-MD"/>
              </w:rPr>
              <w:t>stagieri</w:t>
            </w:r>
            <w:proofErr w:type="spellEnd"/>
            <w:r w:rsidRPr="002751FC">
              <w:rPr>
                <w:rFonts w:asciiTheme="majorHAnsi" w:eastAsia="Times New Roman" w:hAnsiTheme="majorHAnsi" w:cstheme="majorHAnsi"/>
                <w:sz w:val="20"/>
                <w:szCs w:val="20"/>
                <w:lang w:val="ro-MD"/>
              </w:rPr>
              <w:t xml:space="preserve"> privind tehnologiile avansate din domeniu;</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16) </w:t>
            </w:r>
            <w:proofErr w:type="spellStart"/>
            <w:r w:rsidRPr="002751FC">
              <w:rPr>
                <w:rFonts w:asciiTheme="majorHAnsi" w:eastAsia="Times New Roman" w:hAnsiTheme="majorHAnsi" w:cstheme="majorHAnsi"/>
                <w:sz w:val="20"/>
                <w:szCs w:val="20"/>
                <w:lang w:val="ro-MD"/>
              </w:rPr>
              <w:t>contractează</w:t>
            </w:r>
            <w:proofErr w:type="spellEnd"/>
            <w:r w:rsidRPr="002751FC">
              <w:rPr>
                <w:rFonts w:asciiTheme="majorHAnsi" w:eastAsia="Times New Roman" w:hAnsiTheme="majorHAnsi" w:cstheme="majorHAnsi"/>
                <w:sz w:val="20"/>
                <w:szCs w:val="20"/>
                <w:lang w:val="ro-MD"/>
              </w:rPr>
              <w:t xml:space="preserve"> servicii de cercetare, dezvoltare şi instruire în domeniul vitivinicol;</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17) gestionează utilizarea mijloacelor financiare ale Fondului Viei şi Vinului;</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18) aprobă anual lista soiurilor pentru producerea materialului de </w:t>
            </w:r>
            <w:proofErr w:type="spellStart"/>
            <w:r w:rsidRPr="002751FC">
              <w:rPr>
                <w:rFonts w:asciiTheme="majorHAnsi" w:eastAsia="Times New Roman" w:hAnsiTheme="majorHAnsi" w:cstheme="majorHAnsi"/>
                <w:sz w:val="20"/>
                <w:szCs w:val="20"/>
                <w:lang w:val="ro-MD"/>
              </w:rPr>
              <w:t>înmulţire</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săditor viticol de categorie biologică </w:t>
            </w:r>
            <w:r w:rsidR="00C944B3" w:rsidRPr="002751FC">
              <w:rPr>
                <w:rFonts w:asciiTheme="majorHAnsi" w:eastAsia="Times New Roman" w:hAnsiTheme="majorHAnsi" w:cstheme="majorHAnsi"/>
                <w:sz w:val="20"/>
                <w:szCs w:val="20"/>
                <w:lang w:val="ro-MD"/>
              </w:rPr>
              <w:t>„</w:t>
            </w:r>
            <w:proofErr w:type="spellStart"/>
            <w:r w:rsidRPr="002751FC">
              <w:rPr>
                <w:rFonts w:asciiTheme="majorHAnsi" w:eastAsia="Times New Roman" w:hAnsiTheme="majorHAnsi" w:cstheme="majorHAnsi"/>
                <w:sz w:val="20"/>
                <w:szCs w:val="20"/>
                <w:lang w:val="ro-MD"/>
              </w:rPr>
              <w:t>obişnuit</w:t>
            </w:r>
            <w:proofErr w:type="spellEnd"/>
            <w:r w:rsidRPr="002751FC">
              <w:rPr>
                <w:rFonts w:asciiTheme="majorHAnsi" w:eastAsia="Times New Roman" w:hAnsiTheme="majorHAnsi" w:cstheme="majorHAnsi"/>
                <w:sz w:val="20"/>
                <w:szCs w:val="20"/>
                <w:lang w:val="ro-MD"/>
              </w:rPr>
              <w:t>”;</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19) aprobă amplasarea soiurilor </w:t>
            </w:r>
            <w:proofErr w:type="spellStart"/>
            <w:r w:rsidRPr="002751FC">
              <w:rPr>
                <w:rFonts w:asciiTheme="majorHAnsi" w:eastAsia="Times New Roman" w:hAnsiTheme="majorHAnsi" w:cstheme="majorHAnsi"/>
                <w:sz w:val="20"/>
                <w:szCs w:val="20"/>
                <w:lang w:val="ro-MD"/>
              </w:rPr>
              <w:t>viţei</w:t>
            </w:r>
            <w:proofErr w:type="spellEnd"/>
            <w:r w:rsidRPr="002751FC">
              <w:rPr>
                <w:rFonts w:asciiTheme="majorHAnsi" w:eastAsia="Times New Roman" w:hAnsiTheme="majorHAnsi" w:cstheme="majorHAnsi"/>
                <w:sz w:val="20"/>
                <w:szCs w:val="20"/>
                <w:lang w:val="ro-MD"/>
              </w:rPr>
              <w:t xml:space="preserve">-de-vie pe regiuni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centre vitivinicole, conform recomandărilor elaborate de către instituţiile ştiinţifice de profil</w:t>
            </w:r>
          </w:p>
        </w:tc>
        <w:tc>
          <w:tcPr>
            <w:tcW w:w="2752" w:type="dxa"/>
          </w:tcPr>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lastRenderedPageBreak/>
              <w:t xml:space="preserve">a) implementează politica statului în sectorul pepinieritului viticol, viticulturii, fabricării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circulaţiei</w:t>
            </w:r>
            <w:proofErr w:type="spellEnd"/>
            <w:r w:rsidRPr="002751FC">
              <w:rPr>
                <w:rFonts w:asciiTheme="majorHAnsi" w:eastAsia="Times New Roman" w:hAnsiTheme="majorHAnsi" w:cstheme="majorHAnsi"/>
                <w:sz w:val="20"/>
                <w:szCs w:val="20"/>
                <w:lang w:val="ro-MD"/>
              </w:rPr>
              <w:t xml:space="preserve"> vinurilor, produselor </w:t>
            </w:r>
            <w:proofErr w:type="spellStart"/>
            <w:r w:rsidRPr="002751FC">
              <w:rPr>
                <w:rFonts w:asciiTheme="majorHAnsi" w:eastAsia="Times New Roman" w:hAnsiTheme="majorHAnsi" w:cstheme="majorHAnsi"/>
                <w:sz w:val="20"/>
                <w:szCs w:val="20"/>
                <w:lang w:val="ro-MD"/>
              </w:rPr>
              <w:t>obţinute</w:t>
            </w:r>
            <w:proofErr w:type="spellEnd"/>
            <w:r w:rsidRPr="002751FC">
              <w:rPr>
                <w:rFonts w:asciiTheme="majorHAnsi" w:eastAsia="Times New Roman" w:hAnsiTheme="majorHAnsi" w:cstheme="majorHAnsi"/>
                <w:sz w:val="20"/>
                <w:szCs w:val="20"/>
                <w:lang w:val="ro-MD"/>
              </w:rPr>
              <w:t xml:space="preserve"> pe bază de must şi a produselor obţinute pe bază de vin, produselor secundare vinicole şi a produselor obţinute prin valorificarea produselor secundare vinicole;</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b) promovează comercializarea produselor vinicole pe </w:t>
            </w:r>
            <w:proofErr w:type="spellStart"/>
            <w:r w:rsidRPr="002751FC">
              <w:rPr>
                <w:rFonts w:asciiTheme="majorHAnsi" w:eastAsia="Times New Roman" w:hAnsiTheme="majorHAnsi" w:cstheme="majorHAnsi"/>
                <w:sz w:val="20"/>
                <w:szCs w:val="20"/>
                <w:lang w:val="ro-MD"/>
              </w:rPr>
              <w:t>pieţele</w:t>
            </w:r>
            <w:proofErr w:type="spellEnd"/>
            <w:r w:rsidRPr="002751FC">
              <w:rPr>
                <w:rFonts w:asciiTheme="majorHAnsi" w:eastAsia="Times New Roman" w:hAnsiTheme="majorHAnsi" w:cstheme="majorHAnsi"/>
                <w:sz w:val="20"/>
                <w:szCs w:val="20"/>
                <w:lang w:val="ro-MD"/>
              </w:rPr>
              <w:t xml:space="preserve"> internă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externă;</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c) înaintează propuneri privind elaborarea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perfecţionarea</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legislaţiei</w:t>
            </w:r>
            <w:proofErr w:type="spellEnd"/>
            <w:r w:rsidRPr="002751FC">
              <w:rPr>
                <w:rFonts w:asciiTheme="majorHAnsi" w:eastAsia="Times New Roman" w:hAnsiTheme="majorHAnsi" w:cstheme="majorHAnsi"/>
                <w:sz w:val="20"/>
                <w:szCs w:val="20"/>
                <w:lang w:val="ro-MD"/>
              </w:rPr>
              <w:t xml:space="preserve"> cu privire la fabricarea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circulaţia</w:t>
            </w:r>
            <w:proofErr w:type="spellEnd"/>
            <w:r w:rsidRPr="002751FC">
              <w:rPr>
                <w:rFonts w:asciiTheme="majorHAnsi" w:eastAsia="Times New Roman" w:hAnsiTheme="majorHAnsi" w:cstheme="majorHAnsi"/>
                <w:sz w:val="20"/>
                <w:szCs w:val="20"/>
                <w:lang w:val="ro-MD"/>
              </w:rPr>
              <w:t xml:space="preserve"> produselor vitivinicole;</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d) </w:t>
            </w:r>
            <w:proofErr w:type="spellStart"/>
            <w:r w:rsidRPr="002751FC">
              <w:rPr>
                <w:rFonts w:asciiTheme="majorHAnsi" w:eastAsia="Times New Roman" w:hAnsiTheme="majorHAnsi" w:cstheme="majorHAnsi"/>
                <w:sz w:val="20"/>
                <w:szCs w:val="20"/>
                <w:lang w:val="ro-MD"/>
              </w:rPr>
              <w:t>stabileşte</w:t>
            </w:r>
            <w:proofErr w:type="spellEnd"/>
            <w:r w:rsidRPr="002751FC">
              <w:rPr>
                <w:rFonts w:asciiTheme="majorHAnsi" w:eastAsia="Times New Roman" w:hAnsiTheme="majorHAnsi" w:cstheme="majorHAnsi"/>
                <w:sz w:val="20"/>
                <w:szCs w:val="20"/>
                <w:lang w:val="ro-MD"/>
              </w:rPr>
              <w:t xml:space="preserve"> reguli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gestionează utilizarea brandului de </w:t>
            </w:r>
            <w:proofErr w:type="spellStart"/>
            <w:r w:rsidRPr="002751FC">
              <w:rPr>
                <w:rFonts w:asciiTheme="majorHAnsi" w:eastAsia="Times New Roman" w:hAnsiTheme="majorHAnsi" w:cstheme="majorHAnsi"/>
                <w:sz w:val="20"/>
                <w:szCs w:val="20"/>
                <w:lang w:val="ro-MD"/>
              </w:rPr>
              <w:t>ţară</w:t>
            </w:r>
            <w:proofErr w:type="spellEnd"/>
            <w:r w:rsidRPr="002751FC">
              <w:rPr>
                <w:rFonts w:asciiTheme="majorHAnsi" w:eastAsia="Times New Roman" w:hAnsiTheme="majorHAnsi" w:cstheme="majorHAnsi"/>
                <w:sz w:val="20"/>
                <w:szCs w:val="20"/>
                <w:lang w:val="ro-MD"/>
              </w:rPr>
              <w:t xml:space="preserve"> pentru vinuri;</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e) efectuează analize sectoriale în vederea asigurării dezvoltării strategice a sectorului vitivinicol;</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f) gestionează producerea produselor vitivinicole cu </w:t>
            </w:r>
            <w:proofErr w:type="spellStart"/>
            <w:r w:rsidRPr="002751FC">
              <w:rPr>
                <w:rFonts w:asciiTheme="majorHAnsi" w:eastAsia="Times New Roman" w:hAnsiTheme="majorHAnsi" w:cstheme="majorHAnsi"/>
                <w:sz w:val="20"/>
                <w:szCs w:val="20"/>
                <w:lang w:val="ro-MD"/>
              </w:rPr>
              <w:t>indicaţie</w:t>
            </w:r>
            <w:proofErr w:type="spellEnd"/>
            <w:r w:rsidRPr="002751FC">
              <w:rPr>
                <w:rFonts w:asciiTheme="majorHAnsi" w:eastAsia="Times New Roman" w:hAnsiTheme="majorHAnsi" w:cstheme="majorHAnsi"/>
                <w:sz w:val="20"/>
                <w:szCs w:val="20"/>
                <w:lang w:val="ro-MD"/>
              </w:rPr>
              <w:t xml:space="preserve"> geografică protejată (IGP) şi cu denumire de origine protejată (DOP) în conformitate cu reglementările tehnice aprobate de către Guvern;</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lastRenderedPageBreak/>
              <w:t xml:space="preserve">g) monitorizează </w:t>
            </w:r>
            <w:proofErr w:type="spellStart"/>
            <w:r w:rsidRPr="002751FC">
              <w:rPr>
                <w:rFonts w:asciiTheme="majorHAnsi" w:eastAsia="Times New Roman" w:hAnsiTheme="majorHAnsi" w:cstheme="majorHAnsi"/>
                <w:sz w:val="20"/>
                <w:szCs w:val="20"/>
                <w:lang w:val="ro-MD"/>
              </w:rPr>
              <w:t>potenţialul</w:t>
            </w:r>
            <w:proofErr w:type="spellEnd"/>
            <w:r w:rsidRPr="002751FC">
              <w:rPr>
                <w:rFonts w:asciiTheme="majorHAnsi" w:eastAsia="Times New Roman" w:hAnsiTheme="majorHAnsi" w:cstheme="majorHAnsi"/>
                <w:sz w:val="20"/>
                <w:szCs w:val="20"/>
                <w:lang w:val="ro-MD"/>
              </w:rPr>
              <w:t xml:space="preserve"> de producere, inclusiv </w:t>
            </w:r>
            <w:proofErr w:type="spellStart"/>
            <w:r w:rsidRPr="002751FC">
              <w:rPr>
                <w:rFonts w:asciiTheme="majorHAnsi" w:eastAsia="Times New Roman" w:hAnsiTheme="majorHAnsi" w:cstheme="majorHAnsi"/>
                <w:sz w:val="20"/>
                <w:szCs w:val="20"/>
                <w:lang w:val="ro-MD"/>
              </w:rPr>
              <w:t>înfiinţarea</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şi</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defrişarea</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plantaţiilor</w:t>
            </w:r>
            <w:proofErr w:type="spellEnd"/>
            <w:r w:rsidRPr="002751FC">
              <w:rPr>
                <w:rFonts w:asciiTheme="majorHAnsi" w:eastAsia="Times New Roman" w:hAnsiTheme="majorHAnsi" w:cstheme="majorHAnsi"/>
                <w:sz w:val="20"/>
                <w:szCs w:val="20"/>
                <w:lang w:val="ro-MD"/>
              </w:rPr>
              <w:t xml:space="preserve"> viticole;</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h) </w:t>
            </w:r>
            <w:proofErr w:type="spellStart"/>
            <w:r w:rsidRPr="002751FC">
              <w:rPr>
                <w:rFonts w:asciiTheme="majorHAnsi" w:eastAsia="Times New Roman" w:hAnsiTheme="majorHAnsi" w:cstheme="majorHAnsi"/>
                <w:sz w:val="20"/>
                <w:szCs w:val="20"/>
                <w:lang w:val="ro-MD"/>
              </w:rPr>
              <w:t>ţine</w:t>
            </w:r>
            <w:proofErr w:type="spellEnd"/>
            <w:r w:rsidRPr="002751FC">
              <w:rPr>
                <w:rFonts w:asciiTheme="majorHAnsi" w:eastAsia="Times New Roman" w:hAnsiTheme="majorHAnsi" w:cstheme="majorHAnsi"/>
                <w:sz w:val="20"/>
                <w:szCs w:val="20"/>
                <w:lang w:val="ro-MD"/>
              </w:rPr>
              <w:t xml:space="preserve"> registre referitoare la sectorul vitivinicol;</w:t>
            </w:r>
          </w:p>
          <w:p w:rsidR="002B0C1F" w:rsidRPr="002751FC" w:rsidRDefault="002B0C1F" w:rsidP="008E6A80">
            <w:pPr>
              <w:spacing w:after="160" w:line="259" w:lineRule="auto"/>
              <w:jc w:val="both"/>
              <w:rPr>
                <w:rFonts w:asciiTheme="majorHAnsi" w:eastAsia="Times New Roman" w:hAnsiTheme="majorHAnsi" w:cstheme="majorHAnsi"/>
                <w:sz w:val="20"/>
                <w:szCs w:val="20"/>
                <w:lang w:val="ro-MD"/>
              </w:rPr>
            </w:pPr>
            <w:r w:rsidRPr="002751FC">
              <w:rPr>
                <w:rFonts w:asciiTheme="majorHAnsi" w:eastAsia="Times New Roman" w:hAnsiTheme="majorHAnsi" w:cstheme="majorHAnsi"/>
                <w:sz w:val="20"/>
                <w:szCs w:val="20"/>
                <w:lang w:val="ro-MD"/>
              </w:rPr>
              <w:t xml:space="preserve">i) </w:t>
            </w:r>
            <w:proofErr w:type="spellStart"/>
            <w:r w:rsidRPr="002751FC">
              <w:rPr>
                <w:rFonts w:asciiTheme="majorHAnsi" w:eastAsia="Times New Roman" w:hAnsiTheme="majorHAnsi" w:cstheme="majorHAnsi"/>
                <w:sz w:val="20"/>
                <w:szCs w:val="20"/>
                <w:lang w:val="ro-MD"/>
              </w:rPr>
              <w:t>ţine</w:t>
            </w:r>
            <w:proofErr w:type="spellEnd"/>
            <w:r w:rsidRPr="002751FC">
              <w:rPr>
                <w:rFonts w:asciiTheme="majorHAnsi" w:eastAsia="Times New Roman" w:hAnsiTheme="majorHAnsi" w:cstheme="majorHAnsi"/>
                <w:sz w:val="20"/>
                <w:szCs w:val="20"/>
                <w:lang w:val="ro-MD"/>
              </w:rPr>
              <w:t xml:space="preserve"> </w:t>
            </w:r>
            <w:proofErr w:type="spellStart"/>
            <w:r w:rsidRPr="002751FC">
              <w:rPr>
                <w:rFonts w:asciiTheme="majorHAnsi" w:eastAsia="Times New Roman" w:hAnsiTheme="majorHAnsi" w:cstheme="majorHAnsi"/>
                <w:sz w:val="20"/>
                <w:szCs w:val="20"/>
                <w:lang w:val="ro-MD"/>
              </w:rPr>
              <w:t>evidenţa</w:t>
            </w:r>
            <w:proofErr w:type="spellEnd"/>
            <w:r w:rsidRPr="002751FC">
              <w:rPr>
                <w:rFonts w:asciiTheme="majorHAnsi" w:eastAsia="Times New Roman" w:hAnsiTheme="majorHAnsi" w:cstheme="majorHAnsi"/>
                <w:sz w:val="20"/>
                <w:szCs w:val="20"/>
                <w:lang w:val="ro-MD"/>
              </w:rPr>
              <w:t xml:space="preserve"> contribuabililor, </w:t>
            </w:r>
            <w:proofErr w:type="spellStart"/>
            <w:r w:rsidRPr="002751FC">
              <w:rPr>
                <w:rFonts w:asciiTheme="majorHAnsi" w:eastAsia="Times New Roman" w:hAnsiTheme="majorHAnsi" w:cstheme="majorHAnsi"/>
                <w:sz w:val="20"/>
                <w:szCs w:val="20"/>
                <w:lang w:val="ro-MD"/>
              </w:rPr>
              <w:t>contribuţiilor</w:t>
            </w:r>
            <w:proofErr w:type="spellEnd"/>
            <w:r w:rsidRPr="002751FC">
              <w:rPr>
                <w:rFonts w:asciiTheme="majorHAnsi" w:eastAsia="Times New Roman" w:hAnsiTheme="majorHAnsi" w:cstheme="majorHAnsi"/>
                <w:sz w:val="20"/>
                <w:szCs w:val="20"/>
                <w:lang w:val="ro-MD"/>
              </w:rPr>
              <w:t xml:space="preserve"> obligatorii în Fondul Viei şi Vinului</w:t>
            </w:r>
            <w:r w:rsidRPr="002751FC">
              <w:rPr>
                <w:rFonts w:asciiTheme="majorHAnsi" w:eastAsia="Times New Roman" w:hAnsiTheme="majorHAnsi" w:cstheme="majorHAnsi"/>
                <w:sz w:val="20"/>
                <w:szCs w:val="20"/>
                <w:lang w:val="ro-MD"/>
              </w:rPr>
              <w:br/>
            </w:r>
          </w:p>
        </w:tc>
      </w:tr>
    </w:tbl>
    <w:p w:rsidR="00373255" w:rsidRPr="002751FC" w:rsidRDefault="00373255" w:rsidP="00793F00">
      <w:pPr>
        <w:spacing w:after="0" w:line="240" w:lineRule="auto"/>
        <w:rPr>
          <w:rFonts w:asciiTheme="majorHAnsi" w:hAnsiTheme="majorHAnsi" w:cstheme="majorHAnsi"/>
          <w:lang w:val="ro-MD"/>
        </w:rPr>
      </w:pPr>
      <w:r w:rsidRPr="002751FC">
        <w:rPr>
          <w:rFonts w:asciiTheme="majorHAnsi" w:hAnsiTheme="majorHAnsi" w:cstheme="majorHAnsi"/>
          <w:b/>
          <w:lang w:val="ro-MD"/>
        </w:rPr>
        <w:lastRenderedPageBreak/>
        <w:t xml:space="preserve">Sursa: </w:t>
      </w:r>
      <w:r w:rsidRPr="002751FC">
        <w:rPr>
          <w:rFonts w:asciiTheme="majorHAnsi" w:hAnsiTheme="majorHAnsi" w:cstheme="majorHAnsi"/>
          <w:lang w:val="ro-MD"/>
        </w:rPr>
        <w:t>cadrul legislativ.</w:t>
      </w:r>
    </w:p>
    <w:p w:rsidR="002B0C1F" w:rsidRPr="002751FC" w:rsidRDefault="002B0C1F" w:rsidP="00793F00">
      <w:pPr>
        <w:pStyle w:val="1"/>
        <w:spacing w:before="0" w:line="240" w:lineRule="auto"/>
        <w:jc w:val="right"/>
        <w:rPr>
          <w:rFonts w:cstheme="majorHAnsi"/>
          <w:b/>
          <w:color w:val="auto"/>
          <w:sz w:val="28"/>
          <w:szCs w:val="28"/>
          <w:lang w:val="ro-MD"/>
        </w:rPr>
      </w:pPr>
      <w:bookmarkStart w:id="85" w:name="_Toc23259133"/>
      <w:r w:rsidRPr="002751FC">
        <w:rPr>
          <w:rFonts w:cstheme="majorHAnsi"/>
          <w:b/>
          <w:color w:val="auto"/>
          <w:sz w:val="28"/>
          <w:szCs w:val="28"/>
          <w:lang w:val="ro-MD"/>
        </w:rPr>
        <w:t>Anexa nr.4</w:t>
      </w:r>
      <w:bookmarkEnd w:id="85"/>
    </w:p>
    <w:p w:rsidR="002B0C1F" w:rsidRPr="00E50172" w:rsidRDefault="002B0C1F" w:rsidP="00793F00">
      <w:pPr>
        <w:pStyle w:val="1"/>
        <w:spacing w:before="0" w:line="240" w:lineRule="auto"/>
        <w:jc w:val="center"/>
        <w:rPr>
          <w:rFonts w:cstheme="majorHAnsi"/>
          <w:b/>
          <w:color w:val="auto"/>
          <w:sz w:val="28"/>
          <w:szCs w:val="28"/>
          <w:lang w:val="ro-MD"/>
        </w:rPr>
      </w:pPr>
      <w:bookmarkStart w:id="86" w:name="_Toc23259134"/>
      <w:r w:rsidRPr="00E50172">
        <w:rPr>
          <w:rFonts w:cstheme="majorHAnsi"/>
          <w:b/>
          <w:color w:val="auto"/>
          <w:sz w:val="28"/>
          <w:szCs w:val="28"/>
          <w:lang w:val="ro-MD"/>
        </w:rPr>
        <w:t>Atribuț</w:t>
      </w:r>
      <w:r w:rsidR="0062235A" w:rsidRPr="00E50172">
        <w:rPr>
          <w:rFonts w:cstheme="majorHAnsi"/>
          <w:b/>
          <w:color w:val="auto"/>
          <w:sz w:val="28"/>
          <w:szCs w:val="28"/>
          <w:lang w:val="ro-MD"/>
        </w:rPr>
        <w:t>ii</w:t>
      </w:r>
      <w:r w:rsidRPr="00E50172">
        <w:rPr>
          <w:rFonts w:cstheme="majorHAnsi"/>
          <w:b/>
          <w:color w:val="auto"/>
          <w:sz w:val="28"/>
          <w:szCs w:val="28"/>
          <w:lang w:val="ro-MD"/>
        </w:rPr>
        <w:t xml:space="preserve">le Consiliului de </w:t>
      </w:r>
      <w:r w:rsidR="00F345E3" w:rsidRPr="00E50172">
        <w:rPr>
          <w:rFonts w:cstheme="majorHAnsi"/>
          <w:b/>
          <w:color w:val="auto"/>
          <w:sz w:val="28"/>
          <w:szCs w:val="28"/>
          <w:lang w:val="ro-MD"/>
        </w:rPr>
        <w:t>c</w:t>
      </w:r>
      <w:r w:rsidRPr="00E50172">
        <w:rPr>
          <w:rFonts w:cstheme="majorHAnsi"/>
          <w:b/>
          <w:color w:val="auto"/>
          <w:sz w:val="28"/>
          <w:szCs w:val="28"/>
          <w:lang w:val="ro-MD"/>
        </w:rPr>
        <w:t>oordonare</w:t>
      </w:r>
      <w:bookmarkEnd w:id="86"/>
    </w:p>
    <w:p w:rsidR="002B0C1F" w:rsidRPr="002751FC" w:rsidRDefault="002B0C1F" w:rsidP="00793F00">
      <w:pPr>
        <w:spacing w:after="0" w:line="240" w:lineRule="auto"/>
        <w:jc w:val="center"/>
        <w:rPr>
          <w:rFonts w:asciiTheme="majorHAnsi" w:hAnsiTheme="majorHAnsi" w:cstheme="majorHAnsi"/>
          <w:b/>
          <w:lang w:val="ro-MD"/>
        </w:rPr>
      </w:pPr>
    </w:p>
    <w:p w:rsidR="002B0C1F" w:rsidRPr="002751FC" w:rsidRDefault="002B0C1F" w:rsidP="00793F00">
      <w:pPr>
        <w:spacing w:after="0" w:line="240" w:lineRule="auto"/>
        <w:rPr>
          <w:rFonts w:asciiTheme="majorHAnsi" w:hAnsiTheme="majorHAnsi" w:cstheme="majorHAnsi"/>
          <w:b/>
          <w:sz w:val="28"/>
          <w:szCs w:val="28"/>
          <w:lang w:val="ro-MD"/>
        </w:rPr>
      </w:pPr>
      <w:r w:rsidRPr="002751FC">
        <w:rPr>
          <w:rFonts w:asciiTheme="majorHAnsi" w:hAnsiTheme="majorHAnsi" w:cstheme="majorHAnsi"/>
          <w:b/>
          <w:sz w:val="28"/>
          <w:szCs w:val="28"/>
          <w:lang w:val="ro-MD"/>
        </w:rPr>
        <w:t xml:space="preserve">Consiliul are </w:t>
      </w:r>
      <w:r w:rsidR="0062235A" w:rsidRPr="002751FC">
        <w:rPr>
          <w:rFonts w:asciiTheme="majorHAnsi" w:hAnsiTheme="majorHAnsi" w:cstheme="majorHAnsi"/>
          <w:b/>
          <w:sz w:val="28"/>
          <w:szCs w:val="28"/>
          <w:lang w:val="ro-MD"/>
        </w:rPr>
        <w:t>următoarele</w:t>
      </w:r>
      <w:r w:rsidRPr="002751FC">
        <w:rPr>
          <w:rFonts w:asciiTheme="majorHAnsi" w:hAnsiTheme="majorHAnsi" w:cstheme="majorHAnsi"/>
          <w:b/>
          <w:sz w:val="28"/>
          <w:szCs w:val="28"/>
          <w:lang w:val="ro-MD"/>
        </w:rPr>
        <w:t xml:space="preserve"> </w:t>
      </w:r>
      <w:r w:rsidR="0062235A" w:rsidRPr="002751FC">
        <w:rPr>
          <w:rFonts w:asciiTheme="majorHAnsi" w:hAnsiTheme="majorHAnsi" w:cstheme="majorHAnsi"/>
          <w:b/>
          <w:sz w:val="28"/>
          <w:szCs w:val="28"/>
          <w:lang w:val="ro-MD"/>
        </w:rPr>
        <w:t>atribuții</w:t>
      </w:r>
      <w:r w:rsidRPr="002751FC">
        <w:rPr>
          <w:rFonts w:asciiTheme="majorHAnsi" w:hAnsiTheme="majorHAnsi" w:cstheme="majorHAnsi"/>
          <w:b/>
          <w:sz w:val="28"/>
          <w:szCs w:val="28"/>
          <w:lang w:val="ro-MD"/>
        </w:rPr>
        <w:t>:</w:t>
      </w:r>
    </w:p>
    <w:p w:rsidR="002B0C1F" w:rsidRPr="002751FC" w:rsidRDefault="002B0C1F" w:rsidP="00793F00">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1) supraveghează </w:t>
      </w:r>
      <w:r w:rsidR="0062235A" w:rsidRPr="002751FC">
        <w:rPr>
          <w:rFonts w:asciiTheme="majorHAnsi" w:eastAsia="Times New Roman" w:hAnsiTheme="majorHAnsi" w:cstheme="majorHAnsi"/>
          <w:sz w:val="28"/>
          <w:szCs w:val="28"/>
          <w:lang w:val="ro-MD"/>
        </w:rPr>
        <w:t>funcționarea</w:t>
      </w:r>
      <w:r w:rsidRPr="002751FC">
        <w:rPr>
          <w:rFonts w:asciiTheme="majorHAnsi" w:eastAsia="Times New Roman" w:hAnsiTheme="majorHAnsi" w:cstheme="majorHAnsi"/>
          <w:sz w:val="28"/>
          <w:szCs w:val="28"/>
          <w:lang w:val="ro-MD"/>
        </w:rPr>
        <w:t xml:space="preserve"> Oficiului;</w:t>
      </w:r>
    </w:p>
    <w:p w:rsidR="002B0C1F" w:rsidRPr="002751FC" w:rsidRDefault="002B0C1F" w:rsidP="00793F00">
      <w:pPr>
        <w:spacing w:after="0" w:line="240" w:lineRule="auto"/>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 xml:space="preserve">2) aprobă bugetul anual de cheltuieli al Fondului Viei şi Vinului, bugetul de cheltuieli cu privire la salarizarea personalului şi </w:t>
      </w:r>
      <w:r w:rsidR="0062235A" w:rsidRPr="002751FC">
        <w:rPr>
          <w:rFonts w:asciiTheme="majorHAnsi" w:eastAsia="Times New Roman" w:hAnsiTheme="majorHAnsi" w:cstheme="majorHAnsi"/>
          <w:sz w:val="28"/>
          <w:szCs w:val="28"/>
          <w:lang w:val="ro-MD"/>
        </w:rPr>
        <w:t>finanțarea</w:t>
      </w:r>
      <w:r w:rsidRPr="002751FC">
        <w:rPr>
          <w:rFonts w:asciiTheme="majorHAnsi" w:eastAsia="Times New Roman" w:hAnsiTheme="majorHAnsi" w:cstheme="majorHAnsi"/>
          <w:sz w:val="28"/>
          <w:szCs w:val="28"/>
          <w:lang w:val="ro-MD"/>
        </w:rPr>
        <w:t xml:space="preserve"> cheltuielilor curente ce </w:t>
      </w:r>
      <w:r w:rsidR="0062235A" w:rsidRPr="002751FC">
        <w:rPr>
          <w:rFonts w:asciiTheme="majorHAnsi" w:eastAsia="Times New Roman" w:hAnsiTheme="majorHAnsi" w:cstheme="majorHAnsi"/>
          <w:sz w:val="28"/>
          <w:szCs w:val="28"/>
          <w:lang w:val="ro-MD"/>
        </w:rPr>
        <w:t>țin</w:t>
      </w:r>
      <w:r w:rsidRPr="002751FC">
        <w:rPr>
          <w:rFonts w:asciiTheme="majorHAnsi" w:eastAsia="Times New Roman" w:hAnsiTheme="majorHAnsi" w:cstheme="majorHAnsi"/>
          <w:sz w:val="28"/>
          <w:szCs w:val="28"/>
          <w:lang w:val="ro-MD"/>
        </w:rPr>
        <w:t xml:space="preserve"> de activitatea statutară a Oficiului, darea de seamă de executare a bugetului anual de cheltuieli, planul anual de activitate şi dările de seamă ale Oficiului;</w:t>
      </w:r>
    </w:p>
    <w:p w:rsidR="00C50159" w:rsidRPr="002751FC" w:rsidRDefault="002B0C1F" w:rsidP="00AB0937">
      <w:pPr>
        <w:spacing w:after="0" w:line="240" w:lineRule="auto"/>
        <w:jc w:val="both"/>
        <w:rPr>
          <w:rFonts w:asciiTheme="majorHAnsi" w:eastAsia="Times New Roman" w:hAnsiTheme="majorHAnsi" w:cstheme="majorHAnsi"/>
          <w:sz w:val="24"/>
          <w:szCs w:val="24"/>
          <w:lang w:val="ro-MD"/>
        </w:rPr>
      </w:pPr>
      <w:r w:rsidRPr="002751FC">
        <w:rPr>
          <w:rFonts w:asciiTheme="majorHAnsi" w:eastAsia="Times New Roman" w:hAnsiTheme="majorHAnsi" w:cstheme="majorHAnsi"/>
          <w:sz w:val="28"/>
          <w:szCs w:val="28"/>
          <w:lang w:val="ro-MD"/>
        </w:rPr>
        <w:t>3) examinează şi propune spre aprobare Ministerului structura, efectivul-limită şi schema de încadrare ale Oficiului.</w:t>
      </w:r>
      <w:r w:rsidR="00C50159" w:rsidRPr="002751FC">
        <w:rPr>
          <w:rFonts w:asciiTheme="majorHAnsi" w:eastAsia="Times New Roman" w:hAnsiTheme="majorHAnsi" w:cstheme="majorHAnsi"/>
          <w:sz w:val="24"/>
          <w:szCs w:val="24"/>
          <w:lang w:val="ro-MD"/>
        </w:rPr>
        <w:br w:type="page"/>
      </w:r>
    </w:p>
    <w:p w:rsidR="002B0C1F" w:rsidRPr="002751FC" w:rsidRDefault="002B0C1F" w:rsidP="002B0C1F">
      <w:pPr>
        <w:pStyle w:val="1"/>
        <w:jc w:val="right"/>
        <w:rPr>
          <w:rFonts w:eastAsia="Times New Roman" w:cstheme="majorHAnsi"/>
          <w:b/>
          <w:color w:val="auto"/>
          <w:sz w:val="28"/>
          <w:szCs w:val="28"/>
          <w:lang w:val="ro-MD"/>
        </w:rPr>
      </w:pPr>
      <w:bookmarkStart w:id="87" w:name="_Toc23259135"/>
      <w:r w:rsidRPr="002751FC">
        <w:rPr>
          <w:rFonts w:eastAsia="Times New Roman" w:cstheme="majorHAnsi"/>
          <w:b/>
          <w:color w:val="auto"/>
          <w:sz w:val="28"/>
          <w:szCs w:val="28"/>
          <w:lang w:val="ro-MD"/>
        </w:rPr>
        <w:lastRenderedPageBreak/>
        <w:t>Anexa nr.5</w:t>
      </w:r>
      <w:bookmarkEnd w:id="87"/>
      <w:r w:rsidRPr="002751FC">
        <w:rPr>
          <w:rFonts w:eastAsia="Times New Roman" w:cstheme="majorHAnsi"/>
          <w:b/>
          <w:color w:val="auto"/>
          <w:sz w:val="28"/>
          <w:szCs w:val="28"/>
          <w:lang w:val="ro-MD"/>
        </w:rPr>
        <w:t xml:space="preserve"> </w:t>
      </w:r>
    </w:p>
    <w:p w:rsidR="002B0C1F" w:rsidRPr="002751FC" w:rsidRDefault="002B0C1F" w:rsidP="002B0C1F">
      <w:pPr>
        <w:spacing w:after="0" w:line="240" w:lineRule="auto"/>
        <w:jc w:val="both"/>
        <w:rPr>
          <w:rFonts w:asciiTheme="majorHAnsi" w:eastAsia="Times New Roman" w:hAnsiTheme="majorHAnsi" w:cstheme="majorHAnsi"/>
          <w:b/>
          <w:sz w:val="28"/>
          <w:szCs w:val="28"/>
          <w:lang w:val="ro-MD"/>
        </w:rPr>
      </w:pPr>
    </w:p>
    <w:p w:rsidR="002B0C1F" w:rsidRPr="002751FC" w:rsidRDefault="002B0C1F" w:rsidP="002B0C1F">
      <w:pPr>
        <w:pStyle w:val="1"/>
        <w:jc w:val="both"/>
        <w:rPr>
          <w:rFonts w:eastAsia="Times New Roman" w:cstheme="majorHAnsi"/>
          <w:b/>
          <w:color w:val="auto"/>
          <w:sz w:val="28"/>
          <w:szCs w:val="28"/>
          <w:lang w:val="ro-MD"/>
        </w:rPr>
      </w:pPr>
      <w:bookmarkStart w:id="88" w:name="_Toc23259136"/>
      <w:r w:rsidRPr="002751FC">
        <w:rPr>
          <w:rFonts w:eastAsia="Times New Roman" w:cstheme="majorHAnsi"/>
          <w:b/>
          <w:color w:val="auto"/>
          <w:sz w:val="28"/>
          <w:szCs w:val="28"/>
          <w:lang w:val="ro-MD"/>
        </w:rPr>
        <w:t>Drepturile ONVV</w:t>
      </w:r>
      <w:bookmarkEnd w:id="88"/>
    </w:p>
    <w:p w:rsidR="002B0C1F" w:rsidRPr="002751FC" w:rsidRDefault="002B0C1F" w:rsidP="002B0C1F">
      <w:pPr>
        <w:spacing w:after="0" w:line="240" w:lineRule="auto"/>
        <w:jc w:val="right"/>
        <w:rPr>
          <w:rFonts w:asciiTheme="majorHAnsi" w:eastAsia="Times New Roman" w:hAnsiTheme="majorHAnsi" w:cstheme="majorHAnsi"/>
          <w:b/>
          <w:sz w:val="24"/>
          <w:szCs w:val="24"/>
          <w:lang w:val="ro-MD"/>
        </w:rPr>
      </w:pPr>
    </w:p>
    <w:p w:rsidR="002B0C1F" w:rsidRPr="002751FC" w:rsidRDefault="002B0C1F" w:rsidP="002B0C1F">
      <w:pPr>
        <w:spacing w:after="0" w:line="240" w:lineRule="auto"/>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t>Oficiul este învestit cu următoarele drepturi:</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 xml:space="preserve">să aplice, în modul şi în limitele stabilite de </w:t>
      </w:r>
      <w:proofErr w:type="spellStart"/>
      <w:r w:rsidRPr="002751FC">
        <w:rPr>
          <w:rFonts w:asciiTheme="majorHAnsi" w:hAnsiTheme="majorHAnsi" w:cstheme="majorHAnsi"/>
          <w:szCs w:val="28"/>
          <w:lang w:val="ro-MD"/>
        </w:rPr>
        <w:t>legislaţia</w:t>
      </w:r>
      <w:proofErr w:type="spellEnd"/>
      <w:r w:rsidRPr="002751FC">
        <w:rPr>
          <w:rFonts w:asciiTheme="majorHAnsi" w:hAnsiTheme="majorHAnsi" w:cstheme="majorHAnsi"/>
          <w:szCs w:val="28"/>
          <w:lang w:val="ro-MD"/>
        </w:rPr>
        <w:t xml:space="preserve"> în vigoare, măsuri în vederea realizării planului de activitate al Oficiului; </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 xml:space="preserve">să </w:t>
      </w:r>
      <w:proofErr w:type="spellStart"/>
      <w:r w:rsidRPr="002751FC">
        <w:rPr>
          <w:rFonts w:asciiTheme="majorHAnsi" w:hAnsiTheme="majorHAnsi" w:cstheme="majorHAnsi"/>
          <w:szCs w:val="28"/>
          <w:lang w:val="ro-MD"/>
        </w:rPr>
        <w:t>iniţieze</w:t>
      </w:r>
      <w:proofErr w:type="spellEnd"/>
      <w:r w:rsidRPr="002751FC">
        <w:rPr>
          <w:rFonts w:asciiTheme="majorHAnsi" w:hAnsiTheme="majorHAnsi" w:cstheme="majorHAnsi"/>
          <w:szCs w:val="28"/>
          <w:lang w:val="ro-MD"/>
        </w:rPr>
        <w:t xml:space="preserve"> </w:t>
      </w:r>
      <w:proofErr w:type="spellStart"/>
      <w:r w:rsidRPr="002751FC">
        <w:rPr>
          <w:rFonts w:asciiTheme="majorHAnsi" w:hAnsiTheme="majorHAnsi" w:cstheme="majorHAnsi"/>
          <w:szCs w:val="28"/>
          <w:lang w:val="ro-MD"/>
        </w:rPr>
        <w:t>şi</w:t>
      </w:r>
      <w:proofErr w:type="spellEnd"/>
      <w:r w:rsidRPr="002751FC">
        <w:rPr>
          <w:rFonts w:asciiTheme="majorHAnsi" w:hAnsiTheme="majorHAnsi" w:cstheme="majorHAnsi"/>
          <w:szCs w:val="28"/>
          <w:lang w:val="ro-MD"/>
        </w:rPr>
        <w:t xml:space="preserve"> să sprijine </w:t>
      </w:r>
      <w:proofErr w:type="spellStart"/>
      <w:r w:rsidRPr="002751FC">
        <w:rPr>
          <w:rFonts w:asciiTheme="majorHAnsi" w:hAnsiTheme="majorHAnsi" w:cstheme="majorHAnsi"/>
          <w:szCs w:val="28"/>
          <w:lang w:val="ro-MD"/>
        </w:rPr>
        <w:t>acţiuni</w:t>
      </w:r>
      <w:proofErr w:type="spellEnd"/>
      <w:r w:rsidRPr="002751FC">
        <w:rPr>
          <w:rFonts w:asciiTheme="majorHAnsi" w:hAnsiTheme="majorHAnsi" w:cstheme="majorHAnsi"/>
          <w:szCs w:val="28"/>
          <w:lang w:val="ro-MD"/>
        </w:rPr>
        <w:t xml:space="preserve"> de promovare a produselor vitivinicole pe diferite </w:t>
      </w:r>
      <w:proofErr w:type="spellStart"/>
      <w:r w:rsidRPr="002751FC">
        <w:rPr>
          <w:rFonts w:asciiTheme="majorHAnsi" w:hAnsiTheme="majorHAnsi" w:cstheme="majorHAnsi"/>
          <w:szCs w:val="28"/>
          <w:lang w:val="ro-MD"/>
        </w:rPr>
        <w:t>pieţe</w:t>
      </w:r>
      <w:proofErr w:type="spellEnd"/>
      <w:r w:rsidRPr="002751FC">
        <w:rPr>
          <w:rFonts w:asciiTheme="majorHAnsi" w:hAnsiTheme="majorHAnsi" w:cstheme="majorHAnsi"/>
          <w:szCs w:val="28"/>
          <w:lang w:val="ro-MD"/>
        </w:rPr>
        <w:t>;</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 xml:space="preserve">să convoace consfătuiri cu participarea factorilor de decizie ai ministerelor, ai </w:t>
      </w:r>
      <w:proofErr w:type="spellStart"/>
      <w:r w:rsidRPr="002751FC">
        <w:rPr>
          <w:rFonts w:asciiTheme="majorHAnsi" w:hAnsiTheme="majorHAnsi" w:cstheme="majorHAnsi"/>
          <w:szCs w:val="28"/>
          <w:lang w:val="ro-MD"/>
        </w:rPr>
        <w:t>autorităţilor</w:t>
      </w:r>
      <w:proofErr w:type="spellEnd"/>
      <w:r w:rsidRPr="002751FC">
        <w:rPr>
          <w:rFonts w:asciiTheme="majorHAnsi" w:hAnsiTheme="majorHAnsi" w:cstheme="majorHAnsi"/>
          <w:szCs w:val="28"/>
          <w:lang w:val="ro-MD"/>
        </w:rPr>
        <w:t xml:space="preserve"> administrative centrale, ai instituţiilor ştiinţifice şi ai altor organe în problemele ce </w:t>
      </w:r>
      <w:proofErr w:type="spellStart"/>
      <w:r w:rsidRPr="002751FC">
        <w:rPr>
          <w:rFonts w:asciiTheme="majorHAnsi" w:hAnsiTheme="majorHAnsi" w:cstheme="majorHAnsi"/>
          <w:szCs w:val="28"/>
          <w:lang w:val="ro-MD"/>
        </w:rPr>
        <w:t>ţin</w:t>
      </w:r>
      <w:proofErr w:type="spellEnd"/>
      <w:r w:rsidRPr="002751FC">
        <w:rPr>
          <w:rFonts w:asciiTheme="majorHAnsi" w:hAnsiTheme="majorHAnsi" w:cstheme="majorHAnsi"/>
          <w:szCs w:val="28"/>
          <w:lang w:val="ro-MD"/>
        </w:rPr>
        <w:t xml:space="preserve"> de </w:t>
      </w:r>
      <w:proofErr w:type="spellStart"/>
      <w:r w:rsidRPr="002751FC">
        <w:rPr>
          <w:rFonts w:asciiTheme="majorHAnsi" w:hAnsiTheme="majorHAnsi" w:cstheme="majorHAnsi"/>
          <w:szCs w:val="28"/>
          <w:lang w:val="ro-MD"/>
        </w:rPr>
        <w:t>competenţa</w:t>
      </w:r>
      <w:proofErr w:type="spellEnd"/>
      <w:r w:rsidRPr="002751FC">
        <w:rPr>
          <w:rFonts w:asciiTheme="majorHAnsi" w:hAnsiTheme="majorHAnsi" w:cstheme="majorHAnsi"/>
          <w:szCs w:val="28"/>
          <w:lang w:val="ro-MD"/>
        </w:rPr>
        <w:t xml:space="preserve"> sa, precum </w:t>
      </w:r>
      <w:proofErr w:type="spellStart"/>
      <w:r w:rsidRPr="002751FC">
        <w:rPr>
          <w:rFonts w:asciiTheme="majorHAnsi" w:hAnsiTheme="majorHAnsi" w:cstheme="majorHAnsi"/>
          <w:szCs w:val="28"/>
          <w:lang w:val="ro-MD"/>
        </w:rPr>
        <w:t>şi</w:t>
      </w:r>
      <w:proofErr w:type="spellEnd"/>
      <w:r w:rsidRPr="002751FC">
        <w:rPr>
          <w:rFonts w:asciiTheme="majorHAnsi" w:hAnsiTheme="majorHAnsi" w:cstheme="majorHAnsi"/>
          <w:szCs w:val="28"/>
          <w:lang w:val="ro-MD"/>
        </w:rPr>
        <w:t xml:space="preserve"> să organizeze </w:t>
      </w:r>
      <w:proofErr w:type="spellStart"/>
      <w:r w:rsidRPr="002751FC">
        <w:rPr>
          <w:rFonts w:asciiTheme="majorHAnsi" w:hAnsiTheme="majorHAnsi" w:cstheme="majorHAnsi"/>
          <w:szCs w:val="28"/>
          <w:lang w:val="ro-MD"/>
        </w:rPr>
        <w:t>conferinţe</w:t>
      </w:r>
      <w:proofErr w:type="spellEnd"/>
      <w:r w:rsidRPr="002751FC">
        <w:rPr>
          <w:rFonts w:asciiTheme="majorHAnsi" w:hAnsiTheme="majorHAnsi" w:cstheme="majorHAnsi"/>
          <w:szCs w:val="28"/>
          <w:lang w:val="ro-MD"/>
        </w:rPr>
        <w:t>, congrese destinate analizei şi perspectivelor de dezvoltare a sectorului vitivinicol;</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 xml:space="preserve">să solicite de la ministere, </w:t>
      </w:r>
      <w:proofErr w:type="spellStart"/>
      <w:r w:rsidRPr="002751FC">
        <w:rPr>
          <w:rFonts w:asciiTheme="majorHAnsi" w:hAnsiTheme="majorHAnsi" w:cstheme="majorHAnsi"/>
          <w:szCs w:val="28"/>
          <w:lang w:val="ro-MD"/>
        </w:rPr>
        <w:t>autorităţi</w:t>
      </w:r>
      <w:proofErr w:type="spellEnd"/>
      <w:r w:rsidRPr="002751FC">
        <w:rPr>
          <w:rFonts w:asciiTheme="majorHAnsi" w:hAnsiTheme="majorHAnsi" w:cstheme="majorHAnsi"/>
          <w:szCs w:val="28"/>
          <w:lang w:val="ro-MD"/>
        </w:rPr>
        <w:t xml:space="preserve"> publice centrale </w:t>
      </w:r>
      <w:proofErr w:type="spellStart"/>
      <w:r w:rsidRPr="002751FC">
        <w:rPr>
          <w:rFonts w:asciiTheme="majorHAnsi" w:hAnsiTheme="majorHAnsi" w:cstheme="majorHAnsi"/>
          <w:szCs w:val="28"/>
          <w:lang w:val="ro-MD"/>
        </w:rPr>
        <w:t>şi</w:t>
      </w:r>
      <w:proofErr w:type="spellEnd"/>
      <w:r w:rsidRPr="002751FC">
        <w:rPr>
          <w:rFonts w:asciiTheme="majorHAnsi" w:hAnsiTheme="majorHAnsi" w:cstheme="majorHAnsi"/>
          <w:szCs w:val="28"/>
          <w:lang w:val="ro-MD"/>
        </w:rPr>
        <w:t xml:space="preserve"> locale, </w:t>
      </w:r>
      <w:proofErr w:type="spellStart"/>
      <w:r w:rsidRPr="002751FC">
        <w:rPr>
          <w:rFonts w:asciiTheme="majorHAnsi" w:hAnsiTheme="majorHAnsi" w:cstheme="majorHAnsi"/>
          <w:szCs w:val="28"/>
          <w:lang w:val="ro-MD"/>
        </w:rPr>
        <w:t>unităţi</w:t>
      </w:r>
      <w:proofErr w:type="spellEnd"/>
      <w:r w:rsidRPr="002751FC">
        <w:rPr>
          <w:rFonts w:asciiTheme="majorHAnsi" w:hAnsiTheme="majorHAnsi" w:cstheme="majorHAnsi"/>
          <w:szCs w:val="28"/>
          <w:lang w:val="ro-MD"/>
        </w:rPr>
        <w:t xml:space="preserve"> vitivinicole, </w:t>
      </w:r>
      <w:proofErr w:type="spellStart"/>
      <w:r w:rsidRPr="002751FC">
        <w:rPr>
          <w:rFonts w:asciiTheme="majorHAnsi" w:hAnsiTheme="majorHAnsi" w:cstheme="majorHAnsi"/>
          <w:szCs w:val="28"/>
          <w:lang w:val="ro-MD"/>
        </w:rPr>
        <w:t>organizaţii</w:t>
      </w:r>
      <w:proofErr w:type="spellEnd"/>
      <w:r w:rsidRPr="002751FC">
        <w:rPr>
          <w:rFonts w:asciiTheme="majorHAnsi" w:hAnsiTheme="majorHAnsi" w:cstheme="majorHAnsi"/>
          <w:szCs w:val="28"/>
          <w:lang w:val="ro-MD"/>
        </w:rPr>
        <w:t xml:space="preserve"> </w:t>
      </w:r>
      <w:proofErr w:type="spellStart"/>
      <w:r w:rsidRPr="002751FC">
        <w:rPr>
          <w:rFonts w:asciiTheme="majorHAnsi" w:hAnsiTheme="majorHAnsi" w:cstheme="majorHAnsi"/>
          <w:szCs w:val="28"/>
          <w:lang w:val="ro-MD"/>
        </w:rPr>
        <w:t>şi</w:t>
      </w:r>
      <w:proofErr w:type="spellEnd"/>
      <w:r w:rsidRPr="002751FC">
        <w:rPr>
          <w:rFonts w:asciiTheme="majorHAnsi" w:hAnsiTheme="majorHAnsi" w:cstheme="majorHAnsi"/>
          <w:szCs w:val="28"/>
          <w:lang w:val="ro-MD"/>
        </w:rPr>
        <w:t xml:space="preserve"> </w:t>
      </w:r>
      <w:proofErr w:type="spellStart"/>
      <w:r w:rsidRPr="002751FC">
        <w:rPr>
          <w:rFonts w:asciiTheme="majorHAnsi" w:hAnsiTheme="majorHAnsi" w:cstheme="majorHAnsi"/>
          <w:szCs w:val="28"/>
          <w:lang w:val="ro-MD"/>
        </w:rPr>
        <w:t>instituţii</w:t>
      </w:r>
      <w:proofErr w:type="spellEnd"/>
      <w:r w:rsidRPr="002751FC">
        <w:rPr>
          <w:rFonts w:asciiTheme="majorHAnsi" w:hAnsiTheme="majorHAnsi" w:cstheme="majorHAnsi"/>
          <w:szCs w:val="28"/>
          <w:lang w:val="ro-MD"/>
        </w:rPr>
        <w:t xml:space="preserve"> </w:t>
      </w:r>
      <w:proofErr w:type="spellStart"/>
      <w:r w:rsidRPr="002751FC">
        <w:rPr>
          <w:rFonts w:asciiTheme="majorHAnsi" w:hAnsiTheme="majorHAnsi" w:cstheme="majorHAnsi"/>
          <w:szCs w:val="28"/>
          <w:lang w:val="ro-MD"/>
        </w:rPr>
        <w:t>informaţia</w:t>
      </w:r>
      <w:proofErr w:type="spellEnd"/>
      <w:r w:rsidRPr="002751FC">
        <w:rPr>
          <w:rFonts w:asciiTheme="majorHAnsi" w:hAnsiTheme="majorHAnsi" w:cstheme="majorHAnsi"/>
          <w:szCs w:val="28"/>
          <w:lang w:val="ro-MD"/>
        </w:rPr>
        <w:t xml:space="preserve"> necesară pentru realizarea </w:t>
      </w:r>
      <w:proofErr w:type="spellStart"/>
      <w:r w:rsidRPr="002751FC">
        <w:rPr>
          <w:rFonts w:asciiTheme="majorHAnsi" w:hAnsiTheme="majorHAnsi" w:cstheme="majorHAnsi"/>
          <w:szCs w:val="28"/>
          <w:lang w:val="ro-MD"/>
        </w:rPr>
        <w:t>atribuţiilor</w:t>
      </w:r>
      <w:proofErr w:type="spellEnd"/>
      <w:r w:rsidRPr="002751FC">
        <w:rPr>
          <w:rFonts w:asciiTheme="majorHAnsi" w:hAnsiTheme="majorHAnsi" w:cstheme="majorHAnsi"/>
          <w:szCs w:val="28"/>
          <w:lang w:val="ro-MD"/>
        </w:rPr>
        <w:t xml:space="preserve"> sale; </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să beneficieze de bazele de date oficiale, în limitele competenţelor sale;</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să utilizeze sursele Fondului Viei şi Vinului în strictă conformitate cu bugetul anual de cheltuieli şi planul anual de activitate al Oficiului, aprobate de Consiliul de coordonare;</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 xml:space="preserve">să creeze, în caz de necesitate, </w:t>
      </w:r>
      <w:proofErr w:type="spellStart"/>
      <w:r w:rsidRPr="002751FC">
        <w:rPr>
          <w:rFonts w:asciiTheme="majorHAnsi" w:hAnsiTheme="majorHAnsi" w:cstheme="majorHAnsi"/>
          <w:szCs w:val="28"/>
          <w:lang w:val="ro-MD"/>
        </w:rPr>
        <w:t>expoziţii</w:t>
      </w:r>
      <w:proofErr w:type="spellEnd"/>
      <w:r w:rsidRPr="002751FC">
        <w:rPr>
          <w:rFonts w:asciiTheme="majorHAnsi" w:hAnsiTheme="majorHAnsi" w:cstheme="majorHAnsi"/>
          <w:szCs w:val="28"/>
          <w:lang w:val="ro-MD"/>
        </w:rPr>
        <w:t xml:space="preserve"> permanente în </w:t>
      </w:r>
      <w:proofErr w:type="spellStart"/>
      <w:r w:rsidRPr="002751FC">
        <w:rPr>
          <w:rFonts w:asciiTheme="majorHAnsi" w:hAnsiTheme="majorHAnsi" w:cstheme="majorHAnsi"/>
          <w:szCs w:val="28"/>
          <w:lang w:val="ro-MD"/>
        </w:rPr>
        <w:t>ţările</w:t>
      </w:r>
      <w:proofErr w:type="spellEnd"/>
      <w:r w:rsidRPr="002751FC">
        <w:rPr>
          <w:rFonts w:asciiTheme="majorHAnsi" w:hAnsiTheme="majorHAnsi" w:cstheme="majorHAnsi"/>
          <w:szCs w:val="28"/>
          <w:lang w:val="ro-MD"/>
        </w:rPr>
        <w:t xml:space="preserve"> ce prezintă interes deosebit ca </w:t>
      </w:r>
      <w:proofErr w:type="spellStart"/>
      <w:r w:rsidRPr="002751FC">
        <w:rPr>
          <w:rFonts w:asciiTheme="majorHAnsi" w:hAnsiTheme="majorHAnsi" w:cstheme="majorHAnsi"/>
          <w:szCs w:val="28"/>
          <w:lang w:val="ro-MD"/>
        </w:rPr>
        <w:t>piaţă</w:t>
      </w:r>
      <w:proofErr w:type="spellEnd"/>
      <w:r w:rsidRPr="002751FC">
        <w:rPr>
          <w:rFonts w:asciiTheme="majorHAnsi" w:hAnsiTheme="majorHAnsi" w:cstheme="majorHAnsi"/>
          <w:szCs w:val="28"/>
          <w:lang w:val="ro-MD"/>
        </w:rPr>
        <w:t xml:space="preserve"> de desfacere a produselor vitivinicole, în conformitate cu structura şi efectivul-limită ale Oficiului aprobate de Minister;</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 xml:space="preserve">să </w:t>
      </w:r>
      <w:proofErr w:type="spellStart"/>
      <w:r w:rsidRPr="002751FC">
        <w:rPr>
          <w:rFonts w:asciiTheme="majorHAnsi" w:hAnsiTheme="majorHAnsi" w:cstheme="majorHAnsi"/>
          <w:szCs w:val="28"/>
          <w:lang w:val="ro-MD"/>
        </w:rPr>
        <w:t>iniţieze</w:t>
      </w:r>
      <w:proofErr w:type="spellEnd"/>
      <w:r w:rsidRPr="002751FC">
        <w:rPr>
          <w:rFonts w:asciiTheme="majorHAnsi" w:hAnsiTheme="majorHAnsi" w:cstheme="majorHAnsi"/>
          <w:szCs w:val="28"/>
          <w:lang w:val="ro-MD"/>
        </w:rPr>
        <w:t xml:space="preserve"> </w:t>
      </w:r>
      <w:proofErr w:type="spellStart"/>
      <w:r w:rsidRPr="002751FC">
        <w:rPr>
          <w:rFonts w:asciiTheme="majorHAnsi" w:hAnsiTheme="majorHAnsi" w:cstheme="majorHAnsi"/>
          <w:szCs w:val="28"/>
          <w:lang w:val="ro-MD"/>
        </w:rPr>
        <w:t>şi</w:t>
      </w:r>
      <w:proofErr w:type="spellEnd"/>
      <w:r w:rsidRPr="002751FC">
        <w:rPr>
          <w:rFonts w:asciiTheme="majorHAnsi" w:hAnsiTheme="majorHAnsi" w:cstheme="majorHAnsi"/>
          <w:szCs w:val="28"/>
          <w:lang w:val="ro-MD"/>
        </w:rPr>
        <w:t xml:space="preserve"> să sprijine efectuarea sondajelor, a dezbaterilor, a analizelor, a studiilor ce </w:t>
      </w:r>
      <w:proofErr w:type="spellStart"/>
      <w:r w:rsidRPr="002751FC">
        <w:rPr>
          <w:rFonts w:asciiTheme="majorHAnsi" w:hAnsiTheme="majorHAnsi" w:cstheme="majorHAnsi"/>
          <w:szCs w:val="28"/>
          <w:lang w:val="ro-MD"/>
        </w:rPr>
        <w:t>ţin</w:t>
      </w:r>
      <w:proofErr w:type="spellEnd"/>
      <w:r w:rsidRPr="002751FC">
        <w:rPr>
          <w:rFonts w:asciiTheme="majorHAnsi" w:hAnsiTheme="majorHAnsi" w:cstheme="majorHAnsi"/>
          <w:szCs w:val="28"/>
          <w:lang w:val="ro-MD"/>
        </w:rPr>
        <w:t xml:space="preserve"> de mediul de afaceri din sectorul vitivinicol, cererea </w:t>
      </w:r>
      <w:proofErr w:type="spellStart"/>
      <w:r w:rsidRPr="002751FC">
        <w:rPr>
          <w:rFonts w:asciiTheme="majorHAnsi" w:hAnsiTheme="majorHAnsi" w:cstheme="majorHAnsi"/>
          <w:szCs w:val="28"/>
          <w:lang w:val="ro-MD"/>
        </w:rPr>
        <w:t>şi</w:t>
      </w:r>
      <w:proofErr w:type="spellEnd"/>
      <w:r w:rsidRPr="002751FC">
        <w:rPr>
          <w:rFonts w:asciiTheme="majorHAnsi" w:hAnsiTheme="majorHAnsi" w:cstheme="majorHAnsi"/>
          <w:szCs w:val="28"/>
          <w:lang w:val="ro-MD"/>
        </w:rPr>
        <w:t xml:space="preserve"> oferta pe </w:t>
      </w:r>
      <w:proofErr w:type="spellStart"/>
      <w:r w:rsidRPr="002751FC">
        <w:rPr>
          <w:rFonts w:asciiTheme="majorHAnsi" w:hAnsiTheme="majorHAnsi" w:cstheme="majorHAnsi"/>
          <w:szCs w:val="28"/>
          <w:lang w:val="ro-MD"/>
        </w:rPr>
        <w:t>pieţele</w:t>
      </w:r>
      <w:proofErr w:type="spellEnd"/>
      <w:r w:rsidRPr="002751FC">
        <w:rPr>
          <w:rFonts w:asciiTheme="majorHAnsi" w:hAnsiTheme="majorHAnsi" w:cstheme="majorHAnsi"/>
          <w:szCs w:val="28"/>
          <w:lang w:val="ro-MD"/>
        </w:rPr>
        <w:t xml:space="preserve"> internă </w:t>
      </w:r>
      <w:proofErr w:type="spellStart"/>
      <w:r w:rsidRPr="002751FC">
        <w:rPr>
          <w:rFonts w:asciiTheme="majorHAnsi" w:hAnsiTheme="majorHAnsi" w:cstheme="majorHAnsi"/>
          <w:szCs w:val="28"/>
          <w:lang w:val="ro-MD"/>
        </w:rPr>
        <w:t>şi</w:t>
      </w:r>
      <w:proofErr w:type="spellEnd"/>
      <w:r w:rsidRPr="002751FC">
        <w:rPr>
          <w:rFonts w:asciiTheme="majorHAnsi" w:hAnsiTheme="majorHAnsi" w:cstheme="majorHAnsi"/>
          <w:szCs w:val="28"/>
          <w:lang w:val="ro-MD"/>
        </w:rPr>
        <w:t xml:space="preserve"> externă, </w:t>
      </w:r>
      <w:proofErr w:type="spellStart"/>
      <w:r w:rsidRPr="002751FC">
        <w:rPr>
          <w:rFonts w:asciiTheme="majorHAnsi" w:hAnsiTheme="majorHAnsi" w:cstheme="majorHAnsi"/>
          <w:szCs w:val="28"/>
          <w:lang w:val="ro-MD"/>
        </w:rPr>
        <w:t>direcţiile</w:t>
      </w:r>
      <w:proofErr w:type="spellEnd"/>
      <w:r w:rsidRPr="002751FC">
        <w:rPr>
          <w:rFonts w:asciiTheme="majorHAnsi" w:hAnsiTheme="majorHAnsi" w:cstheme="majorHAnsi"/>
          <w:szCs w:val="28"/>
          <w:lang w:val="ro-MD"/>
        </w:rPr>
        <w:t xml:space="preserve"> principale ale cercetărilor ştiinţifico-practice în corespundere cu </w:t>
      </w:r>
      <w:proofErr w:type="spellStart"/>
      <w:r w:rsidRPr="002751FC">
        <w:rPr>
          <w:rFonts w:asciiTheme="majorHAnsi" w:hAnsiTheme="majorHAnsi" w:cstheme="majorHAnsi"/>
          <w:szCs w:val="28"/>
          <w:lang w:val="ro-MD"/>
        </w:rPr>
        <w:t>necesităţile</w:t>
      </w:r>
      <w:proofErr w:type="spellEnd"/>
      <w:r w:rsidRPr="002751FC">
        <w:rPr>
          <w:rFonts w:asciiTheme="majorHAnsi" w:hAnsiTheme="majorHAnsi" w:cstheme="majorHAnsi"/>
          <w:szCs w:val="28"/>
          <w:lang w:val="ro-MD"/>
        </w:rPr>
        <w:t xml:space="preserve"> </w:t>
      </w:r>
      <w:proofErr w:type="spellStart"/>
      <w:r w:rsidRPr="002751FC">
        <w:rPr>
          <w:rFonts w:asciiTheme="majorHAnsi" w:hAnsiTheme="majorHAnsi" w:cstheme="majorHAnsi"/>
          <w:szCs w:val="28"/>
          <w:lang w:val="ro-MD"/>
        </w:rPr>
        <w:t>şi</w:t>
      </w:r>
      <w:proofErr w:type="spellEnd"/>
      <w:r w:rsidRPr="002751FC">
        <w:rPr>
          <w:rFonts w:asciiTheme="majorHAnsi" w:hAnsiTheme="majorHAnsi" w:cstheme="majorHAnsi"/>
          <w:szCs w:val="28"/>
          <w:lang w:val="ro-MD"/>
        </w:rPr>
        <w:t xml:space="preserve"> </w:t>
      </w:r>
      <w:proofErr w:type="spellStart"/>
      <w:r w:rsidRPr="002751FC">
        <w:rPr>
          <w:rFonts w:asciiTheme="majorHAnsi" w:hAnsiTheme="majorHAnsi" w:cstheme="majorHAnsi"/>
          <w:szCs w:val="28"/>
          <w:lang w:val="ro-MD"/>
        </w:rPr>
        <w:t>priorităţile</w:t>
      </w:r>
      <w:proofErr w:type="spellEnd"/>
      <w:r w:rsidRPr="002751FC">
        <w:rPr>
          <w:rFonts w:asciiTheme="majorHAnsi" w:hAnsiTheme="majorHAnsi" w:cstheme="majorHAnsi"/>
          <w:szCs w:val="28"/>
          <w:lang w:val="ro-MD"/>
        </w:rPr>
        <w:t xml:space="preserve"> curente ale sectorului vitivinicol, pregătirea cadrelor calificate, ce pot contribui la dezvoltarea sectorului;</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 xml:space="preserve">să </w:t>
      </w:r>
      <w:proofErr w:type="spellStart"/>
      <w:r w:rsidRPr="002751FC">
        <w:rPr>
          <w:rFonts w:asciiTheme="majorHAnsi" w:hAnsiTheme="majorHAnsi" w:cstheme="majorHAnsi"/>
          <w:szCs w:val="28"/>
          <w:lang w:val="ro-MD"/>
        </w:rPr>
        <w:t>contracteze</w:t>
      </w:r>
      <w:proofErr w:type="spellEnd"/>
      <w:r w:rsidRPr="002751FC">
        <w:rPr>
          <w:rFonts w:asciiTheme="majorHAnsi" w:hAnsiTheme="majorHAnsi" w:cstheme="majorHAnsi"/>
          <w:szCs w:val="28"/>
          <w:lang w:val="ro-MD"/>
        </w:rPr>
        <w:t xml:space="preserve">, în caz de necesitate, </w:t>
      </w:r>
      <w:proofErr w:type="spellStart"/>
      <w:r w:rsidRPr="002751FC">
        <w:rPr>
          <w:rFonts w:asciiTheme="majorHAnsi" w:hAnsiTheme="majorHAnsi" w:cstheme="majorHAnsi"/>
          <w:szCs w:val="28"/>
          <w:lang w:val="ro-MD"/>
        </w:rPr>
        <w:t>consultanţi</w:t>
      </w:r>
      <w:proofErr w:type="spellEnd"/>
      <w:r w:rsidRPr="002751FC">
        <w:rPr>
          <w:rFonts w:asciiTheme="majorHAnsi" w:hAnsiTheme="majorHAnsi" w:cstheme="majorHAnsi"/>
          <w:szCs w:val="28"/>
          <w:lang w:val="ro-MD"/>
        </w:rPr>
        <w:t xml:space="preserve"> </w:t>
      </w:r>
      <w:proofErr w:type="spellStart"/>
      <w:r w:rsidRPr="002751FC">
        <w:rPr>
          <w:rFonts w:asciiTheme="majorHAnsi" w:hAnsiTheme="majorHAnsi" w:cstheme="majorHAnsi"/>
          <w:szCs w:val="28"/>
          <w:lang w:val="ro-MD"/>
        </w:rPr>
        <w:t>şi</w:t>
      </w:r>
      <w:proofErr w:type="spellEnd"/>
      <w:r w:rsidRPr="002751FC">
        <w:rPr>
          <w:rFonts w:asciiTheme="majorHAnsi" w:hAnsiTheme="majorHAnsi" w:cstheme="majorHAnsi"/>
          <w:szCs w:val="28"/>
          <w:lang w:val="ro-MD"/>
        </w:rPr>
        <w:t xml:space="preserve"> </w:t>
      </w:r>
      <w:proofErr w:type="spellStart"/>
      <w:r w:rsidRPr="002751FC">
        <w:rPr>
          <w:rFonts w:asciiTheme="majorHAnsi" w:hAnsiTheme="majorHAnsi" w:cstheme="majorHAnsi"/>
          <w:szCs w:val="28"/>
          <w:lang w:val="ro-MD"/>
        </w:rPr>
        <w:t>experţi</w:t>
      </w:r>
      <w:proofErr w:type="spellEnd"/>
      <w:r w:rsidRPr="002751FC">
        <w:rPr>
          <w:rFonts w:asciiTheme="majorHAnsi" w:hAnsiTheme="majorHAnsi" w:cstheme="majorHAnsi"/>
          <w:szCs w:val="28"/>
          <w:lang w:val="ro-MD"/>
        </w:rPr>
        <w:t xml:space="preserve">, inclusiv străini, în vederea </w:t>
      </w:r>
      <w:proofErr w:type="spellStart"/>
      <w:r w:rsidRPr="002751FC">
        <w:rPr>
          <w:rFonts w:asciiTheme="majorHAnsi" w:hAnsiTheme="majorHAnsi" w:cstheme="majorHAnsi"/>
          <w:szCs w:val="28"/>
          <w:lang w:val="ro-MD"/>
        </w:rPr>
        <w:t>ţinerii</w:t>
      </w:r>
      <w:proofErr w:type="spellEnd"/>
      <w:r w:rsidRPr="002751FC">
        <w:rPr>
          <w:rFonts w:asciiTheme="majorHAnsi" w:hAnsiTheme="majorHAnsi" w:cstheme="majorHAnsi"/>
          <w:szCs w:val="28"/>
          <w:lang w:val="ro-MD"/>
        </w:rPr>
        <w:t xml:space="preserve"> seminarelor, </w:t>
      </w:r>
      <w:proofErr w:type="spellStart"/>
      <w:r w:rsidRPr="002751FC">
        <w:rPr>
          <w:rFonts w:asciiTheme="majorHAnsi" w:hAnsiTheme="majorHAnsi" w:cstheme="majorHAnsi"/>
          <w:szCs w:val="28"/>
          <w:lang w:val="ro-MD"/>
        </w:rPr>
        <w:t>desfăşurării</w:t>
      </w:r>
      <w:proofErr w:type="spellEnd"/>
      <w:r w:rsidRPr="002751FC">
        <w:rPr>
          <w:rFonts w:asciiTheme="majorHAnsi" w:hAnsiTheme="majorHAnsi" w:cstheme="majorHAnsi"/>
          <w:szCs w:val="28"/>
          <w:lang w:val="ro-MD"/>
        </w:rPr>
        <w:t xml:space="preserve"> atelierelor de lucru, acordării serviciilor de interes comun; </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 xml:space="preserve">să elaboreze recomandări/ghiduri </w:t>
      </w:r>
      <w:proofErr w:type="spellStart"/>
      <w:r w:rsidRPr="002751FC">
        <w:rPr>
          <w:rFonts w:asciiTheme="majorHAnsi" w:hAnsiTheme="majorHAnsi" w:cstheme="majorHAnsi"/>
          <w:szCs w:val="28"/>
          <w:lang w:val="ro-MD"/>
        </w:rPr>
        <w:t>şi</w:t>
      </w:r>
      <w:proofErr w:type="spellEnd"/>
      <w:r w:rsidRPr="002751FC">
        <w:rPr>
          <w:rFonts w:asciiTheme="majorHAnsi" w:hAnsiTheme="majorHAnsi" w:cstheme="majorHAnsi"/>
          <w:szCs w:val="28"/>
          <w:lang w:val="ro-MD"/>
        </w:rPr>
        <w:t xml:space="preserve"> să acorde </w:t>
      </w:r>
      <w:proofErr w:type="spellStart"/>
      <w:r w:rsidRPr="002751FC">
        <w:rPr>
          <w:rFonts w:asciiTheme="majorHAnsi" w:hAnsiTheme="majorHAnsi" w:cstheme="majorHAnsi"/>
          <w:szCs w:val="28"/>
          <w:lang w:val="ro-MD"/>
        </w:rPr>
        <w:t>consultaţii</w:t>
      </w:r>
      <w:proofErr w:type="spellEnd"/>
      <w:r w:rsidRPr="002751FC">
        <w:rPr>
          <w:rFonts w:asciiTheme="majorHAnsi" w:hAnsiTheme="majorHAnsi" w:cstheme="majorHAnsi"/>
          <w:szCs w:val="28"/>
          <w:lang w:val="ro-MD"/>
        </w:rPr>
        <w:t xml:space="preserve">, în limitele </w:t>
      </w:r>
      <w:proofErr w:type="spellStart"/>
      <w:r w:rsidRPr="002751FC">
        <w:rPr>
          <w:rFonts w:asciiTheme="majorHAnsi" w:hAnsiTheme="majorHAnsi" w:cstheme="majorHAnsi"/>
          <w:szCs w:val="28"/>
          <w:lang w:val="ro-MD"/>
        </w:rPr>
        <w:t>competenţei</w:t>
      </w:r>
      <w:proofErr w:type="spellEnd"/>
      <w:r w:rsidRPr="002751FC">
        <w:rPr>
          <w:rFonts w:asciiTheme="majorHAnsi" w:hAnsiTheme="majorHAnsi" w:cstheme="majorHAnsi"/>
          <w:szCs w:val="28"/>
          <w:lang w:val="ro-MD"/>
        </w:rPr>
        <w:t xml:space="preserve"> sale, </w:t>
      </w:r>
      <w:proofErr w:type="spellStart"/>
      <w:r w:rsidRPr="002751FC">
        <w:rPr>
          <w:rFonts w:asciiTheme="majorHAnsi" w:hAnsiTheme="majorHAnsi" w:cstheme="majorHAnsi"/>
          <w:szCs w:val="28"/>
          <w:lang w:val="ro-MD"/>
        </w:rPr>
        <w:t>agenţilor</w:t>
      </w:r>
      <w:proofErr w:type="spellEnd"/>
      <w:r w:rsidRPr="002751FC">
        <w:rPr>
          <w:rFonts w:asciiTheme="majorHAnsi" w:hAnsiTheme="majorHAnsi" w:cstheme="majorHAnsi"/>
          <w:szCs w:val="28"/>
          <w:lang w:val="ro-MD"/>
        </w:rPr>
        <w:t xml:space="preserve"> economici din sector privind practicile agrotehnice de cultivare a </w:t>
      </w:r>
      <w:proofErr w:type="spellStart"/>
      <w:r w:rsidRPr="002751FC">
        <w:rPr>
          <w:rFonts w:asciiTheme="majorHAnsi" w:hAnsiTheme="majorHAnsi" w:cstheme="majorHAnsi"/>
          <w:szCs w:val="28"/>
          <w:lang w:val="ro-MD"/>
        </w:rPr>
        <w:t>viţei</w:t>
      </w:r>
      <w:proofErr w:type="spellEnd"/>
      <w:r w:rsidRPr="002751FC">
        <w:rPr>
          <w:rFonts w:asciiTheme="majorHAnsi" w:hAnsiTheme="majorHAnsi" w:cstheme="majorHAnsi"/>
          <w:szCs w:val="28"/>
          <w:lang w:val="ro-MD"/>
        </w:rPr>
        <w:t xml:space="preserve">-de-vie, procedeele oenologice </w:t>
      </w:r>
      <w:proofErr w:type="spellStart"/>
      <w:r w:rsidRPr="002751FC">
        <w:rPr>
          <w:rFonts w:asciiTheme="majorHAnsi" w:hAnsiTheme="majorHAnsi" w:cstheme="majorHAnsi"/>
          <w:szCs w:val="28"/>
          <w:lang w:val="ro-MD"/>
        </w:rPr>
        <w:t>şi</w:t>
      </w:r>
      <w:proofErr w:type="spellEnd"/>
      <w:r w:rsidRPr="002751FC">
        <w:rPr>
          <w:rFonts w:asciiTheme="majorHAnsi" w:hAnsiTheme="majorHAnsi" w:cstheme="majorHAnsi"/>
          <w:szCs w:val="28"/>
          <w:lang w:val="ro-MD"/>
        </w:rPr>
        <w:t xml:space="preserve"> metodele de promovare a produselor vitivinicole;</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lastRenderedPageBreak/>
        <w:t xml:space="preserve">să încheie contracte sau acorduri cu alte organisme şi cu operatori economici din </w:t>
      </w:r>
      <w:proofErr w:type="spellStart"/>
      <w:r w:rsidRPr="002751FC">
        <w:rPr>
          <w:rFonts w:asciiTheme="majorHAnsi" w:hAnsiTheme="majorHAnsi" w:cstheme="majorHAnsi"/>
          <w:szCs w:val="28"/>
          <w:lang w:val="ro-MD"/>
        </w:rPr>
        <w:t>ţară</w:t>
      </w:r>
      <w:proofErr w:type="spellEnd"/>
      <w:r w:rsidRPr="002751FC">
        <w:rPr>
          <w:rFonts w:asciiTheme="majorHAnsi" w:hAnsiTheme="majorHAnsi" w:cstheme="majorHAnsi"/>
          <w:szCs w:val="28"/>
          <w:lang w:val="ro-MD"/>
        </w:rPr>
        <w:t xml:space="preserve"> </w:t>
      </w:r>
      <w:proofErr w:type="spellStart"/>
      <w:r w:rsidRPr="002751FC">
        <w:rPr>
          <w:rFonts w:asciiTheme="majorHAnsi" w:hAnsiTheme="majorHAnsi" w:cstheme="majorHAnsi"/>
          <w:szCs w:val="28"/>
          <w:lang w:val="ro-MD"/>
        </w:rPr>
        <w:t>şi</w:t>
      </w:r>
      <w:proofErr w:type="spellEnd"/>
      <w:r w:rsidRPr="002751FC">
        <w:rPr>
          <w:rFonts w:asciiTheme="majorHAnsi" w:hAnsiTheme="majorHAnsi" w:cstheme="majorHAnsi"/>
          <w:szCs w:val="28"/>
          <w:lang w:val="ro-MD"/>
        </w:rPr>
        <w:t xml:space="preserve"> din străinătate în vederea cooperării pe plan </w:t>
      </w:r>
      <w:proofErr w:type="spellStart"/>
      <w:r w:rsidRPr="002751FC">
        <w:rPr>
          <w:rFonts w:asciiTheme="majorHAnsi" w:hAnsiTheme="majorHAnsi" w:cstheme="majorHAnsi"/>
          <w:szCs w:val="28"/>
          <w:lang w:val="ro-MD"/>
        </w:rPr>
        <w:t>naţional</w:t>
      </w:r>
      <w:proofErr w:type="spellEnd"/>
      <w:r w:rsidRPr="002751FC">
        <w:rPr>
          <w:rFonts w:asciiTheme="majorHAnsi" w:hAnsiTheme="majorHAnsi" w:cstheme="majorHAnsi"/>
          <w:szCs w:val="28"/>
          <w:lang w:val="ro-MD"/>
        </w:rPr>
        <w:t xml:space="preserve"> sau </w:t>
      </w:r>
      <w:proofErr w:type="spellStart"/>
      <w:r w:rsidRPr="002751FC">
        <w:rPr>
          <w:rFonts w:asciiTheme="majorHAnsi" w:hAnsiTheme="majorHAnsi" w:cstheme="majorHAnsi"/>
          <w:szCs w:val="28"/>
          <w:lang w:val="ro-MD"/>
        </w:rPr>
        <w:t>internaţional</w:t>
      </w:r>
      <w:proofErr w:type="spellEnd"/>
      <w:r w:rsidRPr="002751FC">
        <w:rPr>
          <w:rFonts w:asciiTheme="majorHAnsi" w:hAnsiTheme="majorHAnsi" w:cstheme="majorHAnsi"/>
          <w:szCs w:val="28"/>
          <w:lang w:val="ro-MD"/>
        </w:rPr>
        <w:t xml:space="preserve"> în domeniul său de activitate, în </w:t>
      </w:r>
      <w:proofErr w:type="spellStart"/>
      <w:r w:rsidRPr="002751FC">
        <w:rPr>
          <w:rFonts w:asciiTheme="majorHAnsi" w:hAnsiTheme="majorHAnsi" w:cstheme="majorHAnsi"/>
          <w:szCs w:val="28"/>
          <w:lang w:val="ro-MD"/>
        </w:rPr>
        <w:t>condiţiile</w:t>
      </w:r>
      <w:proofErr w:type="spellEnd"/>
      <w:r w:rsidRPr="002751FC">
        <w:rPr>
          <w:rFonts w:asciiTheme="majorHAnsi" w:hAnsiTheme="majorHAnsi" w:cstheme="majorHAnsi"/>
          <w:szCs w:val="28"/>
          <w:lang w:val="ro-MD"/>
        </w:rPr>
        <w:t xml:space="preserve"> legii;</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să instituie, în caz de necesitate, birouri teritoriale, fără personalitate juridică, cu aprobarea Consiliului de coordonare şi în conformitate cu structura şi efectivul-limită ale Oficiului aprobate de Minister;</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 xml:space="preserve">să reprezinte Republica Moldova în organismele </w:t>
      </w:r>
      <w:proofErr w:type="spellStart"/>
      <w:r w:rsidRPr="002751FC">
        <w:rPr>
          <w:rFonts w:asciiTheme="majorHAnsi" w:hAnsiTheme="majorHAnsi" w:cstheme="majorHAnsi"/>
          <w:szCs w:val="28"/>
          <w:lang w:val="ro-MD"/>
        </w:rPr>
        <w:t>internaţionale</w:t>
      </w:r>
      <w:proofErr w:type="spellEnd"/>
      <w:r w:rsidRPr="002751FC">
        <w:rPr>
          <w:rFonts w:asciiTheme="majorHAnsi" w:hAnsiTheme="majorHAnsi" w:cstheme="majorHAnsi"/>
          <w:szCs w:val="28"/>
          <w:lang w:val="ro-MD"/>
        </w:rPr>
        <w:t xml:space="preserve"> ce </w:t>
      </w:r>
      <w:proofErr w:type="spellStart"/>
      <w:r w:rsidRPr="002751FC">
        <w:rPr>
          <w:rFonts w:asciiTheme="majorHAnsi" w:hAnsiTheme="majorHAnsi" w:cstheme="majorHAnsi"/>
          <w:szCs w:val="28"/>
          <w:lang w:val="ro-MD"/>
        </w:rPr>
        <w:t>ţin</w:t>
      </w:r>
      <w:proofErr w:type="spellEnd"/>
      <w:r w:rsidRPr="002751FC">
        <w:rPr>
          <w:rFonts w:asciiTheme="majorHAnsi" w:hAnsiTheme="majorHAnsi" w:cstheme="majorHAnsi"/>
          <w:szCs w:val="28"/>
          <w:lang w:val="ro-MD"/>
        </w:rPr>
        <w:t xml:space="preserve"> de sectorul vitivinicol, în conformitate cu </w:t>
      </w:r>
      <w:proofErr w:type="spellStart"/>
      <w:r w:rsidRPr="002751FC">
        <w:rPr>
          <w:rFonts w:asciiTheme="majorHAnsi" w:hAnsiTheme="majorHAnsi" w:cstheme="majorHAnsi"/>
          <w:szCs w:val="28"/>
          <w:lang w:val="ro-MD"/>
        </w:rPr>
        <w:t>competenţele</w:t>
      </w:r>
      <w:proofErr w:type="spellEnd"/>
      <w:r w:rsidRPr="002751FC">
        <w:rPr>
          <w:rFonts w:asciiTheme="majorHAnsi" w:hAnsiTheme="majorHAnsi" w:cstheme="majorHAnsi"/>
          <w:szCs w:val="28"/>
          <w:lang w:val="ro-MD"/>
        </w:rPr>
        <w:t xml:space="preserve"> delegate de către Minister;</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 xml:space="preserve">să coordoneze şi să implementeze programe </w:t>
      </w:r>
      <w:proofErr w:type="spellStart"/>
      <w:r w:rsidRPr="002751FC">
        <w:rPr>
          <w:rFonts w:asciiTheme="majorHAnsi" w:hAnsiTheme="majorHAnsi" w:cstheme="majorHAnsi"/>
          <w:szCs w:val="28"/>
          <w:lang w:val="ro-MD"/>
        </w:rPr>
        <w:t>investiţionale</w:t>
      </w:r>
      <w:proofErr w:type="spellEnd"/>
      <w:r w:rsidRPr="002751FC">
        <w:rPr>
          <w:rFonts w:asciiTheme="majorHAnsi" w:hAnsiTheme="majorHAnsi" w:cstheme="majorHAnsi"/>
          <w:szCs w:val="28"/>
          <w:lang w:val="ro-MD"/>
        </w:rPr>
        <w:t xml:space="preserve"> în sector;</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 xml:space="preserve">să </w:t>
      </w:r>
      <w:proofErr w:type="spellStart"/>
      <w:r w:rsidRPr="002751FC">
        <w:rPr>
          <w:rFonts w:asciiTheme="majorHAnsi" w:hAnsiTheme="majorHAnsi" w:cstheme="majorHAnsi"/>
          <w:szCs w:val="28"/>
          <w:lang w:val="ro-MD"/>
        </w:rPr>
        <w:t>deţină</w:t>
      </w:r>
      <w:proofErr w:type="spellEnd"/>
      <w:r w:rsidRPr="002751FC">
        <w:rPr>
          <w:rFonts w:asciiTheme="majorHAnsi" w:hAnsiTheme="majorHAnsi" w:cstheme="majorHAnsi"/>
          <w:szCs w:val="28"/>
          <w:lang w:val="ro-MD"/>
        </w:rPr>
        <w:t xml:space="preserve"> </w:t>
      </w:r>
      <w:proofErr w:type="spellStart"/>
      <w:r w:rsidRPr="002751FC">
        <w:rPr>
          <w:rFonts w:asciiTheme="majorHAnsi" w:hAnsiTheme="majorHAnsi" w:cstheme="majorHAnsi"/>
          <w:szCs w:val="28"/>
          <w:lang w:val="ro-MD"/>
        </w:rPr>
        <w:t>şi</w:t>
      </w:r>
      <w:proofErr w:type="spellEnd"/>
      <w:r w:rsidRPr="002751FC">
        <w:rPr>
          <w:rFonts w:asciiTheme="majorHAnsi" w:hAnsiTheme="majorHAnsi" w:cstheme="majorHAnsi"/>
          <w:szCs w:val="28"/>
          <w:lang w:val="ro-MD"/>
        </w:rPr>
        <w:t xml:space="preserve"> să administreze un web-site oficial;</w:t>
      </w:r>
    </w:p>
    <w:p w:rsidR="002B0C1F" w:rsidRPr="002751FC" w:rsidRDefault="002B0C1F" w:rsidP="002B0C1F">
      <w:pPr>
        <w:pStyle w:val="ac"/>
        <w:numPr>
          <w:ilvl w:val="0"/>
          <w:numId w:val="6"/>
        </w:numPr>
        <w:tabs>
          <w:tab w:val="left" w:pos="426"/>
        </w:tabs>
        <w:ind w:left="0" w:firstLine="284"/>
        <w:rPr>
          <w:rFonts w:asciiTheme="majorHAnsi" w:hAnsiTheme="majorHAnsi" w:cstheme="majorHAnsi"/>
          <w:szCs w:val="28"/>
          <w:lang w:val="ro-MD"/>
        </w:rPr>
      </w:pPr>
      <w:r w:rsidRPr="002751FC">
        <w:rPr>
          <w:rFonts w:asciiTheme="majorHAnsi" w:hAnsiTheme="majorHAnsi" w:cstheme="majorHAnsi"/>
          <w:szCs w:val="28"/>
          <w:lang w:val="ro-MD"/>
        </w:rPr>
        <w:t xml:space="preserve">să dispună de alte drepturi necesare pentru exercitarea </w:t>
      </w:r>
      <w:proofErr w:type="spellStart"/>
      <w:r w:rsidRPr="002751FC">
        <w:rPr>
          <w:rFonts w:asciiTheme="majorHAnsi" w:hAnsiTheme="majorHAnsi" w:cstheme="majorHAnsi"/>
          <w:szCs w:val="28"/>
          <w:lang w:val="ro-MD"/>
        </w:rPr>
        <w:t>funcţiilor</w:t>
      </w:r>
      <w:proofErr w:type="spellEnd"/>
      <w:r w:rsidRPr="002751FC">
        <w:rPr>
          <w:rFonts w:asciiTheme="majorHAnsi" w:hAnsiTheme="majorHAnsi" w:cstheme="majorHAnsi"/>
          <w:szCs w:val="28"/>
          <w:lang w:val="ro-MD"/>
        </w:rPr>
        <w:t xml:space="preserve"> atribuite în </w:t>
      </w:r>
      <w:proofErr w:type="spellStart"/>
      <w:r w:rsidRPr="002751FC">
        <w:rPr>
          <w:rFonts w:asciiTheme="majorHAnsi" w:hAnsiTheme="majorHAnsi" w:cstheme="majorHAnsi"/>
          <w:szCs w:val="28"/>
          <w:lang w:val="ro-MD"/>
        </w:rPr>
        <w:t>competenţa</w:t>
      </w:r>
      <w:proofErr w:type="spellEnd"/>
      <w:r w:rsidRPr="002751FC">
        <w:rPr>
          <w:rFonts w:asciiTheme="majorHAnsi" w:hAnsiTheme="majorHAnsi" w:cstheme="majorHAnsi"/>
          <w:szCs w:val="28"/>
          <w:lang w:val="ro-MD"/>
        </w:rPr>
        <w:t xml:space="preserve"> sa, în conformitate cu </w:t>
      </w:r>
      <w:proofErr w:type="spellStart"/>
      <w:r w:rsidRPr="002751FC">
        <w:rPr>
          <w:rFonts w:asciiTheme="majorHAnsi" w:hAnsiTheme="majorHAnsi" w:cstheme="majorHAnsi"/>
          <w:szCs w:val="28"/>
          <w:lang w:val="ro-MD"/>
        </w:rPr>
        <w:t>legislaţia</w:t>
      </w:r>
      <w:proofErr w:type="spellEnd"/>
      <w:r w:rsidRPr="002751FC">
        <w:rPr>
          <w:rFonts w:asciiTheme="majorHAnsi" w:hAnsiTheme="majorHAnsi" w:cstheme="majorHAnsi"/>
          <w:szCs w:val="28"/>
          <w:lang w:val="ro-MD"/>
        </w:rPr>
        <w:t xml:space="preserve"> în vigoare.</w:t>
      </w:r>
    </w:p>
    <w:p w:rsidR="002B0C1F" w:rsidRPr="002751FC" w:rsidRDefault="002B0C1F" w:rsidP="002B0C1F">
      <w:pPr>
        <w:rPr>
          <w:rFonts w:asciiTheme="majorHAnsi" w:eastAsia="Times New Roman" w:hAnsiTheme="majorHAnsi" w:cstheme="majorHAnsi"/>
          <w:b/>
          <w:sz w:val="28"/>
          <w:szCs w:val="24"/>
          <w:lang w:val="ro-MD" w:eastAsia="ro-RO"/>
        </w:rPr>
      </w:pPr>
      <w:r w:rsidRPr="002751FC">
        <w:rPr>
          <w:rFonts w:asciiTheme="majorHAnsi" w:hAnsiTheme="majorHAnsi" w:cstheme="majorHAnsi"/>
          <w:b/>
          <w:lang w:val="ro-MD"/>
        </w:rPr>
        <w:br w:type="page"/>
      </w:r>
    </w:p>
    <w:p w:rsidR="002B0C1F" w:rsidRPr="002751FC" w:rsidRDefault="002B0C1F" w:rsidP="002B0C1F">
      <w:pPr>
        <w:pStyle w:val="ac"/>
        <w:tabs>
          <w:tab w:val="left" w:pos="426"/>
        </w:tabs>
        <w:ind w:left="284"/>
        <w:jc w:val="right"/>
        <w:outlineLvl w:val="0"/>
        <w:rPr>
          <w:rFonts w:asciiTheme="majorHAnsi" w:hAnsiTheme="majorHAnsi" w:cstheme="majorHAnsi"/>
          <w:b/>
          <w:lang w:val="ro-MD"/>
        </w:rPr>
      </w:pPr>
      <w:bookmarkStart w:id="89" w:name="_Toc23259137"/>
      <w:r w:rsidRPr="002751FC">
        <w:rPr>
          <w:rFonts w:asciiTheme="majorHAnsi" w:hAnsiTheme="majorHAnsi" w:cstheme="majorHAnsi"/>
          <w:b/>
          <w:lang w:val="ro-MD"/>
        </w:rPr>
        <w:lastRenderedPageBreak/>
        <w:t>Anexa nr.6</w:t>
      </w:r>
      <w:bookmarkEnd w:id="89"/>
    </w:p>
    <w:p w:rsidR="002B0C1F" w:rsidRPr="002751FC" w:rsidRDefault="002B0C1F" w:rsidP="002B0C1F">
      <w:pPr>
        <w:pStyle w:val="ac"/>
        <w:tabs>
          <w:tab w:val="left" w:pos="426"/>
        </w:tabs>
        <w:ind w:left="284"/>
        <w:jc w:val="right"/>
        <w:outlineLvl w:val="0"/>
        <w:rPr>
          <w:rFonts w:asciiTheme="majorHAnsi" w:hAnsiTheme="majorHAnsi" w:cstheme="majorHAnsi"/>
          <w:b/>
          <w:lang w:val="ro-MD"/>
        </w:rPr>
      </w:pPr>
    </w:p>
    <w:p w:rsidR="002B0C1F" w:rsidRPr="002751FC" w:rsidRDefault="00C56046" w:rsidP="00E03C05">
      <w:pPr>
        <w:pStyle w:val="ac"/>
        <w:tabs>
          <w:tab w:val="left" w:pos="426"/>
        </w:tabs>
        <w:ind w:left="0"/>
        <w:jc w:val="center"/>
        <w:outlineLvl w:val="0"/>
        <w:rPr>
          <w:rFonts w:asciiTheme="majorHAnsi" w:hAnsiTheme="majorHAnsi" w:cstheme="majorHAnsi"/>
          <w:b/>
          <w:lang w:val="ro-MD"/>
        </w:rPr>
      </w:pPr>
      <w:bookmarkStart w:id="90" w:name="_Toc23259138"/>
      <w:r w:rsidRPr="002751FC">
        <w:rPr>
          <w:rFonts w:asciiTheme="majorHAnsi" w:hAnsiTheme="majorHAnsi" w:cstheme="majorHAnsi"/>
          <w:b/>
          <w:lang w:val="ro-MD"/>
        </w:rPr>
        <w:t>Informația</w:t>
      </w:r>
      <w:r w:rsidR="002B0C1F" w:rsidRPr="002751FC">
        <w:rPr>
          <w:rFonts w:asciiTheme="majorHAnsi" w:hAnsiTheme="majorHAnsi" w:cstheme="majorHAnsi"/>
          <w:b/>
          <w:lang w:val="ro-MD"/>
        </w:rPr>
        <w:t xml:space="preserve"> privind cheltuielile suportate de ONVV sub formă de su</w:t>
      </w:r>
      <w:r w:rsidR="00CD2A1E" w:rsidRPr="002751FC">
        <w:rPr>
          <w:rFonts w:asciiTheme="majorHAnsi" w:hAnsiTheme="majorHAnsi" w:cstheme="majorHAnsi"/>
          <w:b/>
          <w:lang w:val="ro-MD"/>
        </w:rPr>
        <w:t>port financiar</w:t>
      </w:r>
      <w:r w:rsidR="00173968" w:rsidRPr="002751FC">
        <w:rPr>
          <w:rFonts w:asciiTheme="majorHAnsi" w:hAnsiTheme="majorHAnsi" w:cstheme="majorHAnsi"/>
          <w:b/>
          <w:lang w:val="ro-MD"/>
        </w:rPr>
        <w:t xml:space="preserve"> acordat instituţiilor de învăţământ şi de cercetare din domeniul viticulturii</w:t>
      </w:r>
      <w:bookmarkEnd w:id="90"/>
    </w:p>
    <w:p w:rsidR="002B0C1F" w:rsidRPr="002751FC" w:rsidRDefault="002B0C1F" w:rsidP="002B0C1F">
      <w:pPr>
        <w:pStyle w:val="ac"/>
        <w:tabs>
          <w:tab w:val="left" w:pos="426"/>
        </w:tabs>
        <w:ind w:left="284"/>
        <w:jc w:val="right"/>
        <w:rPr>
          <w:rFonts w:asciiTheme="majorHAnsi" w:hAnsiTheme="majorHAnsi" w:cstheme="majorHAnsi"/>
          <w:b/>
          <w:lang w:val="ro-MD"/>
        </w:rPr>
      </w:pPr>
    </w:p>
    <w:tbl>
      <w:tblPr>
        <w:tblStyle w:val="ae"/>
        <w:tblW w:w="11026" w:type="dxa"/>
        <w:tblInd w:w="-856" w:type="dxa"/>
        <w:tblLayout w:type="fixed"/>
        <w:tblLook w:val="04A0" w:firstRow="1" w:lastRow="0" w:firstColumn="1" w:lastColumn="0" w:noHBand="0" w:noVBand="1"/>
      </w:tblPr>
      <w:tblGrid>
        <w:gridCol w:w="770"/>
        <w:gridCol w:w="5749"/>
        <w:gridCol w:w="1506"/>
        <w:gridCol w:w="1657"/>
        <w:gridCol w:w="1344"/>
      </w:tblGrid>
      <w:tr w:rsidR="002B0C1F" w:rsidRPr="002751FC" w:rsidTr="000D3357">
        <w:trPr>
          <w:trHeight w:val="762"/>
        </w:trPr>
        <w:tc>
          <w:tcPr>
            <w:tcW w:w="770" w:type="dxa"/>
            <w:shd w:val="clear" w:color="auto" w:fill="DEEAF6" w:themeFill="accent1" w:themeFillTint="33"/>
            <w:vAlign w:val="center"/>
          </w:tcPr>
          <w:p w:rsidR="002B0C1F" w:rsidRPr="002751FC" w:rsidRDefault="002B0C1F" w:rsidP="00CD2A1E">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Nr. d/o</w:t>
            </w:r>
          </w:p>
        </w:tc>
        <w:tc>
          <w:tcPr>
            <w:tcW w:w="5749" w:type="dxa"/>
            <w:shd w:val="clear" w:color="auto" w:fill="DEEAF6" w:themeFill="accent1" w:themeFillTint="33"/>
            <w:vAlign w:val="center"/>
          </w:tcPr>
          <w:p w:rsidR="002B0C1F" w:rsidRPr="002751FC" w:rsidRDefault="002B0C1F" w:rsidP="00CD2A1E">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Obiectul achiziției</w:t>
            </w:r>
          </w:p>
        </w:tc>
        <w:tc>
          <w:tcPr>
            <w:tcW w:w="1506" w:type="dxa"/>
            <w:shd w:val="clear" w:color="auto" w:fill="DEEAF6" w:themeFill="accent1" w:themeFillTint="33"/>
            <w:vAlign w:val="center"/>
          </w:tcPr>
          <w:p w:rsidR="002B0C1F" w:rsidRPr="002751FC" w:rsidRDefault="002B0C1F" w:rsidP="00CD2A1E">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Cod CPV</w:t>
            </w:r>
          </w:p>
        </w:tc>
        <w:tc>
          <w:tcPr>
            <w:tcW w:w="1657" w:type="dxa"/>
            <w:shd w:val="clear" w:color="auto" w:fill="DEEAF6" w:themeFill="accent1" w:themeFillTint="33"/>
            <w:vAlign w:val="center"/>
          </w:tcPr>
          <w:p w:rsidR="002B0C1F" w:rsidRPr="002751FC" w:rsidRDefault="00F47DEE" w:rsidP="00CD2A1E">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Numărul şi d</w:t>
            </w:r>
            <w:r w:rsidR="002B0C1F" w:rsidRPr="002751FC">
              <w:rPr>
                <w:rFonts w:asciiTheme="majorHAnsi" w:hAnsiTheme="majorHAnsi" w:cstheme="majorHAnsi"/>
                <w:b/>
                <w:sz w:val="20"/>
                <w:szCs w:val="20"/>
                <w:lang w:val="ro-MD"/>
              </w:rPr>
              <w:t>ata încheierii contractului</w:t>
            </w:r>
          </w:p>
        </w:tc>
        <w:tc>
          <w:tcPr>
            <w:tcW w:w="1344" w:type="dxa"/>
            <w:shd w:val="clear" w:color="auto" w:fill="DEEAF6" w:themeFill="accent1" w:themeFillTint="33"/>
            <w:vAlign w:val="center"/>
          </w:tcPr>
          <w:p w:rsidR="002B0C1F" w:rsidRPr="002751FC" w:rsidRDefault="002B0C1F" w:rsidP="00CD2A1E">
            <w:pPr>
              <w:jc w:val="center"/>
              <w:rPr>
                <w:rFonts w:asciiTheme="majorHAnsi" w:hAnsiTheme="majorHAnsi" w:cstheme="majorHAnsi"/>
                <w:b/>
                <w:sz w:val="20"/>
                <w:szCs w:val="20"/>
                <w:lang w:val="ro-MD"/>
              </w:rPr>
            </w:pPr>
            <w:r w:rsidRPr="002751FC">
              <w:rPr>
                <w:rFonts w:asciiTheme="majorHAnsi" w:hAnsiTheme="majorHAnsi" w:cstheme="majorHAnsi"/>
                <w:b/>
                <w:sz w:val="20"/>
                <w:szCs w:val="20"/>
                <w:lang w:val="ro-MD"/>
              </w:rPr>
              <w:t xml:space="preserve">Suma, </w:t>
            </w:r>
            <w:r w:rsidR="00C745F3" w:rsidRPr="002751FC">
              <w:rPr>
                <w:rFonts w:asciiTheme="majorHAnsi" w:hAnsiTheme="majorHAnsi" w:cstheme="majorHAnsi"/>
                <w:b/>
                <w:sz w:val="20"/>
                <w:szCs w:val="20"/>
                <w:lang w:val="ro-MD"/>
              </w:rPr>
              <w:t>mii MDL</w:t>
            </w:r>
          </w:p>
        </w:tc>
      </w:tr>
      <w:tr w:rsidR="002B0C1F" w:rsidRPr="002751FC" w:rsidTr="000D3357">
        <w:trPr>
          <w:trHeight w:val="261"/>
        </w:trPr>
        <w:tc>
          <w:tcPr>
            <w:tcW w:w="770" w:type="dxa"/>
          </w:tcPr>
          <w:p w:rsidR="002B0C1F" w:rsidRPr="002751FC" w:rsidRDefault="00C56046" w:rsidP="00CD2A1E">
            <w:pPr>
              <w:jc w:val="center"/>
              <w:rPr>
                <w:rFonts w:asciiTheme="majorHAnsi" w:hAnsiTheme="majorHAnsi" w:cstheme="majorHAnsi"/>
                <w:sz w:val="20"/>
                <w:szCs w:val="20"/>
                <w:lang w:val="ro-MD"/>
              </w:rPr>
            </w:pPr>
            <w:r w:rsidRPr="002751FC">
              <w:rPr>
                <w:rFonts w:asciiTheme="majorHAnsi" w:hAnsiTheme="majorHAnsi" w:cstheme="majorHAnsi"/>
                <w:sz w:val="20"/>
                <w:szCs w:val="20"/>
                <w:lang w:val="ro-MD"/>
              </w:rPr>
              <w:t>1</w:t>
            </w:r>
          </w:p>
        </w:tc>
        <w:tc>
          <w:tcPr>
            <w:tcW w:w="5749" w:type="dxa"/>
          </w:tcPr>
          <w:p w:rsidR="002B0C1F" w:rsidRPr="002751FC" w:rsidRDefault="009A65B2" w:rsidP="00CD2A1E">
            <w:pPr>
              <w:jc w:val="both"/>
              <w:rPr>
                <w:rFonts w:asciiTheme="majorHAnsi" w:hAnsiTheme="majorHAnsi" w:cstheme="majorHAnsi"/>
                <w:sz w:val="20"/>
                <w:szCs w:val="20"/>
                <w:lang w:val="ro-MD"/>
              </w:rPr>
            </w:pPr>
            <w:r w:rsidRPr="002751FC">
              <w:rPr>
                <w:rFonts w:asciiTheme="majorHAnsi" w:hAnsiTheme="majorHAnsi" w:cstheme="majorHAnsi"/>
                <w:sz w:val="20"/>
                <w:szCs w:val="20"/>
                <w:lang w:val="ro-MD"/>
              </w:rPr>
              <w:t>Achiziționarea dopuri naturale</w:t>
            </w:r>
          </w:p>
        </w:tc>
        <w:tc>
          <w:tcPr>
            <w:tcW w:w="1506" w:type="dxa"/>
          </w:tcPr>
          <w:p w:rsidR="002B0C1F" w:rsidRPr="002751FC" w:rsidRDefault="009A65B2" w:rsidP="00CD2A1E">
            <w:pPr>
              <w:jc w:val="center"/>
              <w:rPr>
                <w:rFonts w:asciiTheme="majorHAnsi" w:hAnsiTheme="majorHAnsi" w:cstheme="majorHAnsi"/>
                <w:sz w:val="20"/>
                <w:szCs w:val="20"/>
                <w:lang w:val="ro-MD"/>
              </w:rPr>
            </w:pPr>
            <w:r w:rsidRPr="002751FC">
              <w:rPr>
                <w:rFonts w:asciiTheme="majorHAnsi" w:hAnsiTheme="majorHAnsi" w:cstheme="majorHAnsi"/>
                <w:sz w:val="20"/>
                <w:szCs w:val="20"/>
                <w:lang w:val="ro-MD"/>
              </w:rPr>
              <w:t>44618320-4</w:t>
            </w:r>
          </w:p>
        </w:tc>
        <w:tc>
          <w:tcPr>
            <w:tcW w:w="1657" w:type="dxa"/>
          </w:tcPr>
          <w:p w:rsidR="002B0C1F" w:rsidRPr="002751FC" w:rsidRDefault="009A65B2" w:rsidP="00CD2A1E">
            <w:pPr>
              <w:rPr>
                <w:rFonts w:asciiTheme="majorHAnsi" w:hAnsiTheme="majorHAnsi" w:cstheme="majorHAnsi"/>
                <w:sz w:val="20"/>
                <w:szCs w:val="20"/>
                <w:lang w:val="ro-MD"/>
              </w:rPr>
            </w:pPr>
            <w:r w:rsidRPr="002751FC">
              <w:rPr>
                <w:rFonts w:asciiTheme="majorHAnsi" w:eastAsia="Times New Roman" w:hAnsiTheme="majorHAnsi" w:cstheme="majorHAnsi"/>
                <w:sz w:val="20"/>
                <w:szCs w:val="20"/>
                <w:lang w:val="ro-MD" w:eastAsia="ro-RO"/>
              </w:rPr>
              <w:t>04/MV din 01.02.2018</w:t>
            </w:r>
          </w:p>
        </w:tc>
        <w:tc>
          <w:tcPr>
            <w:tcW w:w="1344" w:type="dxa"/>
          </w:tcPr>
          <w:p w:rsidR="002B0C1F" w:rsidRPr="002751FC" w:rsidRDefault="002B0C1F" w:rsidP="00CD2A1E">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3</w:t>
            </w:r>
            <w:r w:rsidR="009A65B2" w:rsidRPr="002751FC">
              <w:rPr>
                <w:rFonts w:asciiTheme="majorHAnsi" w:hAnsiTheme="majorHAnsi" w:cstheme="majorHAnsi"/>
                <w:sz w:val="20"/>
                <w:szCs w:val="20"/>
                <w:lang w:val="ro-MD"/>
              </w:rPr>
              <w:t>3</w:t>
            </w:r>
            <w:r w:rsidR="00C745F3" w:rsidRPr="002751FC">
              <w:rPr>
                <w:rFonts w:asciiTheme="majorHAnsi" w:hAnsiTheme="majorHAnsi" w:cstheme="majorHAnsi"/>
                <w:sz w:val="20"/>
                <w:szCs w:val="20"/>
                <w:lang w:val="ro-MD"/>
              </w:rPr>
              <w:t>,</w:t>
            </w:r>
            <w:r w:rsidR="009A65B2" w:rsidRPr="002751FC">
              <w:rPr>
                <w:rFonts w:asciiTheme="majorHAnsi" w:hAnsiTheme="majorHAnsi" w:cstheme="majorHAnsi"/>
                <w:sz w:val="20"/>
                <w:szCs w:val="20"/>
                <w:lang w:val="ro-MD"/>
              </w:rPr>
              <w:t>0</w:t>
            </w:r>
            <w:r w:rsidRPr="002751FC">
              <w:rPr>
                <w:rFonts w:asciiTheme="majorHAnsi" w:hAnsiTheme="majorHAnsi" w:cstheme="majorHAnsi"/>
                <w:sz w:val="20"/>
                <w:szCs w:val="20"/>
                <w:lang w:val="ro-MD"/>
              </w:rPr>
              <w:t xml:space="preserve"> </w:t>
            </w:r>
          </w:p>
        </w:tc>
      </w:tr>
      <w:tr w:rsidR="002B0C1F" w:rsidRPr="002751FC" w:rsidTr="000D3357">
        <w:trPr>
          <w:trHeight w:val="269"/>
        </w:trPr>
        <w:tc>
          <w:tcPr>
            <w:tcW w:w="770" w:type="dxa"/>
          </w:tcPr>
          <w:p w:rsidR="002B0C1F" w:rsidRPr="002751FC" w:rsidRDefault="00C56046"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2</w:t>
            </w:r>
          </w:p>
        </w:tc>
        <w:tc>
          <w:tcPr>
            <w:tcW w:w="5749" w:type="dxa"/>
            <w:vAlign w:val="center"/>
          </w:tcPr>
          <w:p w:rsidR="002B0C1F" w:rsidRPr="002751FC" w:rsidRDefault="006D1513" w:rsidP="00CD2A1E">
            <w:pPr>
              <w:jc w:val="both"/>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Achiziționarea</w:t>
            </w:r>
            <w:r w:rsidR="002B0C1F" w:rsidRPr="002751FC">
              <w:rPr>
                <w:rFonts w:asciiTheme="majorHAnsi" w:eastAsia="Times New Roman" w:hAnsiTheme="majorHAnsi" w:cstheme="majorHAnsi"/>
                <w:sz w:val="20"/>
                <w:szCs w:val="20"/>
                <w:lang w:val="ro-MD" w:eastAsia="ro-RO"/>
              </w:rPr>
              <w:t xml:space="preserve"> cositoare </w:t>
            </w:r>
            <w:r w:rsidR="00111F13" w:rsidRPr="002751FC">
              <w:rPr>
                <w:rFonts w:asciiTheme="majorHAnsi" w:eastAsia="Times New Roman" w:hAnsiTheme="majorHAnsi" w:cstheme="majorHAnsi"/>
                <w:sz w:val="20"/>
                <w:szCs w:val="20"/>
                <w:lang w:val="ro-MD" w:eastAsia="ro-RO"/>
              </w:rPr>
              <w:t>î</w:t>
            </w:r>
            <w:r w:rsidR="002B0C1F" w:rsidRPr="002751FC">
              <w:rPr>
                <w:rFonts w:asciiTheme="majorHAnsi" w:eastAsia="Times New Roman" w:hAnsiTheme="majorHAnsi" w:cstheme="majorHAnsi"/>
                <w:sz w:val="20"/>
                <w:szCs w:val="20"/>
                <w:lang w:val="ro-MD" w:eastAsia="ro-RO"/>
              </w:rPr>
              <w:t xml:space="preserve">n sectorul viticol </w:t>
            </w:r>
            <w:r w:rsidR="003612FA" w:rsidRPr="002751FC">
              <w:rPr>
                <w:rFonts w:asciiTheme="majorHAnsi" w:eastAsia="Times New Roman" w:hAnsiTheme="majorHAnsi" w:cstheme="majorHAnsi"/>
                <w:sz w:val="20"/>
                <w:szCs w:val="20"/>
                <w:lang w:val="ro-MD" w:eastAsia="ro-RO"/>
              </w:rPr>
              <w:t>pentru</w:t>
            </w:r>
            <w:r w:rsidR="002B0C1F" w:rsidRPr="002751FC">
              <w:rPr>
                <w:rFonts w:asciiTheme="majorHAnsi" w:eastAsia="Times New Roman" w:hAnsiTheme="majorHAnsi" w:cstheme="majorHAnsi"/>
                <w:sz w:val="20"/>
                <w:szCs w:val="20"/>
                <w:lang w:val="ro-MD" w:eastAsia="ro-RO"/>
              </w:rPr>
              <w:t xml:space="preserve"> lotul demonstrativ experimental Leova-LD</w:t>
            </w:r>
          </w:p>
        </w:tc>
        <w:tc>
          <w:tcPr>
            <w:tcW w:w="1506" w:type="dxa"/>
            <w:vAlign w:val="center"/>
          </w:tcPr>
          <w:p w:rsidR="002B0C1F" w:rsidRPr="002751FC" w:rsidRDefault="002B0C1F"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16310000-1</w:t>
            </w:r>
          </w:p>
        </w:tc>
        <w:tc>
          <w:tcPr>
            <w:tcW w:w="1657" w:type="dxa"/>
          </w:tcPr>
          <w:p w:rsidR="002B0C1F" w:rsidRPr="002751FC" w:rsidRDefault="002B0C1F" w:rsidP="00CD2A1E">
            <w:pPr>
              <w:rPr>
                <w:rFonts w:asciiTheme="majorHAnsi" w:hAnsiTheme="majorHAnsi" w:cstheme="majorHAnsi"/>
                <w:sz w:val="20"/>
                <w:szCs w:val="20"/>
                <w:lang w:val="ro-MD"/>
              </w:rPr>
            </w:pPr>
            <w:r w:rsidRPr="002751FC">
              <w:rPr>
                <w:rFonts w:asciiTheme="majorHAnsi" w:hAnsiTheme="majorHAnsi" w:cstheme="majorHAnsi"/>
                <w:sz w:val="20"/>
                <w:szCs w:val="20"/>
                <w:lang w:val="ro-MD"/>
              </w:rPr>
              <w:t>102/MV din 18.06.2018</w:t>
            </w:r>
          </w:p>
        </w:tc>
        <w:tc>
          <w:tcPr>
            <w:tcW w:w="1344" w:type="dxa"/>
          </w:tcPr>
          <w:p w:rsidR="002B0C1F" w:rsidRPr="002751FC" w:rsidRDefault="002B0C1F" w:rsidP="00CD2A1E">
            <w:pPr>
              <w:jc w:val="right"/>
              <w:rPr>
                <w:rFonts w:asciiTheme="majorHAnsi" w:hAnsiTheme="majorHAnsi" w:cstheme="majorHAnsi"/>
                <w:sz w:val="20"/>
                <w:szCs w:val="20"/>
                <w:lang w:val="ro-MD"/>
              </w:rPr>
            </w:pPr>
            <w:r w:rsidRPr="002751FC">
              <w:rPr>
                <w:rFonts w:asciiTheme="majorHAnsi" w:hAnsiTheme="majorHAnsi" w:cstheme="majorHAnsi"/>
                <w:sz w:val="20"/>
                <w:szCs w:val="20"/>
                <w:lang w:val="ro-MD"/>
              </w:rPr>
              <w:t>76</w:t>
            </w:r>
            <w:r w:rsidR="00C745F3" w:rsidRPr="002751FC">
              <w:rPr>
                <w:rFonts w:asciiTheme="majorHAnsi" w:hAnsiTheme="majorHAnsi" w:cstheme="majorHAnsi"/>
                <w:sz w:val="20"/>
                <w:szCs w:val="20"/>
                <w:lang w:val="ro-MD"/>
              </w:rPr>
              <w:t>,1</w:t>
            </w:r>
          </w:p>
        </w:tc>
      </w:tr>
      <w:tr w:rsidR="002B0C1F" w:rsidRPr="002751FC" w:rsidTr="000D3357">
        <w:trPr>
          <w:trHeight w:val="319"/>
        </w:trPr>
        <w:tc>
          <w:tcPr>
            <w:tcW w:w="770" w:type="dxa"/>
          </w:tcPr>
          <w:p w:rsidR="002B0C1F" w:rsidRPr="002751FC" w:rsidRDefault="00C56046"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3</w:t>
            </w:r>
          </w:p>
        </w:tc>
        <w:tc>
          <w:tcPr>
            <w:tcW w:w="5749" w:type="dxa"/>
            <w:vAlign w:val="center"/>
          </w:tcPr>
          <w:p w:rsidR="002B0C1F" w:rsidRPr="002751FC" w:rsidRDefault="006D1513" w:rsidP="00CD2A1E">
            <w:pPr>
              <w:jc w:val="both"/>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Achiziționarea</w:t>
            </w:r>
            <w:r w:rsidR="002B0C1F" w:rsidRPr="002751FC">
              <w:rPr>
                <w:rFonts w:asciiTheme="majorHAnsi" w:eastAsia="Times New Roman" w:hAnsiTheme="majorHAnsi" w:cstheme="majorHAnsi"/>
                <w:sz w:val="20"/>
                <w:szCs w:val="20"/>
                <w:lang w:val="ro-MD" w:eastAsia="ro-RO"/>
              </w:rPr>
              <w:t xml:space="preserve"> materialelor pentru montarea sistemului de suporturi </w:t>
            </w:r>
            <w:r w:rsidR="00111F13" w:rsidRPr="002751FC">
              <w:rPr>
                <w:rFonts w:asciiTheme="majorHAnsi" w:eastAsia="Times New Roman" w:hAnsiTheme="majorHAnsi" w:cstheme="majorHAnsi"/>
                <w:sz w:val="20"/>
                <w:szCs w:val="20"/>
                <w:lang w:val="ro-MD" w:eastAsia="ro-RO"/>
              </w:rPr>
              <w:t>î</w:t>
            </w:r>
            <w:r w:rsidR="002B0C1F" w:rsidRPr="002751FC">
              <w:rPr>
                <w:rFonts w:asciiTheme="majorHAnsi" w:eastAsia="Times New Roman" w:hAnsiTheme="majorHAnsi" w:cstheme="majorHAnsi"/>
                <w:sz w:val="20"/>
                <w:szCs w:val="20"/>
                <w:lang w:val="ro-MD" w:eastAsia="ro-RO"/>
              </w:rPr>
              <w:t>n sectorul vitivinicol al lotului demonstrativ Leova-LD</w:t>
            </w:r>
          </w:p>
        </w:tc>
        <w:tc>
          <w:tcPr>
            <w:tcW w:w="1506" w:type="dxa"/>
            <w:vAlign w:val="center"/>
          </w:tcPr>
          <w:p w:rsidR="002B0C1F" w:rsidRPr="002751FC" w:rsidRDefault="002B0C1F"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44300000-3</w:t>
            </w:r>
          </w:p>
        </w:tc>
        <w:tc>
          <w:tcPr>
            <w:tcW w:w="1657" w:type="dxa"/>
          </w:tcPr>
          <w:p w:rsidR="002B0C1F" w:rsidRPr="002751FC" w:rsidRDefault="002B0C1F" w:rsidP="00CD2A1E">
            <w:pPr>
              <w:rPr>
                <w:rFonts w:asciiTheme="majorHAnsi" w:hAnsiTheme="majorHAnsi" w:cstheme="majorHAnsi"/>
                <w:sz w:val="20"/>
                <w:szCs w:val="20"/>
                <w:lang w:val="ro-MD"/>
              </w:rPr>
            </w:pPr>
            <w:r w:rsidRPr="002751FC">
              <w:rPr>
                <w:rFonts w:asciiTheme="majorHAnsi" w:hAnsiTheme="majorHAnsi" w:cstheme="majorHAnsi"/>
                <w:sz w:val="20"/>
                <w:szCs w:val="20"/>
                <w:lang w:val="ro-MD"/>
              </w:rPr>
              <w:t>105/MV din 20.06.2018</w:t>
            </w:r>
          </w:p>
        </w:tc>
        <w:tc>
          <w:tcPr>
            <w:tcW w:w="1344" w:type="dxa"/>
            <w:vAlign w:val="center"/>
          </w:tcPr>
          <w:p w:rsidR="002B0C1F" w:rsidRPr="002751FC" w:rsidRDefault="00C745F3" w:rsidP="00CD2A1E">
            <w:pPr>
              <w:jc w:val="right"/>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49,</w:t>
            </w:r>
            <w:r w:rsidR="002B0C1F" w:rsidRPr="002751FC">
              <w:rPr>
                <w:rFonts w:asciiTheme="majorHAnsi" w:eastAsia="Times New Roman" w:hAnsiTheme="majorHAnsi" w:cstheme="majorHAnsi"/>
                <w:sz w:val="20"/>
                <w:szCs w:val="20"/>
                <w:lang w:val="ro-MD" w:eastAsia="ro-RO"/>
              </w:rPr>
              <w:t xml:space="preserve">1 </w:t>
            </w:r>
          </w:p>
        </w:tc>
      </w:tr>
      <w:tr w:rsidR="002B0C1F" w:rsidRPr="002751FC" w:rsidTr="000D3357">
        <w:trPr>
          <w:trHeight w:val="474"/>
        </w:trPr>
        <w:tc>
          <w:tcPr>
            <w:tcW w:w="770" w:type="dxa"/>
          </w:tcPr>
          <w:p w:rsidR="002B0C1F" w:rsidRPr="002751FC" w:rsidRDefault="00C56046"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4</w:t>
            </w:r>
          </w:p>
        </w:tc>
        <w:tc>
          <w:tcPr>
            <w:tcW w:w="5749" w:type="dxa"/>
            <w:vAlign w:val="center"/>
          </w:tcPr>
          <w:p w:rsidR="002B0C1F" w:rsidRPr="002751FC" w:rsidRDefault="006D1513" w:rsidP="00CD2A1E">
            <w:pPr>
              <w:jc w:val="both"/>
              <w:rPr>
                <w:rFonts w:asciiTheme="majorHAnsi" w:hAnsiTheme="majorHAnsi" w:cstheme="majorHAnsi"/>
                <w:color w:val="000000" w:themeColor="text1"/>
                <w:sz w:val="20"/>
                <w:szCs w:val="20"/>
                <w:lang w:val="ro-MD"/>
              </w:rPr>
            </w:pPr>
            <w:r w:rsidRPr="002751FC">
              <w:rPr>
                <w:rFonts w:asciiTheme="majorHAnsi" w:hAnsiTheme="majorHAnsi" w:cstheme="majorHAnsi"/>
                <w:color w:val="000000" w:themeColor="text1"/>
                <w:sz w:val="20"/>
                <w:szCs w:val="20"/>
                <w:lang w:val="ro-MD"/>
              </w:rPr>
              <w:t>Achiziționarea</w:t>
            </w:r>
            <w:r w:rsidR="002B0C1F" w:rsidRPr="002751FC">
              <w:rPr>
                <w:rFonts w:asciiTheme="majorHAnsi" w:hAnsiTheme="majorHAnsi" w:cstheme="majorHAnsi"/>
                <w:color w:val="000000" w:themeColor="text1"/>
                <w:sz w:val="20"/>
                <w:szCs w:val="20"/>
                <w:lang w:val="ro-MD"/>
              </w:rPr>
              <w:t xml:space="preserve"> pilonilor pentru montarea sistemului de suporturi </w:t>
            </w:r>
            <w:r w:rsidR="00111F13" w:rsidRPr="002751FC">
              <w:rPr>
                <w:rFonts w:asciiTheme="majorHAnsi" w:hAnsiTheme="majorHAnsi" w:cstheme="majorHAnsi"/>
                <w:color w:val="000000" w:themeColor="text1"/>
                <w:sz w:val="20"/>
                <w:szCs w:val="20"/>
                <w:lang w:val="ro-MD"/>
              </w:rPr>
              <w:t>î</w:t>
            </w:r>
            <w:r w:rsidR="002B0C1F" w:rsidRPr="002751FC">
              <w:rPr>
                <w:rFonts w:asciiTheme="majorHAnsi" w:hAnsiTheme="majorHAnsi" w:cstheme="majorHAnsi"/>
                <w:color w:val="000000" w:themeColor="text1"/>
                <w:sz w:val="20"/>
                <w:szCs w:val="20"/>
                <w:lang w:val="ro-MD"/>
              </w:rPr>
              <w:t>n sectorul viticol din cadrul lotului demonstrativ Leova-LD</w:t>
            </w:r>
          </w:p>
        </w:tc>
        <w:tc>
          <w:tcPr>
            <w:tcW w:w="1506" w:type="dxa"/>
            <w:vAlign w:val="center"/>
          </w:tcPr>
          <w:p w:rsidR="002B0C1F" w:rsidRPr="002751FC" w:rsidRDefault="002B0C1F"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34928210-3</w:t>
            </w:r>
          </w:p>
        </w:tc>
        <w:tc>
          <w:tcPr>
            <w:tcW w:w="1657" w:type="dxa"/>
          </w:tcPr>
          <w:p w:rsidR="002B0C1F" w:rsidRPr="002751FC" w:rsidRDefault="002B0C1F" w:rsidP="00CD2A1E">
            <w:pPr>
              <w:rPr>
                <w:rFonts w:asciiTheme="majorHAnsi" w:hAnsiTheme="majorHAnsi" w:cstheme="majorHAnsi"/>
                <w:sz w:val="20"/>
                <w:szCs w:val="20"/>
                <w:lang w:val="ro-MD"/>
              </w:rPr>
            </w:pPr>
            <w:r w:rsidRPr="002751FC">
              <w:rPr>
                <w:rFonts w:asciiTheme="majorHAnsi" w:hAnsiTheme="majorHAnsi" w:cstheme="majorHAnsi"/>
                <w:sz w:val="20"/>
                <w:szCs w:val="20"/>
                <w:lang w:val="ro-MD"/>
              </w:rPr>
              <w:t>106/MV din 20.06.2018</w:t>
            </w:r>
          </w:p>
        </w:tc>
        <w:tc>
          <w:tcPr>
            <w:tcW w:w="1344" w:type="dxa"/>
            <w:vAlign w:val="center"/>
          </w:tcPr>
          <w:p w:rsidR="002B0C1F" w:rsidRPr="002751FC" w:rsidRDefault="00C745F3" w:rsidP="00CD2A1E">
            <w:pPr>
              <w:jc w:val="right"/>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89,</w:t>
            </w:r>
            <w:r w:rsidR="002B0C1F" w:rsidRPr="002751FC">
              <w:rPr>
                <w:rFonts w:asciiTheme="majorHAnsi" w:eastAsia="Times New Roman" w:hAnsiTheme="majorHAnsi" w:cstheme="majorHAnsi"/>
                <w:sz w:val="20"/>
                <w:szCs w:val="20"/>
                <w:lang w:val="ro-MD" w:eastAsia="ro-RO"/>
              </w:rPr>
              <w:t xml:space="preserve">9 </w:t>
            </w:r>
          </w:p>
        </w:tc>
      </w:tr>
      <w:tr w:rsidR="002B0C1F" w:rsidRPr="002751FC" w:rsidTr="000D3357">
        <w:trPr>
          <w:trHeight w:val="381"/>
        </w:trPr>
        <w:tc>
          <w:tcPr>
            <w:tcW w:w="770" w:type="dxa"/>
          </w:tcPr>
          <w:p w:rsidR="002B0C1F" w:rsidRPr="002751FC" w:rsidRDefault="00C56046"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5</w:t>
            </w:r>
          </w:p>
        </w:tc>
        <w:tc>
          <w:tcPr>
            <w:tcW w:w="5749" w:type="dxa"/>
            <w:vAlign w:val="center"/>
          </w:tcPr>
          <w:p w:rsidR="002B0C1F" w:rsidRPr="002751FC" w:rsidRDefault="006D1513" w:rsidP="00CD2A1E">
            <w:pPr>
              <w:jc w:val="both"/>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Achiziționarea</w:t>
            </w:r>
            <w:r w:rsidR="002B0C1F" w:rsidRPr="002751FC">
              <w:rPr>
                <w:rFonts w:asciiTheme="majorHAnsi" w:eastAsia="Times New Roman" w:hAnsiTheme="majorHAnsi" w:cstheme="majorHAnsi"/>
                <w:sz w:val="20"/>
                <w:szCs w:val="20"/>
                <w:lang w:val="ro-MD" w:eastAsia="ro-RO"/>
              </w:rPr>
              <w:t xml:space="preserve"> echipamentului de laborator </w:t>
            </w:r>
            <w:r w:rsidR="00111F13" w:rsidRPr="002751FC">
              <w:rPr>
                <w:rFonts w:asciiTheme="majorHAnsi" w:hAnsiTheme="majorHAnsi" w:cstheme="majorHAnsi"/>
                <w:color w:val="000000" w:themeColor="text1"/>
                <w:sz w:val="20"/>
                <w:szCs w:val="20"/>
                <w:lang w:val="ro-MD"/>
              </w:rPr>
              <w:t>în</w:t>
            </w:r>
            <w:r w:rsidR="002B0C1F" w:rsidRPr="002751FC">
              <w:rPr>
                <w:rFonts w:asciiTheme="majorHAnsi" w:eastAsia="Times New Roman" w:hAnsiTheme="majorHAnsi" w:cstheme="majorHAnsi"/>
                <w:sz w:val="20"/>
                <w:szCs w:val="20"/>
                <w:lang w:val="ro-MD" w:eastAsia="ro-RO"/>
              </w:rPr>
              <w:t xml:space="preserve"> cadrul proiectului ONVV </w:t>
            </w:r>
            <w:r w:rsidR="00111F13" w:rsidRPr="002751FC">
              <w:rPr>
                <w:rFonts w:asciiTheme="majorHAnsi" w:eastAsia="Times New Roman" w:hAnsiTheme="majorHAnsi" w:cstheme="majorHAnsi"/>
                <w:sz w:val="20"/>
                <w:szCs w:val="20"/>
                <w:lang w:val="ro-MD" w:eastAsia="ro-RO"/>
              </w:rPr>
              <w:t>„M</w:t>
            </w:r>
            <w:r w:rsidRPr="002751FC">
              <w:rPr>
                <w:rFonts w:asciiTheme="majorHAnsi" w:eastAsia="Times New Roman" w:hAnsiTheme="majorHAnsi" w:cstheme="majorHAnsi"/>
                <w:sz w:val="20"/>
                <w:szCs w:val="20"/>
                <w:lang w:val="ro-MD" w:eastAsia="ro-RO"/>
              </w:rPr>
              <w:t>icro vinificație</w:t>
            </w:r>
            <w:r w:rsidR="002B0C1F" w:rsidRPr="002751FC">
              <w:rPr>
                <w:rFonts w:asciiTheme="majorHAnsi" w:eastAsia="Times New Roman" w:hAnsiTheme="majorHAnsi" w:cstheme="majorHAnsi"/>
                <w:sz w:val="20"/>
                <w:szCs w:val="20"/>
                <w:lang w:val="ro-MD" w:eastAsia="ro-RO"/>
              </w:rPr>
              <w:t>”</w:t>
            </w:r>
          </w:p>
        </w:tc>
        <w:tc>
          <w:tcPr>
            <w:tcW w:w="1506" w:type="dxa"/>
            <w:vAlign w:val="center"/>
          </w:tcPr>
          <w:p w:rsidR="002B0C1F" w:rsidRPr="002751FC" w:rsidRDefault="002B0C1F"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32580000-2</w:t>
            </w:r>
          </w:p>
        </w:tc>
        <w:tc>
          <w:tcPr>
            <w:tcW w:w="1657" w:type="dxa"/>
          </w:tcPr>
          <w:p w:rsidR="002B0C1F" w:rsidRPr="002751FC" w:rsidRDefault="002B0C1F" w:rsidP="00CD2A1E">
            <w:pPr>
              <w:rPr>
                <w:rFonts w:asciiTheme="majorHAnsi" w:hAnsiTheme="majorHAnsi" w:cstheme="majorHAnsi"/>
                <w:sz w:val="20"/>
                <w:szCs w:val="20"/>
                <w:lang w:val="ro-MD"/>
              </w:rPr>
            </w:pPr>
            <w:r w:rsidRPr="002751FC">
              <w:rPr>
                <w:rFonts w:asciiTheme="majorHAnsi" w:hAnsiTheme="majorHAnsi" w:cstheme="majorHAnsi"/>
                <w:sz w:val="20"/>
                <w:szCs w:val="20"/>
                <w:lang w:val="ro-MD"/>
              </w:rPr>
              <w:t>128/MV din 16.07.2018</w:t>
            </w:r>
          </w:p>
        </w:tc>
        <w:tc>
          <w:tcPr>
            <w:tcW w:w="1344" w:type="dxa"/>
            <w:vAlign w:val="center"/>
          </w:tcPr>
          <w:p w:rsidR="002B0C1F" w:rsidRPr="002751FC" w:rsidRDefault="00C745F3" w:rsidP="00CD2A1E">
            <w:pPr>
              <w:jc w:val="right"/>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89,</w:t>
            </w:r>
            <w:r w:rsidR="002B0C1F" w:rsidRPr="002751FC">
              <w:rPr>
                <w:rFonts w:asciiTheme="majorHAnsi" w:eastAsia="Times New Roman" w:hAnsiTheme="majorHAnsi" w:cstheme="majorHAnsi"/>
                <w:sz w:val="20"/>
                <w:szCs w:val="20"/>
                <w:lang w:val="ro-MD" w:eastAsia="ro-RO"/>
              </w:rPr>
              <w:t xml:space="preserve">5 </w:t>
            </w:r>
          </w:p>
        </w:tc>
      </w:tr>
      <w:tr w:rsidR="002B0C1F" w:rsidRPr="002751FC" w:rsidTr="000D3357">
        <w:trPr>
          <w:trHeight w:val="431"/>
        </w:trPr>
        <w:tc>
          <w:tcPr>
            <w:tcW w:w="770" w:type="dxa"/>
          </w:tcPr>
          <w:p w:rsidR="002B0C1F" w:rsidRPr="002751FC" w:rsidRDefault="00C56046"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6</w:t>
            </w:r>
          </w:p>
        </w:tc>
        <w:tc>
          <w:tcPr>
            <w:tcW w:w="5749" w:type="dxa"/>
            <w:vAlign w:val="center"/>
          </w:tcPr>
          <w:p w:rsidR="002B0C1F" w:rsidRPr="002751FC" w:rsidRDefault="006D1513" w:rsidP="00CD2A1E">
            <w:pPr>
              <w:jc w:val="both"/>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Achiziționarea</w:t>
            </w:r>
            <w:r w:rsidR="002B0C1F" w:rsidRPr="002751FC">
              <w:rPr>
                <w:rFonts w:asciiTheme="majorHAnsi" w:eastAsia="Times New Roman" w:hAnsiTheme="majorHAnsi" w:cstheme="majorHAnsi"/>
                <w:sz w:val="20"/>
                <w:szCs w:val="20"/>
                <w:lang w:val="ro-MD" w:eastAsia="ro-RO"/>
              </w:rPr>
              <w:t xml:space="preserve"> echipamentului pentru asigurarea </w:t>
            </w:r>
            <w:r w:rsidRPr="002751FC">
              <w:rPr>
                <w:rFonts w:asciiTheme="majorHAnsi" w:eastAsia="Times New Roman" w:hAnsiTheme="majorHAnsi" w:cstheme="majorHAnsi"/>
                <w:sz w:val="20"/>
                <w:szCs w:val="20"/>
                <w:lang w:val="ro-MD" w:eastAsia="ro-RO"/>
              </w:rPr>
              <w:t>funcționalității</w:t>
            </w:r>
            <w:r w:rsidR="002B0C1F" w:rsidRPr="002751FC">
              <w:rPr>
                <w:rFonts w:asciiTheme="majorHAnsi" w:eastAsia="Times New Roman" w:hAnsiTheme="majorHAnsi" w:cstheme="majorHAnsi"/>
                <w:sz w:val="20"/>
                <w:szCs w:val="20"/>
                <w:lang w:val="ro-MD" w:eastAsia="ro-RO"/>
              </w:rPr>
              <w:t xml:space="preserve"> LVCF al ISPHTA</w:t>
            </w:r>
          </w:p>
        </w:tc>
        <w:tc>
          <w:tcPr>
            <w:tcW w:w="1506" w:type="dxa"/>
            <w:vAlign w:val="center"/>
          </w:tcPr>
          <w:p w:rsidR="002B0C1F" w:rsidRPr="002751FC" w:rsidRDefault="002B0C1F" w:rsidP="00CD2A1E">
            <w:pPr>
              <w:jc w:val="center"/>
              <w:rPr>
                <w:rFonts w:asciiTheme="majorHAnsi" w:eastAsia="Times New Roman" w:hAnsiTheme="majorHAnsi" w:cstheme="majorHAnsi"/>
                <w:bCs/>
                <w:color w:val="000000" w:themeColor="text1"/>
                <w:sz w:val="20"/>
                <w:szCs w:val="20"/>
                <w:lang w:val="ro-MD" w:eastAsia="ro-RO"/>
              </w:rPr>
            </w:pPr>
            <w:r w:rsidRPr="002751FC">
              <w:rPr>
                <w:rFonts w:asciiTheme="majorHAnsi" w:eastAsia="Times New Roman" w:hAnsiTheme="majorHAnsi" w:cstheme="majorHAnsi"/>
                <w:bCs/>
                <w:color w:val="000000" w:themeColor="text1"/>
                <w:sz w:val="20"/>
                <w:szCs w:val="20"/>
                <w:lang w:val="ro-MD" w:eastAsia="ro-RO"/>
              </w:rPr>
              <w:t>30234600-4, 38651000-3, 38652100-1, 38653400-1</w:t>
            </w:r>
          </w:p>
        </w:tc>
        <w:tc>
          <w:tcPr>
            <w:tcW w:w="1657" w:type="dxa"/>
          </w:tcPr>
          <w:p w:rsidR="002B0C1F" w:rsidRPr="002751FC" w:rsidRDefault="002B0C1F" w:rsidP="00CD2A1E">
            <w:pPr>
              <w:rPr>
                <w:rFonts w:asciiTheme="majorHAnsi" w:hAnsiTheme="majorHAnsi" w:cstheme="majorHAnsi"/>
                <w:sz w:val="20"/>
                <w:szCs w:val="20"/>
                <w:lang w:val="ro-MD"/>
              </w:rPr>
            </w:pPr>
            <w:r w:rsidRPr="002751FC">
              <w:rPr>
                <w:rFonts w:asciiTheme="majorHAnsi" w:hAnsiTheme="majorHAnsi" w:cstheme="majorHAnsi"/>
                <w:sz w:val="20"/>
                <w:szCs w:val="20"/>
                <w:lang w:val="ro-MD"/>
              </w:rPr>
              <w:t>149/MV din 05.09.2018</w:t>
            </w:r>
          </w:p>
        </w:tc>
        <w:tc>
          <w:tcPr>
            <w:tcW w:w="1344" w:type="dxa"/>
            <w:vAlign w:val="center"/>
          </w:tcPr>
          <w:p w:rsidR="002B0C1F" w:rsidRPr="002751FC" w:rsidRDefault="00C745F3" w:rsidP="00CD2A1E">
            <w:pPr>
              <w:jc w:val="right"/>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26,</w:t>
            </w:r>
            <w:r w:rsidR="002B0C1F" w:rsidRPr="002751FC">
              <w:rPr>
                <w:rFonts w:asciiTheme="majorHAnsi" w:eastAsia="Times New Roman" w:hAnsiTheme="majorHAnsi" w:cstheme="majorHAnsi"/>
                <w:sz w:val="20"/>
                <w:szCs w:val="20"/>
                <w:lang w:val="ro-MD" w:eastAsia="ro-RO"/>
              </w:rPr>
              <w:t>9</w:t>
            </w:r>
          </w:p>
        </w:tc>
      </w:tr>
      <w:tr w:rsidR="002B0C1F" w:rsidRPr="002751FC" w:rsidTr="000D3357">
        <w:trPr>
          <w:trHeight w:val="503"/>
        </w:trPr>
        <w:tc>
          <w:tcPr>
            <w:tcW w:w="770" w:type="dxa"/>
          </w:tcPr>
          <w:p w:rsidR="002B0C1F" w:rsidRPr="002751FC" w:rsidRDefault="00C56046"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7</w:t>
            </w:r>
          </w:p>
        </w:tc>
        <w:tc>
          <w:tcPr>
            <w:tcW w:w="5749" w:type="dxa"/>
          </w:tcPr>
          <w:p w:rsidR="002B0C1F" w:rsidRPr="002751FC" w:rsidRDefault="006D1513" w:rsidP="00CD2A1E">
            <w:pPr>
              <w:jc w:val="both"/>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Achiziționarea</w:t>
            </w:r>
            <w:r w:rsidR="002B0C1F" w:rsidRPr="002751FC">
              <w:rPr>
                <w:rFonts w:asciiTheme="majorHAnsi" w:eastAsia="Times New Roman" w:hAnsiTheme="majorHAnsi" w:cstheme="majorHAnsi"/>
                <w:sz w:val="20"/>
                <w:szCs w:val="20"/>
                <w:lang w:val="ro-MD" w:eastAsia="ro-RO"/>
              </w:rPr>
              <w:t xml:space="preserve"> echipamentului de laborator din cadrul proiectului ONVV </w:t>
            </w:r>
            <w:r w:rsidR="00111F13" w:rsidRPr="002751FC">
              <w:rPr>
                <w:rFonts w:asciiTheme="majorHAnsi" w:eastAsia="Times New Roman" w:hAnsiTheme="majorHAnsi" w:cstheme="majorHAnsi"/>
                <w:sz w:val="20"/>
                <w:szCs w:val="20"/>
                <w:lang w:val="ro-MD" w:eastAsia="ro-RO"/>
              </w:rPr>
              <w:t>„</w:t>
            </w:r>
            <w:r w:rsidR="002B0C1F" w:rsidRPr="002751FC">
              <w:rPr>
                <w:rFonts w:asciiTheme="majorHAnsi" w:eastAsia="Times New Roman" w:hAnsiTheme="majorHAnsi" w:cstheme="majorHAnsi"/>
                <w:sz w:val="20"/>
                <w:szCs w:val="20"/>
                <w:lang w:val="ro-MD" w:eastAsia="ro-RO"/>
              </w:rPr>
              <w:t>Struguri de calitate”</w:t>
            </w:r>
          </w:p>
        </w:tc>
        <w:tc>
          <w:tcPr>
            <w:tcW w:w="1506" w:type="dxa"/>
            <w:vAlign w:val="center"/>
          </w:tcPr>
          <w:p w:rsidR="002B0C1F" w:rsidRPr="002751FC" w:rsidRDefault="002B0C1F"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4299000-2</w:t>
            </w:r>
          </w:p>
        </w:tc>
        <w:tc>
          <w:tcPr>
            <w:tcW w:w="1657" w:type="dxa"/>
          </w:tcPr>
          <w:p w:rsidR="002B0C1F" w:rsidRPr="002751FC" w:rsidRDefault="002B0C1F" w:rsidP="00CD2A1E">
            <w:pPr>
              <w:rPr>
                <w:rFonts w:asciiTheme="majorHAnsi" w:hAnsiTheme="majorHAnsi" w:cstheme="majorHAnsi"/>
                <w:sz w:val="20"/>
                <w:szCs w:val="20"/>
                <w:lang w:val="ro-MD"/>
              </w:rPr>
            </w:pPr>
            <w:r w:rsidRPr="002751FC">
              <w:rPr>
                <w:rFonts w:asciiTheme="majorHAnsi" w:hAnsiTheme="majorHAnsi" w:cstheme="majorHAnsi"/>
                <w:sz w:val="20"/>
                <w:szCs w:val="20"/>
                <w:lang w:val="ro-MD"/>
              </w:rPr>
              <w:t>159/MV din 06.09.2018</w:t>
            </w:r>
          </w:p>
        </w:tc>
        <w:tc>
          <w:tcPr>
            <w:tcW w:w="1344" w:type="dxa"/>
            <w:vAlign w:val="center"/>
          </w:tcPr>
          <w:p w:rsidR="002B0C1F" w:rsidRPr="002751FC" w:rsidRDefault="00C745F3" w:rsidP="00CD2A1E">
            <w:pPr>
              <w:jc w:val="right"/>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40,</w:t>
            </w:r>
            <w:r w:rsidR="009154A8" w:rsidRPr="002751FC">
              <w:rPr>
                <w:rFonts w:asciiTheme="majorHAnsi" w:eastAsia="Times New Roman" w:hAnsiTheme="majorHAnsi" w:cstheme="majorHAnsi"/>
                <w:sz w:val="20"/>
                <w:szCs w:val="20"/>
                <w:lang w:val="ro-MD" w:eastAsia="ro-RO"/>
              </w:rPr>
              <w:t>1</w:t>
            </w:r>
            <w:r w:rsidR="002B0C1F" w:rsidRPr="002751FC">
              <w:rPr>
                <w:rFonts w:asciiTheme="majorHAnsi" w:eastAsia="Times New Roman" w:hAnsiTheme="majorHAnsi" w:cstheme="majorHAnsi"/>
                <w:sz w:val="20"/>
                <w:szCs w:val="20"/>
                <w:lang w:val="ro-MD" w:eastAsia="ro-RO"/>
              </w:rPr>
              <w:t xml:space="preserve"> </w:t>
            </w:r>
          </w:p>
        </w:tc>
      </w:tr>
      <w:tr w:rsidR="008D593F" w:rsidRPr="002751FC" w:rsidTr="000D3357">
        <w:trPr>
          <w:trHeight w:val="409"/>
        </w:trPr>
        <w:tc>
          <w:tcPr>
            <w:tcW w:w="770" w:type="dxa"/>
          </w:tcPr>
          <w:p w:rsidR="008D593F" w:rsidRPr="002751FC" w:rsidRDefault="008D593F"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8</w:t>
            </w:r>
          </w:p>
        </w:tc>
        <w:tc>
          <w:tcPr>
            <w:tcW w:w="5749" w:type="dxa"/>
          </w:tcPr>
          <w:p w:rsidR="008D593F" w:rsidRPr="002751FC" w:rsidRDefault="008D593F" w:rsidP="00CD2A1E">
            <w:pPr>
              <w:jc w:val="both"/>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 xml:space="preserve">Achiziționarea echipamentului din cadrul proiectului </w:t>
            </w:r>
            <w:r w:rsidR="00111F13" w:rsidRPr="002751FC">
              <w:rPr>
                <w:rFonts w:asciiTheme="majorHAnsi" w:eastAsia="Times New Roman" w:hAnsiTheme="majorHAnsi" w:cstheme="majorHAnsi"/>
                <w:sz w:val="20"/>
                <w:szCs w:val="20"/>
                <w:lang w:val="ro-MD" w:eastAsia="ro-RO"/>
              </w:rPr>
              <w:t>„</w:t>
            </w:r>
            <w:proofErr w:type="spellStart"/>
            <w:r w:rsidRPr="002751FC">
              <w:rPr>
                <w:rFonts w:asciiTheme="majorHAnsi" w:eastAsia="Times New Roman" w:hAnsiTheme="majorHAnsi" w:cstheme="majorHAnsi"/>
                <w:sz w:val="20"/>
                <w:szCs w:val="20"/>
                <w:lang w:val="ro-MD" w:eastAsia="ro-RO"/>
              </w:rPr>
              <w:t>FlaveDor</w:t>
            </w:r>
            <w:proofErr w:type="spellEnd"/>
            <w:r w:rsidRPr="002751FC">
              <w:rPr>
                <w:rFonts w:asciiTheme="majorHAnsi" w:eastAsia="Times New Roman" w:hAnsiTheme="majorHAnsi" w:cstheme="majorHAnsi"/>
                <w:sz w:val="20"/>
                <w:szCs w:val="20"/>
                <w:lang w:val="ro-MD" w:eastAsia="ro-RO"/>
              </w:rPr>
              <w:t>”, pentru dezvoltarea i promovarea sectorului vitivinicol</w:t>
            </w:r>
          </w:p>
        </w:tc>
        <w:tc>
          <w:tcPr>
            <w:tcW w:w="1506" w:type="dxa"/>
          </w:tcPr>
          <w:p w:rsidR="008D593F" w:rsidRPr="002751FC" w:rsidRDefault="008D593F"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42990000-2</w:t>
            </w:r>
          </w:p>
        </w:tc>
        <w:tc>
          <w:tcPr>
            <w:tcW w:w="1657" w:type="dxa"/>
          </w:tcPr>
          <w:p w:rsidR="008D593F" w:rsidRPr="002751FC" w:rsidRDefault="008D593F" w:rsidP="00CD2A1E">
            <w:pPr>
              <w:rPr>
                <w:rFonts w:asciiTheme="majorHAnsi" w:hAnsiTheme="majorHAnsi" w:cstheme="majorHAnsi"/>
                <w:sz w:val="20"/>
                <w:szCs w:val="20"/>
                <w:lang w:val="ro-MD"/>
              </w:rPr>
            </w:pPr>
            <w:r w:rsidRPr="002751FC">
              <w:rPr>
                <w:rFonts w:asciiTheme="majorHAnsi" w:hAnsiTheme="majorHAnsi" w:cstheme="majorHAnsi"/>
                <w:sz w:val="20"/>
                <w:szCs w:val="20"/>
                <w:lang w:val="ro-MD"/>
              </w:rPr>
              <w:t>1</w:t>
            </w:r>
            <w:r w:rsidR="00051835" w:rsidRPr="002751FC">
              <w:rPr>
                <w:rFonts w:asciiTheme="majorHAnsi" w:hAnsiTheme="majorHAnsi" w:cstheme="majorHAnsi"/>
                <w:sz w:val="20"/>
                <w:szCs w:val="20"/>
                <w:lang w:val="ro-MD"/>
              </w:rPr>
              <w:t>7</w:t>
            </w:r>
            <w:r w:rsidRPr="002751FC">
              <w:rPr>
                <w:rFonts w:asciiTheme="majorHAnsi" w:hAnsiTheme="majorHAnsi" w:cstheme="majorHAnsi"/>
                <w:sz w:val="20"/>
                <w:szCs w:val="20"/>
                <w:lang w:val="ro-MD"/>
              </w:rPr>
              <w:t>9/MV din 1</w:t>
            </w:r>
            <w:r w:rsidR="00051835" w:rsidRPr="002751FC">
              <w:rPr>
                <w:rFonts w:asciiTheme="majorHAnsi" w:hAnsiTheme="majorHAnsi" w:cstheme="majorHAnsi"/>
                <w:sz w:val="20"/>
                <w:szCs w:val="20"/>
                <w:lang w:val="ro-MD"/>
              </w:rPr>
              <w:t>0</w:t>
            </w:r>
            <w:r w:rsidRPr="002751FC">
              <w:rPr>
                <w:rFonts w:asciiTheme="majorHAnsi" w:hAnsiTheme="majorHAnsi" w:cstheme="majorHAnsi"/>
                <w:sz w:val="20"/>
                <w:szCs w:val="20"/>
                <w:lang w:val="ro-MD"/>
              </w:rPr>
              <w:t>.09.2018</w:t>
            </w:r>
          </w:p>
        </w:tc>
        <w:tc>
          <w:tcPr>
            <w:tcW w:w="1344" w:type="dxa"/>
            <w:vAlign w:val="center"/>
          </w:tcPr>
          <w:p w:rsidR="008D593F" w:rsidRPr="002751FC" w:rsidRDefault="008D593F" w:rsidP="00CD2A1E">
            <w:pPr>
              <w:jc w:val="right"/>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 xml:space="preserve">96,0 </w:t>
            </w:r>
          </w:p>
        </w:tc>
      </w:tr>
      <w:tr w:rsidR="002B0C1F" w:rsidRPr="002751FC" w:rsidTr="000D3357">
        <w:trPr>
          <w:trHeight w:val="747"/>
        </w:trPr>
        <w:tc>
          <w:tcPr>
            <w:tcW w:w="770" w:type="dxa"/>
          </w:tcPr>
          <w:p w:rsidR="002B0C1F" w:rsidRPr="002751FC" w:rsidRDefault="00C56046"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9</w:t>
            </w:r>
          </w:p>
        </w:tc>
        <w:tc>
          <w:tcPr>
            <w:tcW w:w="5749" w:type="dxa"/>
          </w:tcPr>
          <w:p w:rsidR="002B0C1F" w:rsidRPr="002751FC" w:rsidRDefault="006D1513" w:rsidP="00CD2A1E">
            <w:pPr>
              <w:jc w:val="both"/>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Achiziționarea</w:t>
            </w:r>
            <w:r w:rsidR="002B0C1F" w:rsidRPr="002751FC">
              <w:rPr>
                <w:rFonts w:asciiTheme="majorHAnsi" w:eastAsia="Times New Roman" w:hAnsiTheme="majorHAnsi" w:cstheme="majorHAnsi"/>
                <w:sz w:val="20"/>
                <w:szCs w:val="20"/>
                <w:lang w:val="ro-MD" w:eastAsia="ro-RO"/>
              </w:rPr>
              <w:t xml:space="preserve"> echipamentului de laborator pentru asigurarea </w:t>
            </w:r>
            <w:r w:rsidRPr="002751FC">
              <w:rPr>
                <w:rFonts w:asciiTheme="majorHAnsi" w:eastAsia="Times New Roman" w:hAnsiTheme="majorHAnsi" w:cstheme="majorHAnsi"/>
                <w:sz w:val="20"/>
                <w:szCs w:val="20"/>
                <w:lang w:val="ro-MD" w:eastAsia="ro-RO"/>
              </w:rPr>
              <w:t>funcționalității</w:t>
            </w:r>
            <w:r w:rsidR="002B0C1F" w:rsidRPr="002751FC">
              <w:rPr>
                <w:rFonts w:asciiTheme="majorHAnsi" w:eastAsia="Times New Roman" w:hAnsiTheme="majorHAnsi" w:cstheme="majorHAnsi"/>
                <w:sz w:val="20"/>
                <w:szCs w:val="20"/>
                <w:lang w:val="ro-MD" w:eastAsia="ro-RO"/>
              </w:rPr>
              <w:t xml:space="preserve"> Laboratorului de Virusologie </w:t>
            </w:r>
            <w:r w:rsidR="00111F13" w:rsidRPr="002751FC">
              <w:rPr>
                <w:rFonts w:asciiTheme="majorHAnsi" w:eastAsia="Times New Roman" w:hAnsiTheme="majorHAnsi" w:cstheme="majorHAnsi"/>
                <w:sz w:val="20"/>
                <w:szCs w:val="20"/>
                <w:lang w:val="ro-MD" w:eastAsia="ro-RO"/>
              </w:rPr>
              <w:t>ș</w:t>
            </w:r>
            <w:r w:rsidR="002B0C1F" w:rsidRPr="002751FC">
              <w:rPr>
                <w:rFonts w:asciiTheme="majorHAnsi" w:eastAsia="Times New Roman" w:hAnsiTheme="majorHAnsi" w:cstheme="majorHAnsi"/>
                <w:sz w:val="20"/>
                <w:szCs w:val="20"/>
                <w:lang w:val="ro-MD" w:eastAsia="ro-RO"/>
              </w:rPr>
              <w:t xml:space="preserve">i Control Fitosanitar al ISPHTA, din cadrul proiectului ONVV </w:t>
            </w:r>
            <w:r w:rsidR="00111F13" w:rsidRPr="002751FC">
              <w:rPr>
                <w:rFonts w:asciiTheme="majorHAnsi" w:eastAsia="Times New Roman" w:hAnsiTheme="majorHAnsi" w:cstheme="majorHAnsi"/>
                <w:sz w:val="20"/>
                <w:szCs w:val="20"/>
                <w:lang w:val="ro-MD" w:eastAsia="ro-RO"/>
              </w:rPr>
              <w:t>„</w:t>
            </w:r>
            <w:r w:rsidR="002B0C1F" w:rsidRPr="002751FC">
              <w:rPr>
                <w:rFonts w:asciiTheme="majorHAnsi" w:eastAsia="Times New Roman" w:hAnsiTheme="majorHAnsi" w:cstheme="majorHAnsi"/>
                <w:sz w:val="20"/>
                <w:szCs w:val="20"/>
                <w:lang w:val="ro-MD" w:eastAsia="ro-RO"/>
              </w:rPr>
              <w:t>Struguri de calitate”</w:t>
            </w:r>
          </w:p>
        </w:tc>
        <w:tc>
          <w:tcPr>
            <w:tcW w:w="1506" w:type="dxa"/>
            <w:vAlign w:val="center"/>
          </w:tcPr>
          <w:p w:rsidR="002B0C1F" w:rsidRPr="002751FC" w:rsidRDefault="002B0C1F"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38000000-5</w:t>
            </w:r>
          </w:p>
        </w:tc>
        <w:tc>
          <w:tcPr>
            <w:tcW w:w="1657" w:type="dxa"/>
          </w:tcPr>
          <w:p w:rsidR="002B0C1F" w:rsidRPr="002751FC" w:rsidRDefault="002B0C1F" w:rsidP="00CD2A1E">
            <w:pPr>
              <w:rPr>
                <w:rFonts w:asciiTheme="majorHAnsi" w:hAnsiTheme="majorHAnsi" w:cstheme="majorHAnsi"/>
                <w:sz w:val="20"/>
                <w:szCs w:val="20"/>
                <w:lang w:val="ro-MD"/>
              </w:rPr>
            </w:pPr>
            <w:r w:rsidRPr="002751FC">
              <w:rPr>
                <w:rFonts w:asciiTheme="majorHAnsi" w:hAnsiTheme="majorHAnsi" w:cstheme="majorHAnsi"/>
                <w:sz w:val="20"/>
                <w:szCs w:val="20"/>
                <w:lang w:val="ro-MD"/>
              </w:rPr>
              <w:t>219/MV din 28.11.2018</w:t>
            </w:r>
          </w:p>
        </w:tc>
        <w:tc>
          <w:tcPr>
            <w:tcW w:w="1344" w:type="dxa"/>
            <w:vAlign w:val="center"/>
          </w:tcPr>
          <w:p w:rsidR="002B0C1F" w:rsidRPr="002751FC" w:rsidRDefault="002B0C1F" w:rsidP="00CD2A1E">
            <w:pPr>
              <w:jc w:val="right"/>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23</w:t>
            </w:r>
            <w:r w:rsidR="00C745F3" w:rsidRPr="002751FC">
              <w:rPr>
                <w:rFonts w:asciiTheme="majorHAnsi" w:eastAsia="Times New Roman" w:hAnsiTheme="majorHAnsi" w:cstheme="majorHAnsi"/>
                <w:sz w:val="20"/>
                <w:szCs w:val="20"/>
                <w:lang w:val="ro-MD" w:eastAsia="ro-RO"/>
              </w:rPr>
              <w:t>,2</w:t>
            </w:r>
            <w:r w:rsidRPr="002751FC">
              <w:rPr>
                <w:rFonts w:asciiTheme="majorHAnsi" w:eastAsia="Times New Roman" w:hAnsiTheme="majorHAnsi" w:cstheme="majorHAnsi"/>
                <w:sz w:val="20"/>
                <w:szCs w:val="20"/>
                <w:lang w:val="ro-MD" w:eastAsia="ro-RO"/>
              </w:rPr>
              <w:t xml:space="preserve"> </w:t>
            </w:r>
          </w:p>
        </w:tc>
      </w:tr>
      <w:tr w:rsidR="002B0C1F" w:rsidRPr="002751FC" w:rsidTr="000D3357">
        <w:trPr>
          <w:trHeight w:val="531"/>
        </w:trPr>
        <w:tc>
          <w:tcPr>
            <w:tcW w:w="770" w:type="dxa"/>
          </w:tcPr>
          <w:p w:rsidR="002B0C1F" w:rsidRPr="002751FC" w:rsidRDefault="00C56046"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10</w:t>
            </w:r>
          </w:p>
        </w:tc>
        <w:tc>
          <w:tcPr>
            <w:tcW w:w="5749" w:type="dxa"/>
          </w:tcPr>
          <w:p w:rsidR="002B0C1F" w:rsidRPr="002751FC" w:rsidRDefault="006D1513" w:rsidP="00CD2A1E">
            <w:pPr>
              <w:jc w:val="both"/>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Achiziționarea</w:t>
            </w:r>
            <w:r w:rsidR="002B0C1F" w:rsidRPr="002751FC">
              <w:rPr>
                <w:rFonts w:asciiTheme="majorHAnsi" w:eastAsia="Times New Roman" w:hAnsiTheme="majorHAnsi" w:cstheme="majorHAnsi"/>
                <w:sz w:val="20"/>
                <w:szCs w:val="20"/>
                <w:lang w:val="ro-MD" w:eastAsia="ro-RO"/>
              </w:rPr>
              <w:t xml:space="preserve"> reactivelor de laborator pentru LVCF al ISPHTA, din cadrul proiectului ONVV </w:t>
            </w:r>
            <w:r w:rsidR="00111F13" w:rsidRPr="002751FC">
              <w:rPr>
                <w:rFonts w:asciiTheme="majorHAnsi" w:eastAsia="Times New Roman" w:hAnsiTheme="majorHAnsi" w:cstheme="majorHAnsi"/>
                <w:sz w:val="20"/>
                <w:szCs w:val="20"/>
                <w:lang w:val="ro-MD" w:eastAsia="ro-RO"/>
              </w:rPr>
              <w:t>„</w:t>
            </w:r>
            <w:r w:rsidR="002B0C1F" w:rsidRPr="002751FC">
              <w:rPr>
                <w:rFonts w:asciiTheme="majorHAnsi" w:eastAsia="Times New Roman" w:hAnsiTheme="majorHAnsi" w:cstheme="majorHAnsi"/>
                <w:sz w:val="20"/>
                <w:szCs w:val="20"/>
                <w:lang w:val="ro-MD" w:eastAsia="ro-RO"/>
              </w:rPr>
              <w:t>Struguri de calitate”</w:t>
            </w:r>
          </w:p>
        </w:tc>
        <w:tc>
          <w:tcPr>
            <w:tcW w:w="1506" w:type="dxa"/>
            <w:vAlign w:val="center"/>
          </w:tcPr>
          <w:p w:rsidR="002B0C1F" w:rsidRPr="002751FC" w:rsidRDefault="002B0C1F"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33696500-0</w:t>
            </w:r>
          </w:p>
        </w:tc>
        <w:tc>
          <w:tcPr>
            <w:tcW w:w="1657" w:type="dxa"/>
          </w:tcPr>
          <w:p w:rsidR="002B0C1F" w:rsidRPr="002751FC" w:rsidRDefault="002B0C1F" w:rsidP="00CD2A1E">
            <w:pPr>
              <w:rPr>
                <w:rFonts w:asciiTheme="majorHAnsi" w:hAnsiTheme="majorHAnsi" w:cstheme="majorHAnsi"/>
                <w:sz w:val="20"/>
                <w:szCs w:val="20"/>
                <w:lang w:val="ro-MD"/>
              </w:rPr>
            </w:pPr>
            <w:r w:rsidRPr="002751FC">
              <w:rPr>
                <w:rFonts w:asciiTheme="majorHAnsi" w:hAnsiTheme="majorHAnsi" w:cstheme="majorHAnsi"/>
                <w:sz w:val="20"/>
                <w:szCs w:val="20"/>
                <w:lang w:val="ro-MD"/>
              </w:rPr>
              <w:t>220/MV din 28.11.2018</w:t>
            </w:r>
          </w:p>
        </w:tc>
        <w:tc>
          <w:tcPr>
            <w:tcW w:w="1344" w:type="dxa"/>
            <w:vAlign w:val="center"/>
          </w:tcPr>
          <w:p w:rsidR="002B0C1F" w:rsidRPr="002751FC" w:rsidRDefault="002B0C1F" w:rsidP="00CD2A1E">
            <w:pPr>
              <w:jc w:val="right"/>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7</w:t>
            </w:r>
            <w:r w:rsidR="00C745F3" w:rsidRPr="002751FC">
              <w:rPr>
                <w:rFonts w:asciiTheme="majorHAnsi" w:eastAsia="Times New Roman" w:hAnsiTheme="majorHAnsi" w:cstheme="majorHAnsi"/>
                <w:sz w:val="20"/>
                <w:szCs w:val="20"/>
                <w:lang w:val="ro-MD" w:eastAsia="ro-RO"/>
              </w:rPr>
              <w:t>2,0</w:t>
            </w:r>
          </w:p>
        </w:tc>
      </w:tr>
      <w:tr w:rsidR="002B0C1F" w:rsidRPr="002751FC" w:rsidTr="000D3357">
        <w:trPr>
          <w:trHeight w:val="290"/>
        </w:trPr>
        <w:tc>
          <w:tcPr>
            <w:tcW w:w="770" w:type="dxa"/>
          </w:tcPr>
          <w:p w:rsidR="002B0C1F" w:rsidRPr="002751FC" w:rsidRDefault="00C56046"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11</w:t>
            </w:r>
          </w:p>
        </w:tc>
        <w:tc>
          <w:tcPr>
            <w:tcW w:w="5749" w:type="dxa"/>
          </w:tcPr>
          <w:p w:rsidR="002B0C1F" w:rsidRPr="002751FC" w:rsidRDefault="006D1513" w:rsidP="00CD2A1E">
            <w:pPr>
              <w:jc w:val="both"/>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Achiziționarea</w:t>
            </w:r>
            <w:r w:rsidR="002B0C1F" w:rsidRPr="002751FC">
              <w:rPr>
                <w:rFonts w:asciiTheme="majorHAnsi" w:eastAsia="Times New Roman" w:hAnsiTheme="majorHAnsi" w:cstheme="majorHAnsi"/>
                <w:sz w:val="20"/>
                <w:szCs w:val="20"/>
                <w:lang w:val="ro-MD" w:eastAsia="ro-RO"/>
              </w:rPr>
              <w:t xml:space="preserve"> sticlei pentru îmbutelierea vinurilor, din cadrul proiectului ONVV </w:t>
            </w:r>
            <w:r w:rsidR="00111F13" w:rsidRPr="002751FC">
              <w:rPr>
                <w:rFonts w:asciiTheme="majorHAnsi" w:eastAsia="Times New Roman" w:hAnsiTheme="majorHAnsi" w:cstheme="majorHAnsi"/>
                <w:sz w:val="20"/>
                <w:szCs w:val="20"/>
                <w:lang w:val="ro-MD" w:eastAsia="ro-RO"/>
              </w:rPr>
              <w:t>„M</w:t>
            </w:r>
            <w:r w:rsidRPr="002751FC">
              <w:rPr>
                <w:rFonts w:asciiTheme="majorHAnsi" w:eastAsia="Times New Roman" w:hAnsiTheme="majorHAnsi" w:cstheme="majorHAnsi"/>
                <w:sz w:val="20"/>
                <w:szCs w:val="20"/>
                <w:lang w:val="ro-MD" w:eastAsia="ro-RO"/>
              </w:rPr>
              <w:t>icro vinificație</w:t>
            </w:r>
            <w:r w:rsidR="002B0C1F" w:rsidRPr="002751FC">
              <w:rPr>
                <w:rFonts w:asciiTheme="majorHAnsi" w:eastAsia="Times New Roman" w:hAnsiTheme="majorHAnsi" w:cstheme="majorHAnsi"/>
                <w:sz w:val="20"/>
                <w:szCs w:val="20"/>
                <w:lang w:val="ro-MD" w:eastAsia="ro-RO"/>
              </w:rPr>
              <w:t>”</w:t>
            </w:r>
          </w:p>
        </w:tc>
        <w:tc>
          <w:tcPr>
            <w:tcW w:w="1506" w:type="dxa"/>
            <w:vAlign w:val="center"/>
          </w:tcPr>
          <w:p w:rsidR="002B0C1F" w:rsidRPr="002751FC" w:rsidRDefault="002B0C1F" w:rsidP="00CD2A1E">
            <w:pPr>
              <w:jc w:val="center"/>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39299000-4</w:t>
            </w:r>
          </w:p>
        </w:tc>
        <w:tc>
          <w:tcPr>
            <w:tcW w:w="1657" w:type="dxa"/>
          </w:tcPr>
          <w:p w:rsidR="002B0C1F" w:rsidRPr="002751FC" w:rsidRDefault="002B0C1F" w:rsidP="00CD2A1E">
            <w:pPr>
              <w:rPr>
                <w:rFonts w:asciiTheme="majorHAnsi" w:hAnsiTheme="majorHAnsi" w:cstheme="majorHAnsi"/>
                <w:sz w:val="20"/>
                <w:szCs w:val="20"/>
                <w:lang w:val="ro-MD"/>
              </w:rPr>
            </w:pPr>
            <w:r w:rsidRPr="002751FC">
              <w:rPr>
                <w:rFonts w:asciiTheme="majorHAnsi" w:hAnsiTheme="majorHAnsi" w:cstheme="majorHAnsi"/>
                <w:sz w:val="20"/>
                <w:szCs w:val="20"/>
                <w:lang w:val="ro-MD"/>
              </w:rPr>
              <w:t>231/MV din 17.12.2018</w:t>
            </w:r>
          </w:p>
        </w:tc>
        <w:tc>
          <w:tcPr>
            <w:tcW w:w="1344" w:type="dxa"/>
            <w:vAlign w:val="center"/>
          </w:tcPr>
          <w:p w:rsidR="002B0C1F" w:rsidRPr="002751FC" w:rsidRDefault="00C745F3" w:rsidP="00CD2A1E">
            <w:pPr>
              <w:jc w:val="right"/>
              <w:rPr>
                <w:rFonts w:asciiTheme="majorHAnsi" w:eastAsia="Times New Roman" w:hAnsiTheme="majorHAnsi" w:cstheme="majorHAnsi"/>
                <w:sz w:val="20"/>
                <w:szCs w:val="20"/>
                <w:lang w:val="ro-MD" w:eastAsia="ro-RO"/>
              </w:rPr>
            </w:pPr>
            <w:r w:rsidRPr="002751FC">
              <w:rPr>
                <w:rFonts w:asciiTheme="majorHAnsi" w:eastAsia="Times New Roman" w:hAnsiTheme="majorHAnsi" w:cstheme="majorHAnsi"/>
                <w:sz w:val="20"/>
                <w:szCs w:val="20"/>
                <w:lang w:val="ro-MD" w:eastAsia="ro-RO"/>
              </w:rPr>
              <w:t>11,</w:t>
            </w:r>
            <w:r w:rsidR="002B0C1F" w:rsidRPr="002751FC">
              <w:rPr>
                <w:rFonts w:asciiTheme="majorHAnsi" w:eastAsia="Times New Roman" w:hAnsiTheme="majorHAnsi" w:cstheme="majorHAnsi"/>
                <w:sz w:val="20"/>
                <w:szCs w:val="20"/>
                <w:lang w:val="ro-MD" w:eastAsia="ro-RO"/>
              </w:rPr>
              <w:t>9</w:t>
            </w:r>
          </w:p>
        </w:tc>
      </w:tr>
      <w:tr w:rsidR="00CE36DA" w:rsidRPr="002751FC" w:rsidTr="004E7FF5">
        <w:trPr>
          <w:trHeight w:val="193"/>
        </w:trPr>
        <w:tc>
          <w:tcPr>
            <w:tcW w:w="6519" w:type="dxa"/>
            <w:gridSpan w:val="2"/>
            <w:shd w:val="clear" w:color="auto" w:fill="DEEAF6" w:themeFill="accent1" w:themeFillTint="33"/>
          </w:tcPr>
          <w:p w:rsidR="00CE36DA" w:rsidRPr="002751FC" w:rsidRDefault="00CE36DA" w:rsidP="00CD2A1E">
            <w:pPr>
              <w:rPr>
                <w:rFonts w:asciiTheme="majorHAnsi" w:eastAsia="Times New Roman" w:hAnsiTheme="majorHAnsi" w:cstheme="majorHAnsi"/>
                <w:b/>
                <w:sz w:val="20"/>
                <w:szCs w:val="20"/>
                <w:lang w:val="ro-MD" w:eastAsia="ro-RO"/>
              </w:rPr>
            </w:pPr>
            <w:r w:rsidRPr="002751FC">
              <w:rPr>
                <w:rFonts w:asciiTheme="majorHAnsi" w:eastAsia="Times New Roman" w:hAnsiTheme="majorHAnsi" w:cstheme="majorHAnsi"/>
                <w:b/>
                <w:sz w:val="20"/>
                <w:szCs w:val="20"/>
                <w:lang w:val="ro-MD" w:eastAsia="ro-RO"/>
              </w:rPr>
              <w:t>Total</w:t>
            </w:r>
          </w:p>
        </w:tc>
        <w:tc>
          <w:tcPr>
            <w:tcW w:w="1506" w:type="dxa"/>
            <w:shd w:val="clear" w:color="auto" w:fill="DEEAF6" w:themeFill="accent1" w:themeFillTint="33"/>
            <w:vAlign w:val="center"/>
          </w:tcPr>
          <w:p w:rsidR="00CE36DA" w:rsidRPr="002751FC" w:rsidRDefault="00CE36DA" w:rsidP="00CD2A1E">
            <w:pPr>
              <w:jc w:val="center"/>
              <w:rPr>
                <w:rFonts w:asciiTheme="majorHAnsi" w:eastAsia="Times New Roman" w:hAnsiTheme="majorHAnsi" w:cstheme="majorHAnsi"/>
                <w:b/>
                <w:sz w:val="20"/>
                <w:szCs w:val="20"/>
                <w:lang w:val="ro-MD" w:eastAsia="ro-RO"/>
              </w:rPr>
            </w:pPr>
            <w:r w:rsidRPr="002751FC">
              <w:rPr>
                <w:rFonts w:asciiTheme="majorHAnsi" w:eastAsia="Times New Roman" w:hAnsiTheme="majorHAnsi" w:cstheme="majorHAnsi"/>
                <w:b/>
                <w:sz w:val="20"/>
                <w:szCs w:val="20"/>
                <w:lang w:val="ro-MD" w:eastAsia="ro-RO"/>
              </w:rPr>
              <w:t>x</w:t>
            </w:r>
          </w:p>
        </w:tc>
        <w:tc>
          <w:tcPr>
            <w:tcW w:w="1657" w:type="dxa"/>
            <w:shd w:val="clear" w:color="auto" w:fill="DEEAF6" w:themeFill="accent1" w:themeFillTint="33"/>
          </w:tcPr>
          <w:p w:rsidR="00CE36DA" w:rsidRPr="002751FC" w:rsidRDefault="00CE36DA" w:rsidP="00CD2A1E">
            <w:pPr>
              <w:rPr>
                <w:rFonts w:asciiTheme="majorHAnsi" w:hAnsiTheme="majorHAnsi" w:cstheme="majorHAnsi"/>
                <w:b/>
                <w:sz w:val="20"/>
                <w:szCs w:val="20"/>
                <w:lang w:val="ro-MD"/>
              </w:rPr>
            </w:pPr>
            <w:r w:rsidRPr="002751FC">
              <w:rPr>
                <w:rFonts w:asciiTheme="majorHAnsi" w:hAnsiTheme="majorHAnsi" w:cstheme="majorHAnsi"/>
                <w:b/>
                <w:sz w:val="20"/>
                <w:szCs w:val="20"/>
                <w:lang w:val="ro-MD"/>
              </w:rPr>
              <w:t>x</w:t>
            </w:r>
          </w:p>
        </w:tc>
        <w:tc>
          <w:tcPr>
            <w:tcW w:w="1344" w:type="dxa"/>
            <w:shd w:val="clear" w:color="auto" w:fill="DEEAF6" w:themeFill="accent1" w:themeFillTint="33"/>
            <w:vAlign w:val="center"/>
          </w:tcPr>
          <w:p w:rsidR="00CE36DA" w:rsidRPr="002751FC" w:rsidRDefault="00CE36DA" w:rsidP="00CD2A1E">
            <w:pPr>
              <w:jc w:val="right"/>
              <w:rPr>
                <w:rFonts w:asciiTheme="majorHAnsi" w:eastAsia="Times New Roman" w:hAnsiTheme="majorHAnsi" w:cstheme="majorHAnsi"/>
                <w:b/>
                <w:sz w:val="20"/>
                <w:szCs w:val="20"/>
                <w:lang w:val="ro-MD" w:eastAsia="ro-RO"/>
              </w:rPr>
            </w:pPr>
            <w:r w:rsidRPr="002751FC">
              <w:rPr>
                <w:rFonts w:asciiTheme="majorHAnsi" w:eastAsia="Times New Roman" w:hAnsiTheme="majorHAnsi" w:cstheme="majorHAnsi"/>
                <w:b/>
                <w:sz w:val="20"/>
                <w:szCs w:val="20"/>
                <w:lang w:val="ro-MD" w:eastAsia="ro-RO"/>
              </w:rPr>
              <w:t>607,7</w:t>
            </w:r>
          </w:p>
        </w:tc>
      </w:tr>
    </w:tbl>
    <w:p w:rsidR="002B0C1F" w:rsidRPr="002751FC" w:rsidRDefault="00373255" w:rsidP="00C50159">
      <w:pPr>
        <w:rPr>
          <w:rFonts w:asciiTheme="majorHAnsi" w:hAnsiTheme="majorHAnsi" w:cstheme="majorHAnsi"/>
          <w:b/>
          <w:lang w:val="ro-MD"/>
        </w:rPr>
      </w:pPr>
      <w:r w:rsidRPr="002751FC">
        <w:rPr>
          <w:rFonts w:asciiTheme="majorHAnsi" w:hAnsiTheme="majorHAnsi" w:cstheme="majorHAnsi"/>
          <w:b/>
          <w:lang w:val="ro-MD"/>
        </w:rPr>
        <w:t xml:space="preserve">Sursa: </w:t>
      </w:r>
      <w:r w:rsidRPr="002751FC">
        <w:rPr>
          <w:rFonts w:asciiTheme="majorHAnsi" w:hAnsiTheme="majorHAnsi" w:cstheme="majorHAnsi"/>
          <w:lang w:val="ro-MD"/>
        </w:rPr>
        <w:t>datele ONVV.</w:t>
      </w:r>
    </w:p>
    <w:p w:rsidR="002B0C1F" w:rsidRPr="002751FC" w:rsidRDefault="002B0C1F" w:rsidP="002B0C1F">
      <w:pPr>
        <w:rPr>
          <w:rFonts w:asciiTheme="majorHAnsi" w:eastAsiaTheme="majorEastAsia" w:hAnsiTheme="majorHAnsi" w:cstheme="majorHAnsi"/>
          <w:b/>
          <w:sz w:val="32"/>
          <w:szCs w:val="32"/>
          <w:lang w:val="ro-MD"/>
        </w:rPr>
      </w:pPr>
      <w:r w:rsidRPr="002751FC">
        <w:rPr>
          <w:rFonts w:asciiTheme="majorHAnsi" w:hAnsiTheme="majorHAnsi" w:cstheme="majorHAnsi"/>
          <w:b/>
          <w:lang w:val="ro-MD"/>
        </w:rPr>
        <w:br w:type="page"/>
      </w:r>
    </w:p>
    <w:p w:rsidR="002B0C1F" w:rsidRPr="00A964C4" w:rsidRDefault="002B0C1F" w:rsidP="002B0C1F">
      <w:pPr>
        <w:pStyle w:val="1"/>
        <w:jc w:val="right"/>
        <w:rPr>
          <w:rFonts w:cstheme="majorHAnsi"/>
          <w:b/>
          <w:color w:val="auto"/>
          <w:sz w:val="28"/>
          <w:szCs w:val="28"/>
          <w:lang w:val="ro-MD"/>
        </w:rPr>
      </w:pPr>
      <w:bookmarkStart w:id="91" w:name="_Toc23259139"/>
      <w:r w:rsidRPr="00A964C4">
        <w:rPr>
          <w:rFonts w:cstheme="majorHAnsi"/>
          <w:b/>
          <w:color w:val="auto"/>
          <w:sz w:val="28"/>
          <w:szCs w:val="28"/>
          <w:lang w:val="ro-MD"/>
        </w:rPr>
        <w:lastRenderedPageBreak/>
        <w:t>Anexa nr.7</w:t>
      </w:r>
      <w:bookmarkEnd w:id="91"/>
    </w:p>
    <w:p w:rsidR="002B0C1F" w:rsidRPr="002751FC" w:rsidRDefault="002B0C1F" w:rsidP="002B0C1F">
      <w:pPr>
        <w:pStyle w:val="1"/>
        <w:rPr>
          <w:rFonts w:cstheme="majorHAnsi"/>
          <w:b/>
          <w:color w:val="auto"/>
          <w:sz w:val="24"/>
          <w:szCs w:val="24"/>
          <w:lang w:val="ro-MD"/>
        </w:rPr>
      </w:pPr>
      <w:bookmarkStart w:id="92" w:name="_Toc23259140"/>
      <w:r w:rsidRPr="002751FC">
        <w:rPr>
          <w:rFonts w:cstheme="majorHAnsi"/>
          <w:b/>
          <w:color w:val="auto"/>
          <w:sz w:val="24"/>
          <w:szCs w:val="24"/>
          <w:lang w:val="ro-MD"/>
        </w:rPr>
        <w:t xml:space="preserve">Analiza neconformităților constatate la executarea activităților în domeniul viticulturii, </w:t>
      </w:r>
      <w:proofErr w:type="spellStart"/>
      <w:r w:rsidRPr="002751FC">
        <w:rPr>
          <w:rFonts w:cstheme="majorHAnsi"/>
          <w:b/>
          <w:color w:val="auto"/>
          <w:sz w:val="24"/>
          <w:szCs w:val="24"/>
          <w:lang w:val="ro-MD"/>
        </w:rPr>
        <w:t>mil.MDL</w:t>
      </w:r>
      <w:bookmarkEnd w:id="92"/>
      <w:proofErr w:type="spellEnd"/>
    </w:p>
    <w:tbl>
      <w:tblPr>
        <w:tblStyle w:val="ae"/>
        <w:tblW w:w="9674" w:type="dxa"/>
        <w:tblLayout w:type="fixed"/>
        <w:tblLook w:val="04A0" w:firstRow="1" w:lastRow="0" w:firstColumn="1" w:lastColumn="0" w:noHBand="0" w:noVBand="1"/>
      </w:tblPr>
      <w:tblGrid>
        <w:gridCol w:w="562"/>
        <w:gridCol w:w="2977"/>
        <w:gridCol w:w="567"/>
        <w:gridCol w:w="709"/>
        <w:gridCol w:w="709"/>
        <w:gridCol w:w="708"/>
        <w:gridCol w:w="709"/>
        <w:gridCol w:w="851"/>
        <w:gridCol w:w="567"/>
        <w:gridCol w:w="708"/>
        <w:gridCol w:w="607"/>
      </w:tblGrid>
      <w:tr w:rsidR="002B0C1F" w:rsidRPr="002751FC" w:rsidTr="008E6A80">
        <w:trPr>
          <w:trHeight w:val="519"/>
        </w:trPr>
        <w:tc>
          <w:tcPr>
            <w:tcW w:w="562" w:type="dxa"/>
            <w:vMerge w:val="restart"/>
            <w:shd w:val="clear" w:color="auto" w:fill="DEEAF6" w:themeFill="accent1" w:themeFillTint="33"/>
          </w:tcPr>
          <w:p w:rsidR="002B0C1F" w:rsidRPr="002751FC" w:rsidRDefault="002B0C1F"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Nr. d/o</w:t>
            </w:r>
          </w:p>
        </w:tc>
        <w:tc>
          <w:tcPr>
            <w:tcW w:w="2977" w:type="dxa"/>
            <w:vMerge w:val="restart"/>
            <w:shd w:val="clear" w:color="auto" w:fill="DEEAF6" w:themeFill="accent1" w:themeFillTint="33"/>
          </w:tcPr>
          <w:p w:rsidR="002B0C1F" w:rsidRPr="002751FC" w:rsidRDefault="002B0C1F"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Den</w:t>
            </w:r>
            <w:r w:rsidR="00111F13" w:rsidRPr="002751FC">
              <w:rPr>
                <w:rFonts w:asciiTheme="majorHAnsi" w:hAnsiTheme="majorHAnsi" w:cstheme="majorHAnsi"/>
                <w:b/>
                <w:sz w:val="18"/>
                <w:szCs w:val="18"/>
                <w:lang w:val="ro-MD"/>
              </w:rPr>
              <w:t>u</w:t>
            </w:r>
            <w:r w:rsidRPr="002751FC">
              <w:rPr>
                <w:rFonts w:asciiTheme="majorHAnsi" w:hAnsiTheme="majorHAnsi" w:cstheme="majorHAnsi"/>
                <w:b/>
                <w:sz w:val="18"/>
                <w:szCs w:val="18"/>
                <w:lang w:val="ro-MD"/>
              </w:rPr>
              <w:t>mirea</w:t>
            </w:r>
          </w:p>
        </w:tc>
        <w:tc>
          <w:tcPr>
            <w:tcW w:w="1985" w:type="dxa"/>
            <w:gridSpan w:val="3"/>
            <w:shd w:val="clear" w:color="auto" w:fill="DEEAF6" w:themeFill="accent1" w:themeFillTint="33"/>
          </w:tcPr>
          <w:p w:rsidR="002B0C1F" w:rsidRPr="002751FC" w:rsidRDefault="002B0C1F"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Aprobat</w:t>
            </w:r>
          </w:p>
        </w:tc>
        <w:tc>
          <w:tcPr>
            <w:tcW w:w="1417" w:type="dxa"/>
            <w:gridSpan w:val="2"/>
            <w:shd w:val="clear" w:color="auto" w:fill="DEEAF6" w:themeFill="accent1" w:themeFillTint="33"/>
          </w:tcPr>
          <w:p w:rsidR="002B0C1F" w:rsidRPr="002751FC" w:rsidRDefault="002B0C1F"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 xml:space="preserve">Nerealizat </w:t>
            </w:r>
          </w:p>
        </w:tc>
        <w:tc>
          <w:tcPr>
            <w:tcW w:w="1418" w:type="dxa"/>
            <w:gridSpan w:val="2"/>
            <w:shd w:val="clear" w:color="auto" w:fill="DEEAF6" w:themeFill="accent1" w:themeFillTint="33"/>
          </w:tcPr>
          <w:p w:rsidR="002B0C1F" w:rsidRPr="002751FC" w:rsidRDefault="002B0C1F" w:rsidP="007211C1">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Realizat f</w:t>
            </w:r>
            <w:r w:rsidR="007211C1">
              <w:rPr>
                <w:rFonts w:asciiTheme="majorHAnsi" w:hAnsiTheme="majorHAnsi" w:cstheme="majorHAnsi"/>
                <w:b/>
                <w:sz w:val="18"/>
                <w:szCs w:val="18"/>
                <w:lang w:val="ro-MD"/>
              </w:rPr>
              <w:t>ă</w:t>
            </w:r>
            <w:r w:rsidRPr="002751FC">
              <w:rPr>
                <w:rFonts w:asciiTheme="majorHAnsi" w:hAnsiTheme="majorHAnsi" w:cstheme="majorHAnsi"/>
                <w:b/>
                <w:sz w:val="18"/>
                <w:szCs w:val="18"/>
                <w:lang w:val="ro-MD"/>
              </w:rPr>
              <w:t>ră sursa de acoperire (neplanificat)</w:t>
            </w:r>
          </w:p>
        </w:tc>
        <w:tc>
          <w:tcPr>
            <w:tcW w:w="1315" w:type="dxa"/>
            <w:gridSpan w:val="2"/>
            <w:shd w:val="clear" w:color="auto" w:fill="DEEAF6" w:themeFill="accent1" w:themeFillTint="33"/>
          </w:tcPr>
          <w:p w:rsidR="002B0C1F" w:rsidRPr="002751FC" w:rsidRDefault="002B0C1F"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Realizat cu depășirea bugetului aprobat</w:t>
            </w:r>
          </w:p>
        </w:tc>
      </w:tr>
      <w:tr w:rsidR="002B0C1F" w:rsidRPr="002751FC" w:rsidTr="008E6A80">
        <w:trPr>
          <w:cantSplit/>
          <w:trHeight w:val="1094"/>
        </w:trPr>
        <w:tc>
          <w:tcPr>
            <w:tcW w:w="562" w:type="dxa"/>
            <w:vMerge/>
            <w:shd w:val="clear" w:color="auto" w:fill="DEEAF6" w:themeFill="accent1" w:themeFillTint="33"/>
          </w:tcPr>
          <w:p w:rsidR="002B0C1F" w:rsidRPr="002751FC" w:rsidRDefault="002B0C1F" w:rsidP="00173968">
            <w:pPr>
              <w:tabs>
                <w:tab w:val="left" w:pos="426"/>
              </w:tabs>
              <w:jc w:val="both"/>
              <w:rPr>
                <w:rFonts w:asciiTheme="majorHAnsi" w:hAnsiTheme="majorHAnsi" w:cstheme="majorHAnsi"/>
                <w:b/>
                <w:sz w:val="18"/>
                <w:szCs w:val="18"/>
                <w:lang w:val="ro-MD"/>
              </w:rPr>
            </w:pPr>
          </w:p>
        </w:tc>
        <w:tc>
          <w:tcPr>
            <w:tcW w:w="2977" w:type="dxa"/>
            <w:vMerge/>
            <w:shd w:val="clear" w:color="auto" w:fill="DEEAF6" w:themeFill="accent1" w:themeFillTint="33"/>
          </w:tcPr>
          <w:p w:rsidR="002B0C1F" w:rsidRPr="002751FC" w:rsidRDefault="002B0C1F" w:rsidP="00173968">
            <w:pPr>
              <w:tabs>
                <w:tab w:val="left" w:pos="426"/>
              </w:tabs>
              <w:jc w:val="both"/>
              <w:rPr>
                <w:rFonts w:asciiTheme="majorHAnsi" w:hAnsiTheme="majorHAnsi" w:cstheme="majorHAnsi"/>
                <w:b/>
                <w:sz w:val="18"/>
                <w:szCs w:val="18"/>
                <w:lang w:val="ro-MD"/>
              </w:rPr>
            </w:pPr>
          </w:p>
        </w:tc>
        <w:tc>
          <w:tcPr>
            <w:tcW w:w="567" w:type="dxa"/>
            <w:shd w:val="clear" w:color="auto" w:fill="DEEAF6" w:themeFill="accent1" w:themeFillTint="33"/>
            <w:textDirection w:val="btLr"/>
          </w:tcPr>
          <w:p w:rsidR="002B0C1F" w:rsidRPr="002751FC" w:rsidRDefault="002B0C1F" w:rsidP="00173968">
            <w:pPr>
              <w:tabs>
                <w:tab w:val="left" w:pos="426"/>
              </w:tabs>
              <w:ind w:left="113" w:right="113"/>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Nr. masuri</w:t>
            </w:r>
          </w:p>
        </w:tc>
        <w:tc>
          <w:tcPr>
            <w:tcW w:w="709" w:type="dxa"/>
            <w:shd w:val="clear" w:color="auto" w:fill="DEEAF6" w:themeFill="accent1" w:themeFillTint="33"/>
            <w:textDirection w:val="btLr"/>
          </w:tcPr>
          <w:p w:rsidR="002B0C1F" w:rsidRPr="002751FC" w:rsidRDefault="002B0C1F" w:rsidP="00173968">
            <w:pPr>
              <w:tabs>
                <w:tab w:val="left" w:pos="426"/>
              </w:tabs>
              <w:ind w:left="113" w:right="113"/>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Nr. subm</w:t>
            </w:r>
            <w:r w:rsidR="00111F13" w:rsidRPr="002751FC">
              <w:rPr>
                <w:rFonts w:asciiTheme="majorHAnsi" w:hAnsiTheme="majorHAnsi" w:cstheme="majorHAnsi"/>
                <w:b/>
                <w:sz w:val="18"/>
                <w:szCs w:val="18"/>
                <w:lang w:val="ro-MD"/>
              </w:rPr>
              <w:t>ă</w:t>
            </w:r>
            <w:r w:rsidRPr="002751FC">
              <w:rPr>
                <w:rFonts w:asciiTheme="majorHAnsi" w:hAnsiTheme="majorHAnsi" w:cstheme="majorHAnsi"/>
                <w:b/>
                <w:sz w:val="18"/>
                <w:szCs w:val="18"/>
                <w:lang w:val="ro-MD"/>
              </w:rPr>
              <w:t>suri</w:t>
            </w:r>
          </w:p>
        </w:tc>
        <w:tc>
          <w:tcPr>
            <w:tcW w:w="709" w:type="dxa"/>
            <w:shd w:val="clear" w:color="auto" w:fill="DEEAF6" w:themeFill="accent1" w:themeFillTint="33"/>
            <w:textDirection w:val="btLr"/>
          </w:tcPr>
          <w:p w:rsidR="002B0C1F" w:rsidRPr="002751FC" w:rsidRDefault="002B0C1F" w:rsidP="00173968">
            <w:pPr>
              <w:tabs>
                <w:tab w:val="left" w:pos="426"/>
              </w:tabs>
              <w:ind w:left="113" w:right="113"/>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suma</w:t>
            </w:r>
          </w:p>
        </w:tc>
        <w:tc>
          <w:tcPr>
            <w:tcW w:w="708" w:type="dxa"/>
            <w:shd w:val="clear" w:color="auto" w:fill="DEEAF6" w:themeFill="accent1" w:themeFillTint="33"/>
            <w:textDirection w:val="btLr"/>
          </w:tcPr>
          <w:p w:rsidR="002B0C1F" w:rsidRPr="002751FC" w:rsidRDefault="002B0C1F" w:rsidP="00173968">
            <w:pPr>
              <w:tabs>
                <w:tab w:val="left" w:pos="426"/>
              </w:tabs>
              <w:ind w:left="113" w:right="113"/>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Nr. subm</w:t>
            </w:r>
            <w:r w:rsidR="00111F13" w:rsidRPr="002751FC">
              <w:rPr>
                <w:rFonts w:asciiTheme="majorHAnsi" w:hAnsiTheme="majorHAnsi" w:cstheme="majorHAnsi"/>
                <w:b/>
                <w:sz w:val="18"/>
                <w:szCs w:val="18"/>
                <w:lang w:val="ro-MD"/>
              </w:rPr>
              <w:t>ă</w:t>
            </w:r>
            <w:r w:rsidRPr="002751FC">
              <w:rPr>
                <w:rFonts w:asciiTheme="majorHAnsi" w:hAnsiTheme="majorHAnsi" w:cstheme="majorHAnsi"/>
                <w:b/>
                <w:sz w:val="18"/>
                <w:szCs w:val="18"/>
                <w:lang w:val="ro-MD"/>
              </w:rPr>
              <w:t>suri</w:t>
            </w:r>
          </w:p>
        </w:tc>
        <w:tc>
          <w:tcPr>
            <w:tcW w:w="709" w:type="dxa"/>
            <w:shd w:val="clear" w:color="auto" w:fill="DEEAF6" w:themeFill="accent1" w:themeFillTint="33"/>
            <w:textDirection w:val="btLr"/>
          </w:tcPr>
          <w:p w:rsidR="002B0C1F" w:rsidRPr="002751FC" w:rsidRDefault="002B0C1F" w:rsidP="00173968">
            <w:pPr>
              <w:tabs>
                <w:tab w:val="left" w:pos="426"/>
              </w:tabs>
              <w:ind w:left="113" w:right="113"/>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suma</w:t>
            </w:r>
          </w:p>
        </w:tc>
        <w:tc>
          <w:tcPr>
            <w:tcW w:w="851" w:type="dxa"/>
            <w:shd w:val="clear" w:color="auto" w:fill="DEEAF6" w:themeFill="accent1" w:themeFillTint="33"/>
            <w:textDirection w:val="btLr"/>
          </w:tcPr>
          <w:p w:rsidR="002B0C1F" w:rsidRPr="002751FC" w:rsidRDefault="002B0C1F" w:rsidP="00173968">
            <w:pPr>
              <w:tabs>
                <w:tab w:val="left" w:pos="426"/>
              </w:tabs>
              <w:ind w:left="113" w:right="113"/>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Nr. submăsuri</w:t>
            </w:r>
          </w:p>
        </w:tc>
        <w:tc>
          <w:tcPr>
            <w:tcW w:w="567" w:type="dxa"/>
            <w:shd w:val="clear" w:color="auto" w:fill="DEEAF6" w:themeFill="accent1" w:themeFillTint="33"/>
            <w:textDirection w:val="btLr"/>
          </w:tcPr>
          <w:p w:rsidR="002B0C1F" w:rsidRPr="002751FC" w:rsidRDefault="002B0C1F" w:rsidP="00173968">
            <w:pPr>
              <w:tabs>
                <w:tab w:val="left" w:pos="426"/>
              </w:tabs>
              <w:ind w:left="113" w:right="113"/>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suma</w:t>
            </w:r>
          </w:p>
        </w:tc>
        <w:tc>
          <w:tcPr>
            <w:tcW w:w="708" w:type="dxa"/>
            <w:shd w:val="clear" w:color="auto" w:fill="DEEAF6" w:themeFill="accent1" w:themeFillTint="33"/>
            <w:textDirection w:val="btLr"/>
          </w:tcPr>
          <w:p w:rsidR="002B0C1F" w:rsidRPr="002751FC" w:rsidRDefault="002B0C1F" w:rsidP="00173968">
            <w:pPr>
              <w:tabs>
                <w:tab w:val="left" w:pos="426"/>
              </w:tabs>
              <w:ind w:left="113" w:right="113"/>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Nr. submăsuri</w:t>
            </w:r>
          </w:p>
        </w:tc>
        <w:tc>
          <w:tcPr>
            <w:tcW w:w="607" w:type="dxa"/>
            <w:shd w:val="clear" w:color="auto" w:fill="DEEAF6" w:themeFill="accent1" w:themeFillTint="33"/>
            <w:textDirection w:val="btLr"/>
          </w:tcPr>
          <w:p w:rsidR="002B0C1F" w:rsidRPr="002751FC" w:rsidRDefault="002B0C1F" w:rsidP="00173968">
            <w:pPr>
              <w:tabs>
                <w:tab w:val="left" w:pos="426"/>
              </w:tabs>
              <w:ind w:left="113" w:right="113"/>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suma</w:t>
            </w:r>
          </w:p>
        </w:tc>
      </w:tr>
      <w:tr w:rsidR="002B0C1F" w:rsidRPr="002751FC" w:rsidTr="008E6A80">
        <w:trPr>
          <w:trHeight w:val="286"/>
        </w:trPr>
        <w:tc>
          <w:tcPr>
            <w:tcW w:w="562"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w:t>
            </w:r>
          </w:p>
        </w:tc>
        <w:tc>
          <w:tcPr>
            <w:tcW w:w="2977"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Proiectul „</w:t>
            </w:r>
            <w:proofErr w:type="spellStart"/>
            <w:r w:rsidRPr="002751FC">
              <w:rPr>
                <w:rFonts w:asciiTheme="majorHAnsi" w:hAnsiTheme="majorHAnsi" w:cstheme="majorHAnsi"/>
                <w:sz w:val="18"/>
                <w:szCs w:val="18"/>
                <w:lang w:val="ro-MD"/>
              </w:rPr>
              <w:t>FlaveDor</w:t>
            </w:r>
            <w:proofErr w:type="spellEnd"/>
            <w:r w:rsidRPr="002751FC">
              <w:rPr>
                <w:rFonts w:asciiTheme="majorHAnsi" w:hAnsiTheme="majorHAnsi" w:cstheme="majorHAnsi"/>
                <w:sz w:val="18"/>
                <w:szCs w:val="18"/>
                <w:lang w:val="ro-MD"/>
              </w:rPr>
              <w:t xml:space="preserve">”: </w:t>
            </w:r>
            <w:r w:rsidR="00E00181" w:rsidRPr="002751FC">
              <w:rPr>
                <w:rFonts w:asciiTheme="majorHAnsi" w:hAnsiTheme="majorHAnsi" w:cstheme="majorHAnsi"/>
                <w:sz w:val="18"/>
                <w:szCs w:val="18"/>
                <w:lang w:val="ro-MD"/>
              </w:rPr>
              <w:t xml:space="preserve">inspectarea plantațiilor vinicole privind afectarea de către maladiile fitoplasmatice </w:t>
            </w:r>
            <w:r w:rsidRPr="002751FC">
              <w:rPr>
                <w:rFonts w:asciiTheme="majorHAnsi" w:hAnsiTheme="majorHAnsi" w:cstheme="majorHAnsi"/>
                <w:sz w:val="18"/>
                <w:szCs w:val="18"/>
                <w:lang w:val="ro-MD"/>
              </w:rPr>
              <w:t>- evaluare, profilaxie, combatere</w:t>
            </w:r>
          </w:p>
        </w:tc>
        <w:tc>
          <w:tcPr>
            <w:tcW w:w="567"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11</w:t>
            </w:r>
          </w:p>
        </w:tc>
        <w:tc>
          <w:tcPr>
            <w:tcW w:w="709"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36</w:t>
            </w:r>
          </w:p>
        </w:tc>
        <w:tc>
          <w:tcPr>
            <w:tcW w:w="709"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1,7</w:t>
            </w:r>
          </w:p>
        </w:tc>
        <w:tc>
          <w:tcPr>
            <w:tcW w:w="708"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10</w:t>
            </w:r>
          </w:p>
        </w:tc>
        <w:tc>
          <w:tcPr>
            <w:tcW w:w="709"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1,4</w:t>
            </w:r>
          </w:p>
        </w:tc>
        <w:tc>
          <w:tcPr>
            <w:tcW w:w="851"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19</w:t>
            </w:r>
          </w:p>
        </w:tc>
        <w:tc>
          <w:tcPr>
            <w:tcW w:w="567"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0,3</w:t>
            </w:r>
          </w:p>
        </w:tc>
        <w:tc>
          <w:tcPr>
            <w:tcW w:w="708"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3</w:t>
            </w:r>
          </w:p>
        </w:tc>
        <w:tc>
          <w:tcPr>
            <w:tcW w:w="607"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0,1</w:t>
            </w:r>
          </w:p>
        </w:tc>
      </w:tr>
      <w:tr w:rsidR="002B0C1F" w:rsidRPr="002751FC" w:rsidTr="008E6A80">
        <w:trPr>
          <w:trHeight w:val="279"/>
        </w:trPr>
        <w:tc>
          <w:tcPr>
            <w:tcW w:w="562"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2.</w:t>
            </w:r>
          </w:p>
        </w:tc>
        <w:tc>
          <w:tcPr>
            <w:tcW w:w="2977"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Proiectul „Struguri de calitate”</w:t>
            </w:r>
          </w:p>
        </w:tc>
        <w:tc>
          <w:tcPr>
            <w:tcW w:w="567"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12</w:t>
            </w:r>
          </w:p>
        </w:tc>
        <w:tc>
          <w:tcPr>
            <w:tcW w:w="709"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42</w:t>
            </w:r>
          </w:p>
        </w:tc>
        <w:tc>
          <w:tcPr>
            <w:tcW w:w="709"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1,3</w:t>
            </w:r>
          </w:p>
        </w:tc>
        <w:tc>
          <w:tcPr>
            <w:tcW w:w="708"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3</w:t>
            </w:r>
          </w:p>
        </w:tc>
        <w:tc>
          <w:tcPr>
            <w:tcW w:w="709"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0,03</w:t>
            </w:r>
          </w:p>
        </w:tc>
        <w:tc>
          <w:tcPr>
            <w:tcW w:w="851"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11</w:t>
            </w:r>
          </w:p>
        </w:tc>
        <w:tc>
          <w:tcPr>
            <w:tcW w:w="567"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0,2</w:t>
            </w:r>
          </w:p>
        </w:tc>
        <w:tc>
          <w:tcPr>
            <w:tcW w:w="708"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5</w:t>
            </w:r>
          </w:p>
        </w:tc>
        <w:tc>
          <w:tcPr>
            <w:tcW w:w="607"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0,09</w:t>
            </w:r>
          </w:p>
        </w:tc>
      </w:tr>
      <w:tr w:rsidR="002B0C1F" w:rsidRPr="002751FC" w:rsidTr="008E6A80">
        <w:trPr>
          <w:trHeight w:val="279"/>
        </w:trPr>
        <w:tc>
          <w:tcPr>
            <w:tcW w:w="562"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3</w:t>
            </w:r>
          </w:p>
        </w:tc>
        <w:tc>
          <w:tcPr>
            <w:tcW w:w="2977"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Proiectul „Academia vitivinicolă”</w:t>
            </w:r>
          </w:p>
        </w:tc>
        <w:tc>
          <w:tcPr>
            <w:tcW w:w="567"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10</w:t>
            </w:r>
          </w:p>
        </w:tc>
        <w:tc>
          <w:tcPr>
            <w:tcW w:w="709"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49</w:t>
            </w:r>
          </w:p>
        </w:tc>
        <w:tc>
          <w:tcPr>
            <w:tcW w:w="709"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0,7</w:t>
            </w:r>
          </w:p>
        </w:tc>
        <w:tc>
          <w:tcPr>
            <w:tcW w:w="708"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15</w:t>
            </w:r>
          </w:p>
        </w:tc>
        <w:tc>
          <w:tcPr>
            <w:tcW w:w="709"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0,3</w:t>
            </w:r>
          </w:p>
        </w:tc>
        <w:tc>
          <w:tcPr>
            <w:tcW w:w="851"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11</w:t>
            </w:r>
          </w:p>
        </w:tc>
        <w:tc>
          <w:tcPr>
            <w:tcW w:w="567"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0,12</w:t>
            </w:r>
          </w:p>
        </w:tc>
        <w:tc>
          <w:tcPr>
            <w:tcW w:w="708"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4</w:t>
            </w:r>
          </w:p>
        </w:tc>
        <w:tc>
          <w:tcPr>
            <w:tcW w:w="607" w:type="dxa"/>
          </w:tcPr>
          <w:p w:rsidR="002B0C1F" w:rsidRPr="002751FC" w:rsidRDefault="002B0C1F" w:rsidP="00173968">
            <w:pPr>
              <w:tabs>
                <w:tab w:val="left" w:pos="426"/>
              </w:tabs>
              <w:jc w:val="both"/>
              <w:rPr>
                <w:rFonts w:asciiTheme="majorHAnsi" w:hAnsiTheme="majorHAnsi" w:cstheme="majorHAnsi"/>
                <w:sz w:val="18"/>
                <w:szCs w:val="18"/>
                <w:lang w:val="ro-MD"/>
              </w:rPr>
            </w:pPr>
            <w:r w:rsidRPr="002751FC">
              <w:rPr>
                <w:rFonts w:asciiTheme="majorHAnsi" w:hAnsiTheme="majorHAnsi" w:cstheme="majorHAnsi"/>
                <w:sz w:val="18"/>
                <w:szCs w:val="18"/>
                <w:lang w:val="ro-MD"/>
              </w:rPr>
              <w:t>0,02</w:t>
            </w:r>
          </w:p>
        </w:tc>
      </w:tr>
      <w:tr w:rsidR="00CE36DA" w:rsidRPr="002751FC" w:rsidTr="004E7FF5">
        <w:trPr>
          <w:trHeight w:val="279"/>
        </w:trPr>
        <w:tc>
          <w:tcPr>
            <w:tcW w:w="3539" w:type="dxa"/>
            <w:gridSpan w:val="2"/>
            <w:shd w:val="clear" w:color="auto" w:fill="DEEAF6" w:themeFill="accent1" w:themeFillTint="33"/>
          </w:tcPr>
          <w:p w:rsidR="00CE36DA" w:rsidRPr="002751FC" w:rsidRDefault="00CE36DA"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Total</w:t>
            </w:r>
          </w:p>
        </w:tc>
        <w:tc>
          <w:tcPr>
            <w:tcW w:w="567" w:type="dxa"/>
            <w:shd w:val="clear" w:color="auto" w:fill="DEEAF6" w:themeFill="accent1" w:themeFillTint="33"/>
          </w:tcPr>
          <w:p w:rsidR="00CE36DA" w:rsidRPr="002751FC" w:rsidRDefault="00CE36DA"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23</w:t>
            </w:r>
          </w:p>
        </w:tc>
        <w:tc>
          <w:tcPr>
            <w:tcW w:w="709" w:type="dxa"/>
            <w:shd w:val="clear" w:color="auto" w:fill="DEEAF6" w:themeFill="accent1" w:themeFillTint="33"/>
          </w:tcPr>
          <w:p w:rsidR="00CE36DA" w:rsidRPr="002751FC" w:rsidRDefault="00CE36DA"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127</w:t>
            </w:r>
          </w:p>
        </w:tc>
        <w:tc>
          <w:tcPr>
            <w:tcW w:w="709" w:type="dxa"/>
            <w:shd w:val="clear" w:color="auto" w:fill="DEEAF6" w:themeFill="accent1" w:themeFillTint="33"/>
          </w:tcPr>
          <w:p w:rsidR="00CE36DA" w:rsidRPr="002751FC" w:rsidRDefault="00CE36DA"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3,7</w:t>
            </w:r>
          </w:p>
        </w:tc>
        <w:tc>
          <w:tcPr>
            <w:tcW w:w="708" w:type="dxa"/>
            <w:shd w:val="clear" w:color="auto" w:fill="DEEAF6" w:themeFill="accent1" w:themeFillTint="33"/>
          </w:tcPr>
          <w:p w:rsidR="00CE36DA" w:rsidRPr="002751FC" w:rsidRDefault="00CE36DA"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28</w:t>
            </w:r>
          </w:p>
        </w:tc>
        <w:tc>
          <w:tcPr>
            <w:tcW w:w="709" w:type="dxa"/>
            <w:shd w:val="clear" w:color="auto" w:fill="DEEAF6" w:themeFill="accent1" w:themeFillTint="33"/>
          </w:tcPr>
          <w:p w:rsidR="00CE36DA" w:rsidRPr="002751FC" w:rsidRDefault="00CE36DA"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1,73</w:t>
            </w:r>
          </w:p>
        </w:tc>
        <w:tc>
          <w:tcPr>
            <w:tcW w:w="851" w:type="dxa"/>
            <w:shd w:val="clear" w:color="auto" w:fill="DEEAF6" w:themeFill="accent1" w:themeFillTint="33"/>
          </w:tcPr>
          <w:p w:rsidR="00CE36DA" w:rsidRPr="002751FC" w:rsidRDefault="00CE36DA"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41</w:t>
            </w:r>
          </w:p>
        </w:tc>
        <w:tc>
          <w:tcPr>
            <w:tcW w:w="567" w:type="dxa"/>
            <w:shd w:val="clear" w:color="auto" w:fill="DEEAF6" w:themeFill="accent1" w:themeFillTint="33"/>
          </w:tcPr>
          <w:p w:rsidR="00CE36DA" w:rsidRPr="002751FC" w:rsidRDefault="00CE36DA"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0,62</w:t>
            </w:r>
          </w:p>
        </w:tc>
        <w:tc>
          <w:tcPr>
            <w:tcW w:w="708" w:type="dxa"/>
            <w:shd w:val="clear" w:color="auto" w:fill="DEEAF6" w:themeFill="accent1" w:themeFillTint="33"/>
          </w:tcPr>
          <w:p w:rsidR="00CE36DA" w:rsidRPr="002751FC" w:rsidRDefault="00CE36DA"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12</w:t>
            </w:r>
          </w:p>
        </w:tc>
        <w:tc>
          <w:tcPr>
            <w:tcW w:w="607" w:type="dxa"/>
            <w:shd w:val="clear" w:color="auto" w:fill="DEEAF6" w:themeFill="accent1" w:themeFillTint="33"/>
          </w:tcPr>
          <w:p w:rsidR="00CE36DA" w:rsidRPr="002751FC" w:rsidRDefault="00CE36DA" w:rsidP="00173968">
            <w:pPr>
              <w:tabs>
                <w:tab w:val="left" w:pos="426"/>
              </w:tabs>
              <w:jc w:val="both"/>
              <w:rPr>
                <w:rFonts w:asciiTheme="majorHAnsi" w:hAnsiTheme="majorHAnsi" w:cstheme="majorHAnsi"/>
                <w:b/>
                <w:sz w:val="18"/>
                <w:szCs w:val="18"/>
                <w:lang w:val="ro-MD"/>
              </w:rPr>
            </w:pPr>
            <w:r w:rsidRPr="002751FC">
              <w:rPr>
                <w:rFonts w:asciiTheme="majorHAnsi" w:hAnsiTheme="majorHAnsi" w:cstheme="majorHAnsi"/>
                <w:b/>
                <w:sz w:val="18"/>
                <w:szCs w:val="18"/>
                <w:lang w:val="ro-MD"/>
              </w:rPr>
              <w:t>0,21</w:t>
            </w:r>
          </w:p>
        </w:tc>
      </w:tr>
    </w:tbl>
    <w:p w:rsidR="002B0C1F" w:rsidRPr="002751FC" w:rsidRDefault="002B0C1F" w:rsidP="002B0C1F">
      <w:pPr>
        <w:tabs>
          <w:tab w:val="left" w:pos="426"/>
        </w:tabs>
        <w:ind w:firstLine="284"/>
        <w:jc w:val="both"/>
        <w:rPr>
          <w:rFonts w:asciiTheme="majorHAnsi" w:hAnsiTheme="majorHAnsi" w:cstheme="majorHAnsi"/>
          <w:b/>
          <w:sz w:val="20"/>
          <w:szCs w:val="20"/>
          <w:lang w:val="ro-MD"/>
        </w:rPr>
      </w:pPr>
      <w:r w:rsidRPr="002751FC">
        <w:rPr>
          <w:rFonts w:asciiTheme="majorHAnsi" w:hAnsiTheme="majorHAnsi" w:cstheme="majorHAnsi"/>
          <w:b/>
          <w:sz w:val="20"/>
          <w:szCs w:val="20"/>
          <w:lang w:val="ro-MD"/>
        </w:rPr>
        <w:t xml:space="preserve">Sursa: </w:t>
      </w:r>
      <w:r w:rsidRPr="002751FC">
        <w:rPr>
          <w:rFonts w:asciiTheme="majorHAnsi" w:hAnsiTheme="majorHAnsi" w:cstheme="majorHAnsi"/>
          <w:sz w:val="20"/>
          <w:szCs w:val="20"/>
          <w:lang w:val="ro-MD"/>
        </w:rPr>
        <w:t>Da</w:t>
      </w:r>
      <w:r w:rsidR="00E00181" w:rsidRPr="002751FC">
        <w:rPr>
          <w:rFonts w:asciiTheme="majorHAnsi" w:hAnsiTheme="majorHAnsi" w:cstheme="majorHAnsi"/>
          <w:sz w:val="20"/>
          <w:szCs w:val="20"/>
          <w:lang w:val="ro-MD"/>
        </w:rPr>
        <w:t>t</w:t>
      </w:r>
      <w:r w:rsidRPr="002751FC">
        <w:rPr>
          <w:rFonts w:asciiTheme="majorHAnsi" w:hAnsiTheme="majorHAnsi" w:cstheme="majorHAnsi"/>
          <w:sz w:val="20"/>
          <w:szCs w:val="20"/>
          <w:lang w:val="ro-MD"/>
        </w:rPr>
        <w:t>ele ONVV.</w:t>
      </w:r>
    </w:p>
    <w:p w:rsidR="002B0C1F" w:rsidRPr="002751FC" w:rsidRDefault="002B0C1F" w:rsidP="001856E1">
      <w:pPr>
        <w:tabs>
          <w:tab w:val="left" w:pos="426"/>
        </w:tabs>
        <w:spacing w:after="0" w:line="240" w:lineRule="auto"/>
        <w:ind w:firstLine="284"/>
        <w:jc w:val="right"/>
        <w:rPr>
          <w:rFonts w:asciiTheme="majorHAnsi" w:hAnsiTheme="majorHAnsi" w:cstheme="majorHAnsi"/>
          <w:lang w:val="ro-MD"/>
        </w:rPr>
      </w:pPr>
    </w:p>
    <w:p w:rsidR="002B0C1F" w:rsidRPr="002751FC" w:rsidRDefault="002B0C1F" w:rsidP="001856E1">
      <w:pPr>
        <w:pStyle w:val="1"/>
        <w:spacing w:before="0" w:line="240" w:lineRule="auto"/>
        <w:jc w:val="right"/>
        <w:rPr>
          <w:rFonts w:cstheme="majorHAnsi"/>
          <w:b/>
          <w:color w:val="auto"/>
          <w:sz w:val="28"/>
          <w:szCs w:val="28"/>
          <w:lang w:val="ro-MD"/>
        </w:rPr>
      </w:pPr>
      <w:bookmarkStart w:id="93" w:name="_Toc23259141"/>
      <w:r w:rsidRPr="002751FC">
        <w:rPr>
          <w:rFonts w:cstheme="majorHAnsi"/>
          <w:b/>
          <w:color w:val="auto"/>
          <w:sz w:val="28"/>
          <w:szCs w:val="28"/>
          <w:lang w:val="ro-MD"/>
        </w:rPr>
        <w:t>Anexa nr.8</w:t>
      </w:r>
      <w:bookmarkEnd w:id="93"/>
    </w:p>
    <w:p w:rsidR="002B0C1F" w:rsidRPr="002751FC" w:rsidRDefault="002B0C1F" w:rsidP="001856E1">
      <w:pPr>
        <w:spacing w:after="0" w:line="240" w:lineRule="auto"/>
        <w:jc w:val="both"/>
        <w:rPr>
          <w:rFonts w:asciiTheme="majorHAnsi" w:hAnsiTheme="majorHAnsi" w:cstheme="majorHAnsi"/>
          <w:b/>
          <w:sz w:val="28"/>
          <w:szCs w:val="28"/>
          <w:lang w:val="ro-MD"/>
        </w:rPr>
      </w:pPr>
    </w:p>
    <w:p w:rsidR="002B0C1F" w:rsidRPr="002751FC" w:rsidRDefault="002B0C1F" w:rsidP="001856E1">
      <w:pPr>
        <w:pStyle w:val="1"/>
        <w:spacing w:before="0" w:line="240" w:lineRule="auto"/>
        <w:jc w:val="both"/>
        <w:rPr>
          <w:rFonts w:eastAsia="Times New Roman" w:cstheme="majorHAnsi"/>
          <w:b/>
          <w:bCs/>
          <w:color w:val="auto"/>
          <w:sz w:val="28"/>
          <w:szCs w:val="28"/>
          <w:lang w:val="ro-MD"/>
        </w:rPr>
      </w:pPr>
      <w:bookmarkStart w:id="94" w:name="_Toc23259142"/>
      <w:r w:rsidRPr="002751FC">
        <w:rPr>
          <w:rFonts w:eastAsia="Times New Roman" w:cstheme="majorHAnsi"/>
          <w:b/>
          <w:bCs/>
          <w:color w:val="auto"/>
          <w:sz w:val="28"/>
          <w:szCs w:val="28"/>
          <w:lang w:val="ro-MD" w:eastAsia="ru-RU"/>
        </w:rPr>
        <w:t>Extras din Lege</w:t>
      </w:r>
      <w:r w:rsidR="00C95EAC" w:rsidRPr="002751FC">
        <w:rPr>
          <w:rFonts w:eastAsia="Times New Roman" w:cstheme="majorHAnsi"/>
          <w:b/>
          <w:bCs/>
          <w:color w:val="auto"/>
          <w:sz w:val="28"/>
          <w:szCs w:val="28"/>
          <w:lang w:val="ro-MD" w:eastAsia="ru-RU"/>
        </w:rPr>
        <w:t>a</w:t>
      </w:r>
      <w:r w:rsidR="00C95EAC" w:rsidRPr="002751FC">
        <w:rPr>
          <w:rFonts w:eastAsia="Times New Roman" w:cstheme="majorHAnsi"/>
          <w:b/>
          <w:bCs/>
          <w:color w:val="auto"/>
          <w:sz w:val="28"/>
          <w:szCs w:val="28"/>
          <w:lang w:val="ro-MD"/>
        </w:rPr>
        <w:t xml:space="preserve"> nr.227 </w:t>
      </w:r>
      <w:r w:rsidRPr="002751FC">
        <w:rPr>
          <w:rFonts w:eastAsia="Times New Roman" w:cstheme="majorHAnsi"/>
          <w:b/>
          <w:bCs/>
          <w:color w:val="auto"/>
          <w:sz w:val="28"/>
          <w:szCs w:val="28"/>
          <w:lang w:val="ro-MD"/>
        </w:rPr>
        <w:t>din 10.12.2015 cu privire la plata de către producătorii de produse vitivinicole</w:t>
      </w:r>
      <w:r w:rsidRPr="002751FC">
        <w:rPr>
          <w:rFonts w:cstheme="majorHAnsi"/>
          <w:color w:val="auto"/>
          <w:sz w:val="28"/>
          <w:szCs w:val="28"/>
          <w:lang w:val="ro-MD"/>
        </w:rPr>
        <w:t xml:space="preserve"> </w:t>
      </w:r>
      <w:r w:rsidRPr="002751FC">
        <w:rPr>
          <w:rFonts w:eastAsia="Times New Roman" w:cstheme="majorHAnsi"/>
          <w:b/>
          <w:bCs/>
          <w:color w:val="auto"/>
          <w:sz w:val="28"/>
          <w:szCs w:val="28"/>
          <w:lang w:val="ro-MD"/>
        </w:rPr>
        <w:t xml:space="preserve">a </w:t>
      </w:r>
      <w:r w:rsidR="00C95EAC" w:rsidRPr="002751FC">
        <w:rPr>
          <w:rFonts w:eastAsia="Times New Roman" w:cstheme="majorHAnsi"/>
          <w:b/>
          <w:bCs/>
          <w:color w:val="auto"/>
          <w:sz w:val="28"/>
          <w:szCs w:val="28"/>
          <w:lang w:val="ro-MD"/>
        </w:rPr>
        <w:t>contribuțiilor</w:t>
      </w:r>
      <w:r w:rsidRPr="002751FC">
        <w:rPr>
          <w:rFonts w:eastAsia="Times New Roman" w:cstheme="majorHAnsi"/>
          <w:b/>
          <w:bCs/>
          <w:color w:val="auto"/>
          <w:sz w:val="28"/>
          <w:szCs w:val="28"/>
          <w:lang w:val="ro-MD"/>
        </w:rPr>
        <w:t xml:space="preserve"> obligatorii în Fondul Viei şi Vinului</w:t>
      </w:r>
      <w:bookmarkEnd w:id="94"/>
    </w:p>
    <w:p w:rsidR="002B0C1F" w:rsidRPr="002751FC" w:rsidRDefault="002B0C1F" w:rsidP="001856E1">
      <w:pPr>
        <w:spacing w:after="0" w:line="240" w:lineRule="auto"/>
        <w:ind w:firstLine="567"/>
        <w:jc w:val="both"/>
        <w:rPr>
          <w:rFonts w:asciiTheme="majorHAnsi" w:eastAsia="Times New Roman" w:hAnsiTheme="majorHAnsi" w:cstheme="majorHAnsi"/>
          <w:b/>
          <w:bCs/>
          <w:sz w:val="28"/>
          <w:szCs w:val="28"/>
          <w:lang w:val="ro-MD"/>
        </w:rPr>
      </w:pPr>
    </w:p>
    <w:p w:rsidR="00111F13" w:rsidRPr="002751FC" w:rsidRDefault="002B0C1F" w:rsidP="001856E1">
      <w:pPr>
        <w:spacing w:after="0" w:line="240" w:lineRule="auto"/>
        <w:ind w:firstLine="567"/>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b/>
          <w:bCs/>
          <w:sz w:val="28"/>
          <w:szCs w:val="28"/>
          <w:lang w:val="ro-MD"/>
        </w:rPr>
        <w:t xml:space="preserve">Art.1. </w:t>
      </w:r>
      <w:r w:rsidRPr="002751FC">
        <w:rPr>
          <w:rFonts w:asciiTheme="majorHAnsi" w:eastAsia="Times New Roman" w:hAnsiTheme="majorHAnsi" w:cstheme="majorHAnsi"/>
          <w:sz w:val="28"/>
          <w:szCs w:val="28"/>
          <w:lang w:val="ro-MD"/>
        </w:rPr>
        <w:t>– Prin derogare de la prevederile art.32</w:t>
      </w:r>
      <w:r w:rsidRPr="002751FC">
        <w:rPr>
          <w:rFonts w:asciiTheme="majorHAnsi" w:eastAsia="Times New Roman" w:hAnsiTheme="majorHAnsi" w:cstheme="majorHAnsi"/>
          <w:sz w:val="28"/>
          <w:szCs w:val="28"/>
          <w:vertAlign w:val="superscript"/>
          <w:lang w:val="ro-MD"/>
        </w:rPr>
        <w:t xml:space="preserve">3 </w:t>
      </w:r>
      <w:r w:rsidRPr="002751FC">
        <w:rPr>
          <w:rFonts w:asciiTheme="majorHAnsi" w:eastAsia="Times New Roman" w:hAnsiTheme="majorHAnsi" w:cstheme="majorHAnsi"/>
          <w:sz w:val="28"/>
          <w:szCs w:val="28"/>
          <w:lang w:val="ro-MD"/>
        </w:rPr>
        <w:t xml:space="preserve">alin.(7) din Legea viei şi vinului nr.57-XVI din 10 martie 2006, </w:t>
      </w:r>
      <w:r w:rsidR="009154A8" w:rsidRPr="002751FC">
        <w:rPr>
          <w:rFonts w:asciiTheme="majorHAnsi" w:eastAsia="Times New Roman" w:hAnsiTheme="majorHAnsi" w:cstheme="majorHAnsi"/>
          <w:sz w:val="28"/>
          <w:szCs w:val="28"/>
          <w:lang w:val="ro-MD"/>
        </w:rPr>
        <w:t>contribuțiile</w:t>
      </w:r>
      <w:r w:rsidRPr="002751FC">
        <w:rPr>
          <w:rFonts w:asciiTheme="majorHAnsi" w:eastAsia="Times New Roman" w:hAnsiTheme="majorHAnsi" w:cstheme="majorHAnsi"/>
          <w:sz w:val="28"/>
          <w:szCs w:val="28"/>
          <w:lang w:val="ro-MD"/>
        </w:rPr>
        <w:t xml:space="preserve"> obligatorii pentru anul 2013 în Fondul Viei şi Vinului ale producătorilor de produse vitivinicole se trec în contul </w:t>
      </w:r>
      <w:r w:rsidR="009154A8" w:rsidRPr="002751FC">
        <w:rPr>
          <w:rFonts w:asciiTheme="majorHAnsi" w:eastAsia="Times New Roman" w:hAnsiTheme="majorHAnsi" w:cstheme="majorHAnsi"/>
          <w:sz w:val="28"/>
          <w:szCs w:val="28"/>
          <w:lang w:val="ro-MD"/>
        </w:rPr>
        <w:t>obligațiilor</w:t>
      </w:r>
      <w:r w:rsidRPr="002751FC">
        <w:rPr>
          <w:rFonts w:asciiTheme="majorHAnsi" w:eastAsia="Times New Roman" w:hAnsiTheme="majorHAnsi" w:cstheme="majorHAnsi"/>
          <w:sz w:val="28"/>
          <w:szCs w:val="28"/>
          <w:lang w:val="ro-MD"/>
        </w:rPr>
        <w:t xml:space="preserve"> de plată în fondul respectiv pentru anul 2015. </w:t>
      </w:r>
    </w:p>
    <w:p w:rsidR="002B0C1F" w:rsidRPr="002751FC" w:rsidRDefault="002B0C1F" w:rsidP="001856E1">
      <w:pPr>
        <w:spacing w:after="0" w:line="240" w:lineRule="auto"/>
        <w:ind w:firstLine="567"/>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b/>
          <w:bCs/>
          <w:sz w:val="28"/>
          <w:szCs w:val="28"/>
          <w:lang w:val="ro-MD"/>
        </w:rPr>
        <w:t xml:space="preserve">Art.2. </w:t>
      </w:r>
      <w:r w:rsidRPr="002751FC">
        <w:rPr>
          <w:rFonts w:asciiTheme="majorHAnsi" w:eastAsia="Times New Roman" w:hAnsiTheme="majorHAnsi" w:cstheme="majorHAnsi"/>
          <w:sz w:val="28"/>
          <w:szCs w:val="28"/>
          <w:lang w:val="ro-MD"/>
        </w:rPr>
        <w:t xml:space="preserve">– În cazurile în care </w:t>
      </w:r>
      <w:r w:rsidR="009154A8" w:rsidRPr="002751FC">
        <w:rPr>
          <w:rFonts w:asciiTheme="majorHAnsi" w:eastAsia="Times New Roman" w:hAnsiTheme="majorHAnsi" w:cstheme="majorHAnsi"/>
          <w:sz w:val="28"/>
          <w:szCs w:val="28"/>
          <w:lang w:val="ro-MD"/>
        </w:rPr>
        <w:t>obligațiile</w:t>
      </w:r>
      <w:r w:rsidRPr="002751FC">
        <w:rPr>
          <w:rFonts w:asciiTheme="majorHAnsi" w:eastAsia="Times New Roman" w:hAnsiTheme="majorHAnsi" w:cstheme="majorHAnsi"/>
          <w:sz w:val="28"/>
          <w:szCs w:val="28"/>
          <w:lang w:val="ro-MD"/>
        </w:rPr>
        <w:t xml:space="preserve"> de plată a </w:t>
      </w:r>
      <w:r w:rsidR="009154A8"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obligatorii pentru anul 2013 în Fondul Viei şi Vinului ale producătorilor de produse vitivinicole sunt mai mari </w:t>
      </w:r>
      <w:r w:rsidR="009154A8" w:rsidRPr="002751FC">
        <w:rPr>
          <w:rFonts w:asciiTheme="majorHAnsi" w:eastAsia="Times New Roman" w:hAnsiTheme="majorHAnsi" w:cstheme="majorHAnsi"/>
          <w:sz w:val="28"/>
          <w:szCs w:val="28"/>
          <w:lang w:val="ro-MD"/>
        </w:rPr>
        <w:t>decât</w:t>
      </w:r>
      <w:r w:rsidRPr="002751FC">
        <w:rPr>
          <w:rFonts w:asciiTheme="majorHAnsi" w:eastAsia="Times New Roman" w:hAnsiTheme="majorHAnsi" w:cstheme="majorHAnsi"/>
          <w:sz w:val="28"/>
          <w:szCs w:val="28"/>
          <w:lang w:val="ro-MD"/>
        </w:rPr>
        <w:t xml:space="preserve"> cele calculate pentru anul 2015, </w:t>
      </w:r>
      <w:r w:rsidR="009154A8" w:rsidRPr="002751FC">
        <w:rPr>
          <w:rFonts w:asciiTheme="majorHAnsi" w:eastAsia="Times New Roman" w:hAnsiTheme="majorHAnsi" w:cstheme="majorHAnsi"/>
          <w:sz w:val="28"/>
          <w:szCs w:val="28"/>
          <w:lang w:val="ro-MD"/>
        </w:rPr>
        <w:t>diferența</w:t>
      </w:r>
      <w:r w:rsidRPr="002751FC">
        <w:rPr>
          <w:rFonts w:asciiTheme="majorHAnsi" w:eastAsia="Times New Roman" w:hAnsiTheme="majorHAnsi" w:cstheme="majorHAnsi"/>
          <w:sz w:val="28"/>
          <w:szCs w:val="28"/>
          <w:lang w:val="ro-MD"/>
        </w:rPr>
        <w:t xml:space="preserve"> se trece în contul </w:t>
      </w:r>
      <w:r w:rsidR="009154A8" w:rsidRPr="002751FC">
        <w:rPr>
          <w:rFonts w:asciiTheme="majorHAnsi" w:eastAsia="Times New Roman" w:hAnsiTheme="majorHAnsi" w:cstheme="majorHAnsi"/>
          <w:sz w:val="28"/>
          <w:szCs w:val="28"/>
          <w:lang w:val="ro-MD"/>
        </w:rPr>
        <w:t>obligațiilor</w:t>
      </w:r>
      <w:r w:rsidRPr="002751FC">
        <w:rPr>
          <w:rFonts w:asciiTheme="majorHAnsi" w:eastAsia="Times New Roman" w:hAnsiTheme="majorHAnsi" w:cstheme="majorHAnsi"/>
          <w:sz w:val="28"/>
          <w:szCs w:val="28"/>
          <w:lang w:val="ro-MD"/>
        </w:rPr>
        <w:t xml:space="preserve"> de plată pentru anii următori.</w:t>
      </w:r>
      <w:r w:rsidR="00E033B9">
        <w:rPr>
          <w:rFonts w:asciiTheme="majorHAnsi" w:eastAsia="Times New Roman" w:hAnsiTheme="majorHAnsi" w:cstheme="majorHAnsi"/>
          <w:sz w:val="28"/>
          <w:szCs w:val="28"/>
          <w:lang w:val="ro-MD"/>
        </w:rPr>
        <w:t xml:space="preserve"> </w:t>
      </w:r>
    </w:p>
    <w:p w:rsidR="002B0C1F" w:rsidRPr="002751FC" w:rsidRDefault="002B0C1F" w:rsidP="001856E1">
      <w:pPr>
        <w:spacing w:after="0" w:line="240" w:lineRule="auto"/>
        <w:ind w:firstLine="567"/>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b/>
          <w:bCs/>
          <w:sz w:val="28"/>
          <w:szCs w:val="28"/>
          <w:lang w:val="ro-MD"/>
        </w:rPr>
        <w:t>Art.3.</w:t>
      </w:r>
      <w:r w:rsidRPr="002751FC">
        <w:rPr>
          <w:rFonts w:asciiTheme="majorHAnsi" w:eastAsia="Times New Roman" w:hAnsiTheme="majorHAnsi" w:cstheme="majorHAnsi"/>
          <w:sz w:val="28"/>
          <w:szCs w:val="28"/>
          <w:lang w:val="ro-MD"/>
        </w:rPr>
        <w:t xml:space="preserve"> – Pentru sumele datorate Fondului Viei şi Vinului în anii 2013–2014 sau pentru neachitarea în termen de către producătorii de produse vitivinicole, în anii respectivi, a </w:t>
      </w:r>
      <w:r w:rsidR="009154A8"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obligatorii în fondul nominalizat nu se calculează penalitate.</w:t>
      </w:r>
      <w:r w:rsidR="00E033B9">
        <w:rPr>
          <w:rFonts w:asciiTheme="majorHAnsi" w:eastAsia="Times New Roman" w:hAnsiTheme="majorHAnsi" w:cstheme="majorHAnsi"/>
          <w:sz w:val="28"/>
          <w:szCs w:val="28"/>
          <w:lang w:val="ro-MD"/>
        </w:rPr>
        <w:t xml:space="preserve"> </w:t>
      </w:r>
    </w:p>
    <w:p w:rsidR="002B0C1F" w:rsidRPr="002751FC" w:rsidRDefault="002B0C1F" w:rsidP="001856E1">
      <w:pPr>
        <w:spacing w:after="0" w:line="240" w:lineRule="auto"/>
        <w:ind w:firstLine="567"/>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b/>
          <w:bCs/>
          <w:sz w:val="28"/>
          <w:szCs w:val="28"/>
          <w:lang w:val="ro-MD"/>
        </w:rPr>
        <w:t>Art.4.</w:t>
      </w:r>
      <w:r w:rsidRPr="002751FC">
        <w:rPr>
          <w:rFonts w:asciiTheme="majorHAnsi" w:eastAsia="Times New Roman" w:hAnsiTheme="majorHAnsi" w:cstheme="majorHAnsi"/>
          <w:sz w:val="28"/>
          <w:szCs w:val="28"/>
          <w:lang w:val="ro-MD"/>
        </w:rPr>
        <w:t xml:space="preserve"> – </w:t>
      </w:r>
      <w:r w:rsidR="0060036F" w:rsidRPr="002751FC">
        <w:rPr>
          <w:rFonts w:asciiTheme="majorHAnsi" w:eastAsia="Times New Roman" w:hAnsiTheme="majorHAnsi" w:cstheme="majorHAnsi"/>
          <w:sz w:val="28"/>
          <w:szCs w:val="28"/>
          <w:lang w:val="ro-MD"/>
        </w:rPr>
        <w:t>Penalitățile</w:t>
      </w:r>
      <w:r w:rsidRPr="002751FC">
        <w:rPr>
          <w:rFonts w:asciiTheme="majorHAnsi" w:eastAsia="Times New Roman" w:hAnsiTheme="majorHAnsi" w:cstheme="majorHAnsi"/>
          <w:sz w:val="28"/>
          <w:szCs w:val="28"/>
          <w:lang w:val="ro-MD"/>
        </w:rPr>
        <w:t xml:space="preserve"> pentru neachitarea în termen a </w:t>
      </w:r>
      <w:r w:rsidR="009154A8"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obligatorii în Fondul Viei şi Vinului, transferate în anii 2013–2014 de către producătorii de produse vitivinicole în fondul respectiv, se trec în contul </w:t>
      </w:r>
      <w:r w:rsidR="009154A8" w:rsidRPr="002751FC">
        <w:rPr>
          <w:rFonts w:asciiTheme="majorHAnsi" w:eastAsia="Times New Roman" w:hAnsiTheme="majorHAnsi" w:cstheme="majorHAnsi"/>
          <w:sz w:val="28"/>
          <w:szCs w:val="28"/>
          <w:lang w:val="ro-MD"/>
        </w:rPr>
        <w:t>obligațiilor</w:t>
      </w:r>
      <w:r w:rsidRPr="002751FC">
        <w:rPr>
          <w:rFonts w:asciiTheme="majorHAnsi" w:eastAsia="Times New Roman" w:hAnsiTheme="majorHAnsi" w:cstheme="majorHAnsi"/>
          <w:sz w:val="28"/>
          <w:szCs w:val="28"/>
          <w:lang w:val="ro-MD"/>
        </w:rPr>
        <w:t xml:space="preserve"> de plată pentru anul 2015. </w:t>
      </w:r>
    </w:p>
    <w:p w:rsidR="002B0C1F" w:rsidRPr="002751FC" w:rsidRDefault="002B0C1F" w:rsidP="001856E1">
      <w:pPr>
        <w:spacing w:after="0" w:line="240" w:lineRule="auto"/>
        <w:ind w:firstLine="567"/>
        <w:jc w:val="both"/>
        <w:rPr>
          <w:rFonts w:asciiTheme="majorHAnsi" w:eastAsia="Times New Roman" w:hAnsiTheme="majorHAnsi" w:cstheme="majorHAnsi"/>
          <w:sz w:val="28"/>
          <w:szCs w:val="28"/>
          <w:lang w:val="ro-MD"/>
        </w:rPr>
      </w:pPr>
      <w:r w:rsidRPr="002751FC">
        <w:rPr>
          <w:rFonts w:asciiTheme="majorHAnsi" w:eastAsia="Times New Roman" w:hAnsiTheme="majorHAnsi" w:cstheme="majorHAnsi"/>
          <w:b/>
          <w:bCs/>
          <w:sz w:val="28"/>
          <w:szCs w:val="28"/>
          <w:lang w:val="ro-MD"/>
        </w:rPr>
        <w:t>Art.5.</w:t>
      </w:r>
      <w:r w:rsidRPr="002751FC">
        <w:rPr>
          <w:rFonts w:asciiTheme="majorHAnsi" w:eastAsia="Times New Roman" w:hAnsiTheme="majorHAnsi" w:cstheme="majorHAnsi"/>
          <w:sz w:val="28"/>
          <w:szCs w:val="28"/>
          <w:lang w:val="ro-MD"/>
        </w:rPr>
        <w:t xml:space="preserve"> – Suma </w:t>
      </w:r>
      <w:r w:rsidR="009154A8" w:rsidRPr="002751FC">
        <w:rPr>
          <w:rFonts w:asciiTheme="majorHAnsi" w:eastAsia="Times New Roman" w:hAnsiTheme="majorHAnsi" w:cstheme="majorHAnsi"/>
          <w:sz w:val="28"/>
          <w:szCs w:val="28"/>
          <w:lang w:val="ro-MD"/>
        </w:rPr>
        <w:t>contribuțiilor</w:t>
      </w:r>
      <w:r w:rsidRPr="002751FC">
        <w:rPr>
          <w:rFonts w:asciiTheme="majorHAnsi" w:eastAsia="Times New Roman" w:hAnsiTheme="majorHAnsi" w:cstheme="majorHAnsi"/>
          <w:sz w:val="28"/>
          <w:szCs w:val="28"/>
          <w:lang w:val="ro-MD"/>
        </w:rPr>
        <w:t xml:space="preserve"> obligatorii pentru anul 2013 şi a </w:t>
      </w:r>
      <w:r w:rsidR="009154A8" w:rsidRPr="002751FC">
        <w:rPr>
          <w:rFonts w:asciiTheme="majorHAnsi" w:eastAsia="Times New Roman" w:hAnsiTheme="majorHAnsi" w:cstheme="majorHAnsi"/>
          <w:sz w:val="28"/>
          <w:szCs w:val="28"/>
          <w:lang w:val="ro-MD"/>
        </w:rPr>
        <w:t>penalităților</w:t>
      </w:r>
      <w:r w:rsidRPr="002751FC">
        <w:rPr>
          <w:rFonts w:asciiTheme="majorHAnsi" w:eastAsia="Times New Roman" w:hAnsiTheme="majorHAnsi" w:cstheme="majorHAnsi"/>
          <w:sz w:val="28"/>
          <w:szCs w:val="28"/>
          <w:lang w:val="ro-MD"/>
        </w:rPr>
        <w:t xml:space="preserve"> pentru anii 2013–2014, transferată în Fondul Viei şi Vinului de către producătorii de produse </w:t>
      </w:r>
      <w:r w:rsidRPr="002751FC">
        <w:rPr>
          <w:rFonts w:asciiTheme="majorHAnsi" w:eastAsia="Times New Roman" w:hAnsiTheme="majorHAnsi" w:cstheme="majorHAnsi"/>
          <w:sz w:val="28"/>
          <w:szCs w:val="28"/>
          <w:lang w:val="ro-MD"/>
        </w:rPr>
        <w:lastRenderedPageBreak/>
        <w:t xml:space="preserve">vitivinicole şi trecută în contul </w:t>
      </w:r>
      <w:r w:rsidR="009154A8" w:rsidRPr="002751FC">
        <w:rPr>
          <w:rFonts w:asciiTheme="majorHAnsi" w:eastAsia="Times New Roman" w:hAnsiTheme="majorHAnsi" w:cstheme="majorHAnsi"/>
          <w:sz w:val="28"/>
          <w:szCs w:val="28"/>
          <w:lang w:val="ro-MD"/>
        </w:rPr>
        <w:t>obligațiilor</w:t>
      </w:r>
      <w:r w:rsidRPr="002751FC">
        <w:rPr>
          <w:rFonts w:asciiTheme="majorHAnsi" w:eastAsia="Times New Roman" w:hAnsiTheme="majorHAnsi" w:cstheme="majorHAnsi"/>
          <w:sz w:val="28"/>
          <w:szCs w:val="28"/>
          <w:lang w:val="ro-MD"/>
        </w:rPr>
        <w:t xml:space="preserve"> de plată pentru anul 2015 şi anii următori, nu se include în componenţa cheltuielilor care vor fi deduse în anul 2015 şi în anii următori.</w:t>
      </w:r>
    </w:p>
    <w:p w:rsidR="002B0C1F" w:rsidRPr="002751FC" w:rsidRDefault="002B0C1F" w:rsidP="002B0C1F">
      <w:pPr>
        <w:rPr>
          <w:rFonts w:asciiTheme="majorHAnsi" w:eastAsia="Times New Roman" w:hAnsiTheme="majorHAnsi" w:cstheme="majorHAnsi"/>
          <w:sz w:val="28"/>
          <w:szCs w:val="28"/>
          <w:lang w:val="ro-MD"/>
        </w:rPr>
      </w:pPr>
      <w:r w:rsidRPr="002751FC">
        <w:rPr>
          <w:rFonts w:asciiTheme="majorHAnsi" w:eastAsia="Times New Roman" w:hAnsiTheme="majorHAnsi" w:cstheme="majorHAnsi"/>
          <w:sz w:val="28"/>
          <w:szCs w:val="28"/>
          <w:lang w:val="ro-MD"/>
        </w:rPr>
        <w:br w:type="page"/>
      </w:r>
    </w:p>
    <w:p w:rsidR="002B0C1F" w:rsidRPr="002751FC" w:rsidRDefault="002B0C1F" w:rsidP="002B0C1F">
      <w:pPr>
        <w:spacing w:after="0" w:line="240" w:lineRule="auto"/>
        <w:ind w:firstLine="567"/>
        <w:jc w:val="both"/>
        <w:rPr>
          <w:rFonts w:asciiTheme="majorHAnsi" w:eastAsia="Times New Roman" w:hAnsiTheme="majorHAnsi" w:cstheme="majorHAnsi"/>
          <w:sz w:val="28"/>
          <w:szCs w:val="28"/>
          <w:lang w:val="ro-MD"/>
        </w:rPr>
        <w:sectPr w:rsidR="002B0C1F" w:rsidRPr="002751FC" w:rsidSect="008E6A80">
          <w:pgSz w:w="12240" w:h="15840"/>
          <w:pgMar w:top="1440" w:right="1264" w:bottom="1440" w:left="1440" w:header="720" w:footer="720" w:gutter="0"/>
          <w:cols w:space="720"/>
          <w:docGrid w:linePitch="360"/>
        </w:sectPr>
      </w:pPr>
    </w:p>
    <w:p w:rsidR="002B0C1F" w:rsidRPr="002751FC" w:rsidRDefault="002B0C1F" w:rsidP="002B0C1F">
      <w:pPr>
        <w:pStyle w:val="1"/>
        <w:jc w:val="right"/>
        <w:rPr>
          <w:rFonts w:eastAsia="Times New Roman" w:cstheme="majorHAnsi"/>
          <w:b/>
          <w:color w:val="auto"/>
          <w:sz w:val="28"/>
          <w:szCs w:val="28"/>
          <w:lang w:val="ro-MD"/>
        </w:rPr>
      </w:pPr>
      <w:bookmarkStart w:id="95" w:name="_Toc23259143"/>
      <w:r w:rsidRPr="002751FC">
        <w:rPr>
          <w:rFonts w:eastAsia="Times New Roman" w:cstheme="majorHAnsi"/>
          <w:b/>
          <w:color w:val="auto"/>
          <w:sz w:val="28"/>
          <w:szCs w:val="28"/>
          <w:lang w:val="ro-MD"/>
        </w:rPr>
        <w:lastRenderedPageBreak/>
        <w:t>Anexa nr.9</w:t>
      </w:r>
      <w:bookmarkEnd w:id="95"/>
    </w:p>
    <w:p w:rsidR="002B0C1F" w:rsidRPr="002751FC" w:rsidRDefault="002B0C1F" w:rsidP="002B0C1F">
      <w:pPr>
        <w:pStyle w:val="1"/>
        <w:jc w:val="both"/>
        <w:rPr>
          <w:rFonts w:eastAsia="Times New Roman" w:cstheme="majorHAnsi"/>
          <w:b/>
          <w:color w:val="auto"/>
          <w:sz w:val="20"/>
          <w:szCs w:val="20"/>
          <w:lang w:val="ro-MD"/>
        </w:rPr>
      </w:pPr>
      <w:bookmarkStart w:id="96" w:name="_Toc23259144"/>
      <w:r w:rsidRPr="002751FC">
        <w:rPr>
          <w:rFonts w:eastAsia="Times New Roman" w:cstheme="majorHAnsi"/>
          <w:b/>
          <w:color w:val="auto"/>
          <w:sz w:val="20"/>
          <w:szCs w:val="20"/>
          <w:lang w:val="ro-MD"/>
        </w:rPr>
        <w:t xml:space="preserve">Sinteza realizării cheltuielilor operaționale ale ONVV în anii 2014-2018, </w:t>
      </w:r>
      <w:proofErr w:type="spellStart"/>
      <w:r w:rsidRPr="002751FC">
        <w:rPr>
          <w:rFonts w:eastAsia="Times New Roman" w:cstheme="majorHAnsi"/>
          <w:b/>
          <w:color w:val="auto"/>
          <w:sz w:val="20"/>
          <w:szCs w:val="20"/>
          <w:lang w:val="ro-MD"/>
        </w:rPr>
        <w:t>mil.MDL</w:t>
      </w:r>
      <w:bookmarkEnd w:id="96"/>
      <w:proofErr w:type="spellEnd"/>
    </w:p>
    <w:tbl>
      <w:tblPr>
        <w:tblStyle w:val="ae"/>
        <w:tblW w:w="14556" w:type="dxa"/>
        <w:tblInd w:w="-998" w:type="dxa"/>
        <w:tblLayout w:type="fixed"/>
        <w:tblLook w:val="04A0" w:firstRow="1" w:lastRow="0" w:firstColumn="1" w:lastColumn="0" w:noHBand="0" w:noVBand="1"/>
      </w:tblPr>
      <w:tblGrid>
        <w:gridCol w:w="2686"/>
        <w:gridCol w:w="707"/>
        <w:gridCol w:w="565"/>
        <w:gridCol w:w="565"/>
        <w:gridCol w:w="565"/>
        <w:gridCol w:w="566"/>
        <w:gridCol w:w="565"/>
        <w:gridCol w:w="565"/>
        <w:gridCol w:w="565"/>
        <w:gridCol w:w="707"/>
        <w:gridCol w:w="707"/>
        <w:gridCol w:w="424"/>
        <w:gridCol w:w="565"/>
        <w:gridCol w:w="424"/>
        <w:gridCol w:w="565"/>
        <w:gridCol w:w="565"/>
        <w:gridCol w:w="565"/>
        <w:gridCol w:w="707"/>
        <w:gridCol w:w="565"/>
        <w:gridCol w:w="707"/>
        <w:gridCol w:w="706"/>
      </w:tblGrid>
      <w:tr w:rsidR="002B0C1F" w:rsidRPr="002751FC" w:rsidTr="008E6A80">
        <w:trPr>
          <w:trHeight w:val="266"/>
        </w:trPr>
        <w:tc>
          <w:tcPr>
            <w:tcW w:w="2686" w:type="dxa"/>
            <w:vMerge w:val="restart"/>
            <w:shd w:val="clear" w:color="auto" w:fill="DEEAF6" w:themeFill="accent1" w:themeFillTint="33"/>
          </w:tcPr>
          <w:p w:rsidR="002B0C1F" w:rsidRPr="002751FC" w:rsidRDefault="002B0C1F" w:rsidP="00CE1437">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20"/>
                <w:szCs w:val="20"/>
                <w:lang w:val="ro-MD"/>
              </w:rPr>
              <w:br/>
            </w:r>
            <w:r w:rsidRPr="002751FC">
              <w:rPr>
                <w:rFonts w:asciiTheme="majorHAnsi" w:hAnsiTheme="majorHAnsi" w:cstheme="majorHAnsi"/>
                <w:b/>
                <w:sz w:val="12"/>
                <w:szCs w:val="12"/>
                <w:lang w:val="ro-MD"/>
              </w:rPr>
              <w:t>Indicatorii</w:t>
            </w:r>
          </w:p>
        </w:tc>
        <w:tc>
          <w:tcPr>
            <w:tcW w:w="2968" w:type="dxa"/>
            <w:gridSpan w:val="5"/>
            <w:shd w:val="clear" w:color="auto" w:fill="DEEAF6" w:themeFill="accent1" w:themeFillTint="33"/>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Plan</w:t>
            </w:r>
          </w:p>
        </w:tc>
        <w:tc>
          <w:tcPr>
            <w:tcW w:w="3109" w:type="dxa"/>
            <w:gridSpan w:val="5"/>
            <w:shd w:val="clear" w:color="auto" w:fill="DEEAF6" w:themeFill="accent1" w:themeFillTint="33"/>
          </w:tcPr>
          <w:p w:rsidR="002B0C1F" w:rsidRPr="002751FC" w:rsidRDefault="00111F13"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E</w:t>
            </w:r>
            <w:r w:rsidR="002B0C1F" w:rsidRPr="002751FC">
              <w:rPr>
                <w:rFonts w:asciiTheme="majorHAnsi" w:hAnsiTheme="majorHAnsi" w:cstheme="majorHAnsi"/>
                <w:b/>
                <w:sz w:val="12"/>
                <w:szCs w:val="12"/>
                <w:lang w:val="ro-MD"/>
              </w:rPr>
              <w:t>xecutat</w:t>
            </w:r>
          </w:p>
        </w:tc>
        <w:tc>
          <w:tcPr>
            <w:tcW w:w="2543" w:type="dxa"/>
            <w:gridSpan w:val="5"/>
            <w:shd w:val="clear" w:color="auto" w:fill="DEEAF6" w:themeFill="accent1" w:themeFillTint="33"/>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Devieri, suma</w:t>
            </w:r>
          </w:p>
        </w:tc>
        <w:tc>
          <w:tcPr>
            <w:tcW w:w="3250" w:type="dxa"/>
            <w:gridSpan w:val="5"/>
            <w:shd w:val="clear" w:color="auto" w:fill="DEEAF6" w:themeFill="accent1" w:themeFillTint="33"/>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w:t>
            </w:r>
          </w:p>
        </w:tc>
      </w:tr>
      <w:tr w:rsidR="002B0C1F" w:rsidRPr="002751FC" w:rsidTr="008E6A80">
        <w:trPr>
          <w:cantSplit/>
          <w:trHeight w:val="736"/>
        </w:trPr>
        <w:tc>
          <w:tcPr>
            <w:tcW w:w="2686" w:type="dxa"/>
            <w:vMerge/>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p>
        </w:tc>
        <w:tc>
          <w:tcPr>
            <w:tcW w:w="707"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2014</w:t>
            </w:r>
          </w:p>
        </w:tc>
        <w:tc>
          <w:tcPr>
            <w:tcW w:w="565"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2015</w:t>
            </w:r>
          </w:p>
        </w:tc>
        <w:tc>
          <w:tcPr>
            <w:tcW w:w="565"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2016</w:t>
            </w:r>
          </w:p>
        </w:tc>
        <w:tc>
          <w:tcPr>
            <w:tcW w:w="565"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2017</w:t>
            </w:r>
          </w:p>
        </w:tc>
        <w:tc>
          <w:tcPr>
            <w:tcW w:w="565"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2018</w:t>
            </w:r>
          </w:p>
        </w:tc>
        <w:tc>
          <w:tcPr>
            <w:tcW w:w="565"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2014</w:t>
            </w:r>
          </w:p>
        </w:tc>
        <w:tc>
          <w:tcPr>
            <w:tcW w:w="565"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2015</w:t>
            </w:r>
          </w:p>
        </w:tc>
        <w:tc>
          <w:tcPr>
            <w:tcW w:w="565"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2016</w:t>
            </w:r>
          </w:p>
        </w:tc>
        <w:tc>
          <w:tcPr>
            <w:tcW w:w="707"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2017</w:t>
            </w:r>
          </w:p>
        </w:tc>
        <w:tc>
          <w:tcPr>
            <w:tcW w:w="707"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2018</w:t>
            </w:r>
          </w:p>
        </w:tc>
        <w:tc>
          <w:tcPr>
            <w:tcW w:w="424"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2014</w:t>
            </w:r>
          </w:p>
        </w:tc>
        <w:tc>
          <w:tcPr>
            <w:tcW w:w="565"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2015</w:t>
            </w:r>
          </w:p>
        </w:tc>
        <w:tc>
          <w:tcPr>
            <w:tcW w:w="424"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2016</w:t>
            </w:r>
          </w:p>
        </w:tc>
        <w:tc>
          <w:tcPr>
            <w:tcW w:w="565"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2017</w:t>
            </w:r>
          </w:p>
        </w:tc>
        <w:tc>
          <w:tcPr>
            <w:tcW w:w="565"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2018</w:t>
            </w:r>
          </w:p>
        </w:tc>
        <w:tc>
          <w:tcPr>
            <w:tcW w:w="565"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2014</w:t>
            </w:r>
          </w:p>
        </w:tc>
        <w:tc>
          <w:tcPr>
            <w:tcW w:w="707"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2015</w:t>
            </w:r>
          </w:p>
        </w:tc>
        <w:tc>
          <w:tcPr>
            <w:tcW w:w="565"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2016</w:t>
            </w:r>
          </w:p>
        </w:tc>
        <w:tc>
          <w:tcPr>
            <w:tcW w:w="707"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2017</w:t>
            </w:r>
          </w:p>
        </w:tc>
        <w:tc>
          <w:tcPr>
            <w:tcW w:w="706" w:type="dxa"/>
            <w:shd w:val="clear" w:color="auto" w:fill="DEEAF6" w:themeFill="accent1" w:themeFillTint="33"/>
            <w:textDirection w:val="btLr"/>
          </w:tcPr>
          <w:p w:rsidR="002B0C1F" w:rsidRPr="002751FC" w:rsidRDefault="002B0C1F" w:rsidP="008E6A80">
            <w:pPr>
              <w:pStyle w:val="ac"/>
              <w:ind w:left="0"/>
              <w:jc w:val="center"/>
              <w:rPr>
                <w:rFonts w:asciiTheme="majorHAnsi" w:hAnsiTheme="majorHAnsi" w:cstheme="majorHAnsi"/>
                <w:b/>
                <w:sz w:val="12"/>
                <w:szCs w:val="12"/>
                <w:lang w:val="ro-MD"/>
              </w:rPr>
            </w:pPr>
            <w:r w:rsidRPr="002751FC">
              <w:rPr>
                <w:rFonts w:asciiTheme="majorHAnsi" w:hAnsiTheme="majorHAnsi" w:cstheme="majorHAnsi"/>
                <w:b/>
                <w:sz w:val="12"/>
                <w:szCs w:val="12"/>
                <w:lang w:val="ro-MD"/>
              </w:rPr>
              <w:t>2018</w:t>
            </w:r>
          </w:p>
        </w:tc>
      </w:tr>
      <w:tr w:rsidR="002B0C1F" w:rsidRPr="002751FC" w:rsidTr="008E6A80">
        <w:trPr>
          <w:trHeight w:val="106"/>
        </w:trPr>
        <w:tc>
          <w:tcPr>
            <w:tcW w:w="2686" w:type="dxa"/>
          </w:tcPr>
          <w:p w:rsidR="002B0C1F" w:rsidRPr="002751FC" w:rsidRDefault="002B0C1F" w:rsidP="008E6A80">
            <w:pPr>
              <w:pStyle w:val="ac"/>
              <w:ind w:left="0"/>
              <w:jc w:val="left"/>
              <w:rPr>
                <w:rFonts w:asciiTheme="majorHAnsi" w:hAnsiTheme="majorHAnsi" w:cstheme="majorHAnsi"/>
                <w:bCs/>
                <w:color w:val="000000"/>
                <w:sz w:val="12"/>
                <w:szCs w:val="12"/>
                <w:lang w:val="ro-MD"/>
              </w:rPr>
            </w:pPr>
            <w:r w:rsidRPr="002751FC">
              <w:rPr>
                <w:rFonts w:asciiTheme="majorHAnsi" w:hAnsiTheme="majorHAnsi" w:cstheme="majorHAnsi"/>
                <w:bCs/>
                <w:color w:val="000000"/>
                <w:sz w:val="12"/>
                <w:szCs w:val="12"/>
                <w:lang w:val="ro-MD"/>
              </w:rPr>
              <w:t>Cheltuieli de personal</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4,9</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6,2</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5,3</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6,8</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7,3</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2,2</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4,3</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4,9</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6,2</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6,8</w:t>
            </w:r>
          </w:p>
        </w:tc>
        <w:tc>
          <w:tcPr>
            <w:tcW w:w="424"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-2,7</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-1,9</w:t>
            </w:r>
          </w:p>
        </w:tc>
        <w:tc>
          <w:tcPr>
            <w:tcW w:w="424"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-0,4</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-0,6</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-0,5</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44,9%</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69,4%</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92,5%</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91,2%</w:t>
            </w:r>
          </w:p>
        </w:tc>
        <w:tc>
          <w:tcPr>
            <w:tcW w:w="706"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93,2%</w:t>
            </w:r>
          </w:p>
        </w:tc>
      </w:tr>
      <w:tr w:rsidR="002B0C1F" w:rsidRPr="002751FC" w:rsidTr="008E6A80">
        <w:trPr>
          <w:trHeight w:val="163"/>
        </w:trPr>
        <w:tc>
          <w:tcPr>
            <w:tcW w:w="2686" w:type="dxa"/>
          </w:tcPr>
          <w:p w:rsidR="002B0C1F" w:rsidRPr="002751FC" w:rsidRDefault="002B0C1F" w:rsidP="008E6A80">
            <w:pPr>
              <w:pStyle w:val="ac"/>
              <w:ind w:left="0"/>
              <w:jc w:val="left"/>
              <w:rPr>
                <w:rFonts w:asciiTheme="majorHAnsi" w:hAnsiTheme="majorHAnsi" w:cstheme="majorHAnsi"/>
                <w:bCs/>
                <w:color w:val="000000"/>
                <w:sz w:val="12"/>
                <w:szCs w:val="12"/>
                <w:lang w:val="ro-MD"/>
              </w:rPr>
            </w:pPr>
            <w:r w:rsidRPr="002751FC">
              <w:rPr>
                <w:rFonts w:asciiTheme="majorHAnsi" w:hAnsiTheme="majorHAnsi" w:cstheme="majorHAnsi"/>
                <w:bCs/>
                <w:color w:val="000000"/>
                <w:sz w:val="12"/>
                <w:szCs w:val="12"/>
                <w:lang w:val="ro-MD"/>
              </w:rPr>
              <w:t>Deplasări în interes de serviciu</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0,6</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0,7</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0,9</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0,1</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0,1</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0,5</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0,9</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0,4</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0,2</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0,1</w:t>
            </w:r>
          </w:p>
        </w:tc>
        <w:tc>
          <w:tcPr>
            <w:tcW w:w="424"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-0,1</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color w:val="FF0000"/>
                <w:sz w:val="12"/>
                <w:szCs w:val="12"/>
                <w:lang w:val="ro-MD"/>
              </w:rPr>
              <w:t>+0,2</w:t>
            </w:r>
          </w:p>
        </w:tc>
        <w:tc>
          <w:tcPr>
            <w:tcW w:w="424"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-0,5</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w:t>
            </w:r>
            <w:r w:rsidRPr="002751FC">
              <w:rPr>
                <w:rFonts w:asciiTheme="majorHAnsi" w:hAnsiTheme="majorHAnsi" w:cstheme="majorHAnsi"/>
                <w:color w:val="FF0000"/>
                <w:sz w:val="12"/>
                <w:szCs w:val="12"/>
                <w:lang w:val="ro-MD"/>
              </w:rPr>
              <w:t>0,1</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83,3%</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color w:val="FF0000"/>
                <w:sz w:val="12"/>
                <w:szCs w:val="12"/>
                <w:lang w:val="ro-MD"/>
              </w:rPr>
              <w:t>128,6%</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44,4%</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color w:val="FF0000"/>
                <w:sz w:val="12"/>
                <w:szCs w:val="12"/>
                <w:lang w:val="ro-MD"/>
              </w:rPr>
              <w:t>200%</w:t>
            </w:r>
          </w:p>
        </w:tc>
        <w:tc>
          <w:tcPr>
            <w:tcW w:w="706"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100%</w:t>
            </w:r>
          </w:p>
        </w:tc>
      </w:tr>
      <w:tr w:rsidR="002B0C1F" w:rsidRPr="002751FC" w:rsidTr="008E6A80">
        <w:trPr>
          <w:trHeight w:val="237"/>
        </w:trPr>
        <w:tc>
          <w:tcPr>
            <w:tcW w:w="2686" w:type="dxa"/>
          </w:tcPr>
          <w:p w:rsidR="002B0C1F" w:rsidRPr="002751FC" w:rsidRDefault="002B0C1F" w:rsidP="008E6A80">
            <w:pPr>
              <w:pStyle w:val="ac"/>
              <w:ind w:left="0"/>
              <w:jc w:val="left"/>
              <w:rPr>
                <w:rFonts w:asciiTheme="majorHAnsi" w:hAnsiTheme="majorHAnsi" w:cstheme="majorHAnsi"/>
                <w:sz w:val="12"/>
                <w:szCs w:val="12"/>
                <w:lang w:val="ro-MD"/>
              </w:rPr>
            </w:pPr>
            <w:r w:rsidRPr="002751FC">
              <w:rPr>
                <w:rFonts w:asciiTheme="majorHAnsi" w:hAnsiTheme="majorHAnsi" w:cstheme="majorHAnsi"/>
                <w:bCs/>
                <w:color w:val="000000"/>
                <w:sz w:val="12"/>
                <w:szCs w:val="12"/>
                <w:lang w:val="ro-MD"/>
              </w:rPr>
              <w:t>Cheltuieli administrative</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1,1</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1,2</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1,3</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1,2</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1,3</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0,4</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1,0</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0,8</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1,2</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1,6</w:t>
            </w:r>
          </w:p>
        </w:tc>
        <w:tc>
          <w:tcPr>
            <w:tcW w:w="424"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-0,7</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-0,2</w:t>
            </w:r>
          </w:p>
        </w:tc>
        <w:tc>
          <w:tcPr>
            <w:tcW w:w="424"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-0,5</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color w:val="FF0000"/>
                <w:sz w:val="12"/>
                <w:szCs w:val="12"/>
                <w:lang w:val="ro-MD"/>
              </w:rPr>
              <w:t>+0,3</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36,4%</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83,3%</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61,5%</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100%</w:t>
            </w:r>
          </w:p>
        </w:tc>
        <w:tc>
          <w:tcPr>
            <w:tcW w:w="706"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color w:val="FF0000"/>
                <w:sz w:val="12"/>
                <w:szCs w:val="12"/>
                <w:lang w:val="ro-MD"/>
              </w:rPr>
              <w:t>123,1%</w:t>
            </w:r>
          </w:p>
        </w:tc>
      </w:tr>
      <w:tr w:rsidR="002B0C1F" w:rsidRPr="002751FC" w:rsidTr="008E6A80">
        <w:trPr>
          <w:trHeight w:val="168"/>
        </w:trPr>
        <w:tc>
          <w:tcPr>
            <w:tcW w:w="2686" w:type="dxa"/>
          </w:tcPr>
          <w:p w:rsidR="002B0C1F" w:rsidRPr="002751FC" w:rsidRDefault="002B0C1F" w:rsidP="008E6A80">
            <w:pPr>
              <w:pStyle w:val="ac"/>
              <w:ind w:left="0"/>
              <w:jc w:val="left"/>
              <w:rPr>
                <w:rFonts w:asciiTheme="majorHAnsi" w:hAnsiTheme="majorHAnsi" w:cstheme="majorHAnsi"/>
                <w:bCs/>
                <w:color w:val="000000"/>
                <w:sz w:val="12"/>
                <w:szCs w:val="12"/>
                <w:lang w:val="ro-MD"/>
              </w:rPr>
            </w:pPr>
            <w:r w:rsidRPr="002751FC">
              <w:rPr>
                <w:rFonts w:asciiTheme="majorHAnsi" w:hAnsiTheme="majorHAnsi" w:cstheme="majorHAnsi"/>
                <w:bCs/>
                <w:color w:val="000000"/>
                <w:sz w:val="12"/>
                <w:szCs w:val="12"/>
                <w:lang w:val="ro-MD"/>
              </w:rPr>
              <w:t>Procurarea mijloacelor fixe</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1,4</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0,1</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0,1</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0,3</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0,5</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1,0</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0,2</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0,1</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0,4</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0,3</w:t>
            </w:r>
          </w:p>
        </w:tc>
        <w:tc>
          <w:tcPr>
            <w:tcW w:w="424"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-0,4</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color w:val="FF0000"/>
                <w:sz w:val="12"/>
                <w:szCs w:val="12"/>
                <w:lang w:val="ro-MD"/>
              </w:rPr>
              <w:t>+0,1</w:t>
            </w:r>
          </w:p>
        </w:tc>
        <w:tc>
          <w:tcPr>
            <w:tcW w:w="424"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color w:val="FF0000"/>
                <w:sz w:val="12"/>
                <w:szCs w:val="12"/>
                <w:lang w:val="ro-MD"/>
              </w:rPr>
              <w:t>+0,1</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-0,2</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71,4%</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color w:val="FF0000"/>
                <w:sz w:val="12"/>
                <w:szCs w:val="12"/>
                <w:lang w:val="ro-MD"/>
              </w:rPr>
              <w:t>200%</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100%</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color w:val="FF0000"/>
                <w:sz w:val="12"/>
                <w:szCs w:val="12"/>
                <w:lang w:val="ro-MD"/>
              </w:rPr>
              <w:t>133,3%</w:t>
            </w:r>
          </w:p>
        </w:tc>
        <w:tc>
          <w:tcPr>
            <w:tcW w:w="706"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60%</w:t>
            </w:r>
          </w:p>
        </w:tc>
      </w:tr>
      <w:tr w:rsidR="002B0C1F" w:rsidRPr="002751FC" w:rsidTr="008E6A80">
        <w:trPr>
          <w:trHeight w:val="54"/>
        </w:trPr>
        <w:tc>
          <w:tcPr>
            <w:tcW w:w="2686" w:type="dxa"/>
          </w:tcPr>
          <w:p w:rsidR="002B0C1F" w:rsidRPr="002751FC" w:rsidRDefault="002B0C1F" w:rsidP="008E6A80">
            <w:pPr>
              <w:pStyle w:val="ac"/>
              <w:ind w:left="0"/>
              <w:jc w:val="left"/>
              <w:rPr>
                <w:rFonts w:asciiTheme="majorHAnsi" w:hAnsiTheme="majorHAnsi" w:cstheme="majorHAnsi"/>
                <w:bCs/>
                <w:color w:val="000000"/>
                <w:sz w:val="12"/>
                <w:szCs w:val="12"/>
                <w:lang w:val="ro-MD"/>
              </w:rPr>
            </w:pPr>
            <w:r w:rsidRPr="002751FC">
              <w:rPr>
                <w:rFonts w:asciiTheme="majorHAnsi" w:hAnsiTheme="majorHAnsi" w:cstheme="majorHAnsi"/>
                <w:bCs/>
                <w:color w:val="000000"/>
                <w:sz w:val="12"/>
                <w:szCs w:val="12"/>
                <w:lang w:val="ro-MD"/>
              </w:rPr>
              <w:t xml:space="preserve">Alte cheltuieli (restituirea </w:t>
            </w:r>
            <w:proofErr w:type="spellStart"/>
            <w:r w:rsidRPr="002751FC">
              <w:rPr>
                <w:rFonts w:asciiTheme="majorHAnsi" w:hAnsiTheme="majorHAnsi" w:cstheme="majorHAnsi"/>
                <w:bCs/>
                <w:color w:val="000000"/>
                <w:sz w:val="12"/>
                <w:szCs w:val="12"/>
                <w:lang w:val="ro-MD"/>
              </w:rPr>
              <w:t>garantiei</w:t>
            </w:r>
            <w:proofErr w:type="spellEnd"/>
            <w:r w:rsidRPr="002751FC">
              <w:rPr>
                <w:rFonts w:asciiTheme="majorHAnsi" w:hAnsiTheme="majorHAnsi" w:cstheme="majorHAnsi"/>
                <w:bCs/>
                <w:color w:val="000000"/>
                <w:sz w:val="12"/>
                <w:szCs w:val="12"/>
                <w:lang w:val="ro-MD"/>
              </w:rPr>
              <w:t>)</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0,2</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0,3</w:t>
            </w:r>
          </w:p>
        </w:tc>
        <w:tc>
          <w:tcPr>
            <w:tcW w:w="424"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w:t>
            </w:r>
          </w:p>
        </w:tc>
        <w:tc>
          <w:tcPr>
            <w:tcW w:w="424"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color w:val="FF0000"/>
                <w:sz w:val="12"/>
                <w:szCs w:val="12"/>
                <w:lang w:val="ro-MD"/>
              </w:rPr>
              <w:t>+0,2</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color w:val="FF0000"/>
                <w:sz w:val="12"/>
                <w:szCs w:val="12"/>
                <w:lang w:val="ro-MD"/>
              </w:rPr>
              <w:t>+0,3</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w:t>
            </w:r>
          </w:p>
        </w:tc>
        <w:tc>
          <w:tcPr>
            <w:tcW w:w="565"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w:t>
            </w:r>
          </w:p>
        </w:tc>
        <w:tc>
          <w:tcPr>
            <w:tcW w:w="707"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w:t>
            </w:r>
          </w:p>
        </w:tc>
        <w:tc>
          <w:tcPr>
            <w:tcW w:w="706" w:type="dxa"/>
          </w:tcPr>
          <w:p w:rsidR="002B0C1F" w:rsidRPr="002751FC" w:rsidRDefault="002B0C1F" w:rsidP="008E6A80">
            <w:pPr>
              <w:pStyle w:val="ac"/>
              <w:ind w:left="0"/>
              <w:jc w:val="right"/>
              <w:rPr>
                <w:rFonts w:asciiTheme="majorHAnsi" w:hAnsiTheme="majorHAnsi" w:cstheme="majorHAnsi"/>
                <w:sz w:val="12"/>
                <w:szCs w:val="12"/>
                <w:lang w:val="ro-MD"/>
              </w:rPr>
            </w:pPr>
            <w:r w:rsidRPr="002751FC">
              <w:rPr>
                <w:rFonts w:asciiTheme="majorHAnsi" w:hAnsiTheme="majorHAnsi" w:cstheme="majorHAnsi"/>
                <w:sz w:val="12"/>
                <w:szCs w:val="12"/>
                <w:lang w:val="ro-MD"/>
              </w:rPr>
              <w:t>-</w:t>
            </w:r>
          </w:p>
        </w:tc>
      </w:tr>
      <w:tr w:rsidR="002B0C1F" w:rsidRPr="002751FC" w:rsidTr="008E6A80">
        <w:trPr>
          <w:trHeight w:val="266"/>
        </w:trPr>
        <w:tc>
          <w:tcPr>
            <w:tcW w:w="2686" w:type="dxa"/>
            <w:shd w:val="clear" w:color="auto" w:fill="DEEAF6" w:themeFill="accent1" w:themeFillTint="33"/>
          </w:tcPr>
          <w:p w:rsidR="002B0C1F" w:rsidRPr="002751FC" w:rsidRDefault="00492446" w:rsidP="008E6A80">
            <w:pPr>
              <w:pStyle w:val="ac"/>
              <w:ind w:left="0"/>
              <w:rPr>
                <w:rFonts w:asciiTheme="majorHAnsi" w:hAnsiTheme="majorHAnsi" w:cstheme="majorHAnsi"/>
                <w:b/>
                <w:bCs/>
                <w:color w:val="000000"/>
                <w:sz w:val="12"/>
                <w:szCs w:val="12"/>
                <w:lang w:val="ro-MD"/>
              </w:rPr>
            </w:pPr>
            <w:r w:rsidRPr="002751FC">
              <w:rPr>
                <w:rFonts w:asciiTheme="majorHAnsi" w:hAnsiTheme="majorHAnsi" w:cstheme="majorHAnsi"/>
                <w:b/>
                <w:bCs/>
                <w:color w:val="000000"/>
                <w:sz w:val="12"/>
                <w:szCs w:val="12"/>
                <w:lang w:val="ro-MD"/>
              </w:rPr>
              <w:t>T</w:t>
            </w:r>
            <w:r w:rsidR="002B0C1F" w:rsidRPr="002751FC">
              <w:rPr>
                <w:rFonts w:asciiTheme="majorHAnsi" w:hAnsiTheme="majorHAnsi" w:cstheme="majorHAnsi"/>
                <w:b/>
                <w:bCs/>
                <w:color w:val="000000"/>
                <w:sz w:val="12"/>
                <w:szCs w:val="12"/>
                <w:lang w:val="ro-MD"/>
              </w:rPr>
              <w:t>otal</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8,0</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8,2</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7,6</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8,4</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9,2</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4,1</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6,4</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6,2</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8,2</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9,1</w:t>
            </w:r>
          </w:p>
        </w:tc>
        <w:tc>
          <w:tcPr>
            <w:tcW w:w="424"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-3,9</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-1,8</w:t>
            </w:r>
          </w:p>
        </w:tc>
        <w:tc>
          <w:tcPr>
            <w:tcW w:w="424"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-1,4</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-0,2</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-0,1</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51,3%</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78,0%</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81,6%</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97,6%</w:t>
            </w:r>
          </w:p>
        </w:tc>
        <w:tc>
          <w:tcPr>
            <w:tcW w:w="706"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98,9%</w:t>
            </w:r>
          </w:p>
        </w:tc>
      </w:tr>
      <w:tr w:rsidR="002B0C1F" w:rsidRPr="002751FC" w:rsidTr="008E6A80">
        <w:trPr>
          <w:trHeight w:val="266"/>
        </w:trPr>
        <w:tc>
          <w:tcPr>
            <w:tcW w:w="2686" w:type="dxa"/>
            <w:shd w:val="clear" w:color="auto" w:fill="DEEAF6" w:themeFill="accent1" w:themeFillTint="33"/>
          </w:tcPr>
          <w:p w:rsidR="002B0C1F" w:rsidRPr="002751FC" w:rsidRDefault="002B0C1F" w:rsidP="008E6A80">
            <w:pPr>
              <w:pStyle w:val="ac"/>
              <w:ind w:left="0"/>
              <w:rPr>
                <w:rFonts w:asciiTheme="majorHAnsi" w:hAnsiTheme="majorHAnsi" w:cstheme="majorHAnsi"/>
                <w:b/>
                <w:bCs/>
                <w:color w:val="000000"/>
                <w:sz w:val="12"/>
                <w:szCs w:val="12"/>
                <w:lang w:val="ro-MD"/>
              </w:rPr>
            </w:pPr>
            <w:r w:rsidRPr="002751FC">
              <w:rPr>
                <w:rFonts w:asciiTheme="majorHAnsi" w:hAnsiTheme="majorHAnsi" w:cstheme="majorHAnsi"/>
                <w:b/>
                <w:bCs/>
                <w:color w:val="000000"/>
                <w:sz w:val="12"/>
                <w:szCs w:val="12"/>
                <w:lang w:val="ro-MD"/>
              </w:rPr>
              <w:t>Buget total (CC)</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46,0</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30,0</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26,7</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52,9</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64,7</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11,6</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17,8</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17,3</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39,0</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43,3</w:t>
            </w:r>
          </w:p>
        </w:tc>
        <w:tc>
          <w:tcPr>
            <w:tcW w:w="424"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424"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706"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r>
      <w:tr w:rsidR="002B0C1F" w:rsidRPr="002751FC" w:rsidTr="008E6A80">
        <w:trPr>
          <w:trHeight w:val="266"/>
        </w:trPr>
        <w:tc>
          <w:tcPr>
            <w:tcW w:w="2686" w:type="dxa"/>
            <w:shd w:val="clear" w:color="auto" w:fill="DEEAF6" w:themeFill="accent1" w:themeFillTint="33"/>
          </w:tcPr>
          <w:p w:rsidR="002B0C1F" w:rsidRPr="002751FC" w:rsidRDefault="002B0C1F" w:rsidP="008E6A80">
            <w:pPr>
              <w:pStyle w:val="ac"/>
              <w:ind w:left="0"/>
              <w:rPr>
                <w:rFonts w:asciiTheme="majorHAnsi" w:hAnsiTheme="majorHAnsi" w:cstheme="majorHAnsi"/>
                <w:b/>
                <w:bCs/>
                <w:color w:val="000000"/>
                <w:sz w:val="12"/>
                <w:szCs w:val="12"/>
                <w:lang w:val="ro-MD"/>
              </w:rPr>
            </w:pPr>
            <w:r w:rsidRPr="002751FC">
              <w:rPr>
                <w:rFonts w:asciiTheme="majorHAnsi" w:hAnsiTheme="majorHAnsi" w:cstheme="majorHAnsi"/>
                <w:b/>
                <w:bCs/>
                <w:color w:val="000000"/>
                <w:sz w:val="12"/>
                <w:szCs w:val="12"/>
                <w:lang w:val="ro-MD"/>
              </w:rPr>
              <w:t>% în total buget</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17,4%</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27,3%</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28,5%</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15,9%</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14,2%</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35,3%</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35,9%</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35,8%</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21,0%</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21,0%</w:t>
            </w:r>
          </w:p>
        </w:tc>
        <w:tc>
          <w:tcPr>
            <w:tcW w:w="424"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424"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565"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707"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c>
          <w:tcPr>
            <w:tcW w:w="706" w:type="dxa"/>
            <w:shd w:val="clear" w:color="auto" w:fill="DEEAF6" w:themeFill="accent1" w:themeFillTint="33"/>
          </w:tcPr>
          <w:p w:rsidR="002B0C1F" w:rsidRPr="002751FC" w:rsidRDefault="002B0C1F" w:rsidP="008E6A80">
            <w:pPr>
              <w:pStyle w:val="ac"/>
              <w:ind w:left="0"/>
              <w:jc w:val="right"/>
              <w:rPr>
                <w:rFonts w:asciiTheme="majorHAnsi" w:hAnsiTheme="majorHAnsi" w:cstheme="majorHAnsi"/>
                <w:b/>
                <w:sz w:val="12"/>
                <w:szCs w:val="12"/>
                <w:lang w:val="ro-MD"/>
              </w:rPr>
            </w:pPr>
            <w:r w:rsidRPr="002751FC">
              <w:rPr>
                <w:rFonts w:asciiTheme="majorHAnsi" w:hAnsiTheme="majorHAnsi" w:cstheme="majorHAnsi"/>
                <w:b/>
                <w:sz w:val="12"/>
                <w:szCs w:val="12"/>
                <w:lang w:val="ro-MD"/>
              </w:rPr>
              <w:t>x</w:t>
            </w:r>
          </w:p>
        </w:tc>
      </w:tr>
    </w:tbl>
    <w:p w:rsidR="00373255" w:rsidRPr="002751FC" w:rsidRDefault="00373255" w:rsidP="00373255">
      <w:pPr>
        <w:rPr>
          <w:rFonts w:asciiTheme="majorHAnsi" w:hAnsiTheme="majorHAnsi" w:cstheme="majorHAnsi"/>
          <w:lang w:val="ro-MD"/>
        </w:rPr>
      </w:pPr>
      <w:r w:rsidRPr="002751FC">
        <w:rPr>
          <w:rFonts w:asciiTheme="majorHAnsi" w:hAnsiTheme="majorHAnsi" w:cstheme="majorHAnsi"/>
          <w:b/>
          <w:lang w:val="ro-MD"/>
        </w:rPr>
        <w:t xml:space="preserve">Sursa: </w:t>
      </w:r>
      <w:r w:rsidRPr="002751FC">
        <w:rPr>
          <w:rFonts w:asciiTheme="majorHAnsi" w:hAnsiTheme="majorHAnsi" w:cstheme="majorHAnsi"/>
          <w:lang w:val="ro-MD"/>
        </w:rPr>
        <w:t>datele ONVV.</w:t>
      </w:r>
    </w:p>
    <w:p w:rsidR="002B0C1F" w:rsidRPr="002751FC" w:rsidRDefault="002B0C1F" w:rsidP="00373255">
      <w:pPr>
        <w:jc w:val="both"/>
        <w:rPr>
          <w:rFonts w:asciiTheme="majorHAnsi" w:hAnsiTheme="majorHAnsi" w:cstheme="majorHAnsi"/>
          <w:lang w:val="ro-MD"/>
        </w:rPr>
      </w:pPr>
    </w:p>
    <w:p w:rsidR="002B0C1F" w:rsidRPr="002751FC" w:rsidRDefault="002B0C1F" w:rsidP="002B0C1F">
      <w:pPr>
        <w:rPr>
          <w:rFonts w:asciiTheme="majorHAnsi" w:eastAsiaTheme="majorEastAsia" w:hAnsiTheme="majorHAnsi" w:cstheme="majorHAnsi"/>
          <w:b/>
          <w:i/>
          <w:sz w:val="28"/>
          <w:szCs w:val="28"/>
          <w:lang w:val="ro-MD"/>
        </w:rPr>
      </w:pPr>
      <w:r w:rsidRPr="002751FC">
        <w:rPr>
          <w:rFonts w:asciiTheme="majorHAnsi" w:hAnsiTheme="majorHAnsi" w:cstheme="majorHAnsi"/>
          <w:b/>
          <w:i/>
          <w:sz w:val="28"/>
          <w:szCs w:val="28"/>
          <w:lang w:val="ro-MD"/>
        </w:rPr>
        <w:br w:type="page"/>
      </w:r>
    </w:p>
    <w:p w:rsidR="002B0C1F" w:rsidRPr="002751FC" w:rsidRDefault="002B0C1F" w:rsidP="002B0C1F">
      <w:pPr>
        <w:pStyle w:val="1"/>
        <w:jc w:val="right"/>
        <w:rPr>
          <w:rFonts w:cstheme="majorHAnsi"/>
          <w:b/>
          <w:color w:val="auto"/>
          <w:sz w:val="28"/>
          <w:szCs w:val="28"/>
          <w:lang w:val="ro-MD"/>
        </w:rPr>
      </w:pPr>
      <w:bookmarkStart w:id="97" w:name="_Toc23259145"/>
      <w:r w:rsidRPr="002751FC">
        <w:rPr>
          <w:rFonts w:cstheme="majorHAnsi"/>
          <w:b/>
          <w:color w:val="auto"/>
          <w:sz w:val="28"/>
          <w:szCs w:val="28"/>
          <w:lang w:val="ro-MD"/>
        </w:rPr>
        <w:lastRenderedPageBreak/>
        <w:t>Anexa nr.10</w:t>
      </w:r>
      <w:bookmarkEnd w:id="97"/>
      <w:r w:rsidRPr="002751FC">
        <w:rPr>
          <w:rFonts w:cstheme="majorHAnsi"/>
          <w:b/>
          <w:color w:val="auto"/>
          <w:sz w:val="28"/>
          <w:szCs w:val="28"/>
          <w:lang w:val="ro-MD"/>
        </w:rPr>
        <w:t xml:space="preserve"> </w:t>
      </w:r>
    </w:p>
    <w:p w:rsidR="002B0C1F" w:rsidRPr="002751FC" w:rsidRDefault="002B0C1F" w:rsidP="002B0C1F">
      <w:pPr>
        <w:pStyle w:val="1"/>
        <w:jc w:val="both"/>
        <w:rPr>
          <w:rFonts w:cstheme="majorHAnsi"/>
          <w:b/>
          <w:color w:val="auto"/>
          <w:sz w:val="28"/>
          <w:szCs w:val="28"/>
          <w:lang w:val="ro-MD"/>
        </w:rPr>
      </w:pPr>
      <w:bookmarkStart w:id="98" w:name="_Toc23259146"/>
      <w:r w:rsidRPr="002751FC">
        <w:rPr>
          <w:rFonts w:cstheme="majorHAnsi"/>
          <w:b/>
          <w:color w:val="auto"/>
          <w:sz w:val="28"/>
          <w:szCs w:val="28"/>
          <w:lang w:val="ro-MD"/>
        </w:rPr>
        <w:t>Sinteza salariilor de baz</w:t>
      </w:r>
      <w:r w:rsidR="0062235A" w:rsidRPr="002751FC">
        <w:rPr>
          <w:rFonts w:cstheme="majorHAnsi"/>
          <w:b/>
          <w:color w:val="auto"/>
          <w:sz w:val="28"/>
          <w:szCs w:val="28"/>
          <w:lang w:val="ro-MD"/>
        </w:rPr>
        <w:t>ă stabilite angajaţ</w:t>
      </w:r>
      <w:r w:rsidRPr="002751FC">
        <w:rPr>
          <w:rFonts w:cstheme="majorHAnsi"/>
          <w:b/>
          <w:color w:val="auto"/>
          <w:sz w:val="28"/>
          <w:szCs w:val="28"/>
          <w:lang w:val="ro-MD"/>
        </w:rPr>
        <w:t>ilor ONVV pentru anul 2018</w:t>
      </w:r>
      <w:bookmarkEnd w:id="98"/>
    </w:p>
    <w:p w:rsidR="002B0C1F" w:rsidRPr="002751FC" w:rsidRDefault="002B0C1F" w:rsidP="002B0C1F">
      <w:pPr>
        <w:autoSpaceDE w:val="0"/>
        <w:autoSpaceDN w:val="0"/>
        <w:adjustRightInd w:val="0"/>
        <w:spacing w:after="0" w:line="240" w:lineRule="auto"/>
        <w:ind w:firstLine="540"/>
        <w:rPr>
          <w:rFonts w:asciiTheme="majorHAnsi" w:hAnsiTheme="majorHAnsi" w:cstheme="majorHAnsi"/>
          <w:i/>
          <w:sz w:val="28"/>
          <w:szCs w:val="28"/>
          <w:lang w:val="ro-MD"/>
        </w:rPr>
      </w:pPr>
    </w:p>
    <w:tbl>
      <w:tblPr>
        <w:tblStyle w:val="ae"/>
        <w:tblpPr w:leftFromText="180" w:rightFromText="180" w:vertAnchor="text" w:horzAnchor="margin" w:tblpY="33"/>
        <w:tblW w:w="13442" w:type="dxa"/>
        <w:tblLook w:val="04A0" w:firstRow="1" w:lastRow="0" w:firstColumn="1" w:lastColumn="0" w:noHBand="0" w:noVBand="1"/>
      </w:tblPr>
      <w:tblGrid>
        <w:gridCol w:w="995"/>
        <w:gridCol w:w="7497"/>
        <w:gridCol w:w="2205"/>
        <w:gridCol w:w="2745"/>
      </w:tblGrid>
      <w:tr w:rsidR="002B0C1F" w:rsidRPr="002751FC" w:rsidTr="008E6A80">
        <w:trPr>
          <w:trHeight w:val="697"/>
        </w:trPr>
        <w:tc>
          <w:tcPr>
            <w:tcW w:w="995" w:type="dxa"/>
            <w:shd w:val="clear" w:color="auto" w:fill="DEEAF6" w:themeFill="accent1" w:themeFillTint="33"/>
          </w:tcPr>
          <w:p w:rsidR="002B0C1F" w:rsidRPr="002751FC" w:rsidRDefault="002B0C1F" w:rsidP="00E51733">
            <w:pPr>
              <w:autoSpaceDE w:val="0"/>
              <w:autoSpaceDN w:val="0"/>
              <w:adjustRightInd w:val="0"/>
              <w:rPr>
                <w:rFonts w:asciiTheme="majorHAnsi" w:hAnsiTheme="majorHAnsi" w:cstheme="majorHAnsi"/>
                <w:b/>
                <w:sz w:val="20"/>
                <w:szCs w:val="20"/>
                <w:lang w:val="ro-MD"/>
              </w:rPr>
            </w:pPr>
            <w:proofErr w:type="spellStart"/>
            <w:r w:rsidRPr="002751FC">
              <w:rPr>
                <w:rFonts w:asciiTheme="majorHAnsi" w:hAnsiTheme="majorHAnsi" w:cstheme="majorHAnsi"/>
                <w:b/>
                <w:sz w:val="20"/>
                <w:szCs w:val="20"/>
                <w:lang w:val="ro-MD"/>
              </w:rPr>
              <w:t>Nr.d</w:t>
            </w:r>
            <w:proofErr w:type="spellEnd"/>
            <w:r w:rsidRPr="002751FC">
              <w:rPr>
                <w:rFonts w:asciiTheme="majorHAnsi" w:hAnsiTheme="majorHAnsi" w:cstheme="majorHAnsi"/>
                <w:b/>
                <w:sz w:val="20"/>
                <w:szCs w:val="20"/>
                <w:lang w:val="ro-MD"/>
              </w:rPr>
              <w:t>/o</w:t>
            </w:r>
          </w:p>
        </w:tc>
        <w:tc>
          <w:tcPr>
            <w:tcW w:w="7497" w:type="dxa"/>
            <w:shd w:val="clear" w:color="auto" w:fill="DEEAF6" w:themeFill="accent1" w:themeFillTint="33"/>
          </w:tcPr>
          <w:p w:rsidR="002B0C1F" w:rsidRPr="002751FC" w:rsidRDefault="002B0C1F" w:rsidP="00E51733">
            <w:pPr>
              <w:autoSpaceDE w:val="0"/>
              <w:autoSpaceDN w:val="0"/>
              <w:adjustRightInd w:val="0"/>
              <w:rPr>
                <w:rFonts w:asciiTheme="majorHAnsi" w:hAnsiTheme="majorHAnsi" w:cstheme="majorHAnsi"/>
                <w:b/>
                <w:sz w:val="20"/>
                <w:szCs w:val="20"/>
                <w:lang w:val="ro-MD"/>
              </w:rPr>
            </w:pPr>
            <w:r w:rsidRPr="002751FC">
              <w:rPr>
                <w:rFonts w:asciiTheme="majorHAnsi" w:hAnsiTheme="majorHAnsi" w:cstheme="majorHAnsi"/>
                <w:b/>
                <w:sz w:val="20"/>
                <w:szCs w:val="20"/>
                <w:lang w:val="ro-MD"/>
              </w:rPr>
              <w:t>Func</w:t>
            </w:r>
            <w:r w:rsidR="00CC5FAC" w:rsidRPr="002751FC">
              <w:rPr>
                <w:rFonts w:asciiTheme="majorHAnsi" w:hAnsiTheme="majorHAnsi" w:cstheme="majorHAnsi"/>
                <w:b/>
                <w:sz w:val="20"/>
                <w:szCs w:val="20"/>
                <w:lang w:val="ro-MD"/>
              </w:rPr>
              <w:t>ț</w:t>
            </w:r>
            <w:r w:rsidRPr="002751FC">
              <w:rPr>
                <w:rFonts w:asciiTheme="majorHAnsi" w:hAnsiTheme="majorHAnsi" w:cstheme="majorHAnsi"/>
                <w:b/>
                <w:sz w:val="20"/>
                <w:szCs w:val="20"/>
                <w:lang w:val="ro-MD"/>
              </w:rPr>
              <w:t>ia</w:t>
            </w:r>
          </w:p>
        </w:tc>
        <w:tc>
          <w:tcPr>
            <w:tcW w:w="2205" w:type="dxa"/>
            <w:shd w:val="clear" w:color="auto" w:fill="DEEAF6" w:themeFill="accent1" w:themeFillTint="33"/>
          </w:tcPr>
          <w:p w:rsidR="002B0C1F" w:rsidRPr="002751FC" w:rsidRDefault="002B0C1F" w:rsidP="00E51733">
            <w:pPr>
              <w:autoSpaceDE w:val="0"/>
              <w:autoSpaceDN w:val="0"/>
              <w:adjustRightInd w:val="0"/>
              <w:rPr>
                <w:rFonts w:asciiTheme="majorHAnsi" w:hAnsiTheme="majorHAnsi" w:cstheme="majorHAnsi"/>
                <w:b/>
                <w:sz w:val="20"/>
                <w:szCs w:val="20"/>
                <w:lang w:val="ro-MD"/>
              </w:rPr>
            </w:pPr>
            <w:r w:rsidRPr="002751FC">
              <w:rPr>
                <w:rFonts w:asciiTheme="majorHAnsi" w:hAnsiTheme="majorHAnsi" w:cstheme="majorHAnsi"/>
                <w:b/>
                <w:sz w:val="20"/>
                <w:szCs w:val="20"/>
                <w:lang w:val="ro-MD"/>
              </w:rPr>
              <w:t xml:space="preserve">Coeficientul de multiplicare </w:t>
            </w:r>
          </w:p>
        </w:tc>
        <w:tc>
          <w:tcPr>
            <w:tcW w:w="2745" w:type="dxa"/>
            <w:shd w:val="clear" w:color="auto" w:fill="DEEAF6" w:themeFill="accent1" w:themeFillTint="33"/>
          </w:tcPr>
          <w:p w:rsidR="002B0C1F" w:rsidRPr="002751FC" w:rsidRDefault="002B0C1F" w:rsidP="00E51733">
            <w:pPr>
              <w:autoSpaceDE w:val="0"/>
              <w:autoSpaceDN w:val="0"/>
              <w:adjustRightInd w:val="0"/>
              <w:rPr>
                <w:rFonts w:asciiTheme="majorHAnsi" w:hAnsiTheme="majorHAnsi" w:cstheme="majorHAnsi"/>
                <w:b/>
                <w:sz w:val="20"/>
                <w:szCs w:val="20"/>
                <w:lang w:val="ro-MD"/>
              </w:rPr>
            </w:pPr>
            <w:r w:rsidRPr="002751FC">
              <w:rPr>
                <w:rFonts w:asciiTheme="majorHAnsi" w:hAnsiTheme="majorHAnsi" w:cstheme="majorHAnsi"/>
                <w:b/>
                <w:sz w:val="20"/>
                <w:szCs w:val="20"/>
                <w:lang w:val="ro-MD"/>
              </w:rPr>
              <w:t>Salariul de baz</w:t>
            </w:r>
            <w:r w:rsidR="00CC5FAC" w:rsidRPr="002751FC">
              <w:rPr>
                <w:rFonts w:asciiTheme="majorHAnsi" w:hAnsiTheme="majorHAnsi" w:cstheme="majorHAnsi"/>
                <w:b/>
                <w:sz w:val="20"/>
                <w:szCs w:val="20"/>
                <w:lang w:val="ro-MD"/>
              </w:rPr>
              <w:t>ă</w:t>
            </w:r>
            <w:r w:rsidRPr="002751FC">
              <w:rPr>
                <w:rFonts w:asciiTheme="majorHAnsi" w:hAnsiTheme="majorHAnsi" w:cstheme="majorHAnsi"/>
                <w:b/>
                <w:sz w:val="20"/>
                <w:szCs w:val="20"/>
                <w:lang w:val="ro-MD"/>
              </w:rPr>
              <w:t xml:space="preserve"> (coeficientul de multiplicare x 7600 </w:t>
            </w:r>
            <w:r w:rsidR="00CC5FAC" w:rsidRPr="002751FC">
              <w:rPr>
                <w:rFonts w:asciiTheme="majorHAnsi" w:hAnsiTheme="majorHAnsi" w:cstheme="majorHAnsi"/>
                <w:b/>
                <w:sz w:val="20"/>
                <w:szCs w:val="20"/>
                <w:lang w:val="ro-MD"/>
              </w:rPr>
              <w:t>MDL</w:t>
            </w:r>
            <w:r w:rsidRPr="002751FC">
              <w:rPr>
                <w:rFonts w:asciiTheme="majorHAnsi" w:hAnsiTheme="majorHAnsi" w:cstheme="majorHAnsi"/>
                <w:b/>
                <w:sz w:val="20"/>
                <w:szCs w:val="20"/>
                <w:lang w:val="ro-MD"/>
              </w:rPr>
              <w:t>)</w:t>
            </w:r>
          </w:p>
        </w:tc>
      </w:tr>
      <w:tr w:rsidR="002B0C1F" w:rsidRPr="002751FC" w:rsidTr="008E6A80">
        <w:trPr>
          <w:trHeight w:val="100"/>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p>
        </w:tc>
        <w:tc>
          <w:tcPr>
            <w:tcW w:w="7497"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eastAsia="Times New Roman" w:hAnsiTheme="majorHAnsi" w:cstheme="majorHAnsi"/>
                <w:b/>
                <w:bCs/>
                <w:color w:val="000000"/>
                <w:sz w:val="20"/>
                <w:szCs w:val="20"/>
                <w:lang w:val="ro-MD" w:eastAsia="ru-RU"/>
              </w:rPr>
              <w:t>Conducerea ONVV</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p>
        </w:tc>
      </w:tr>
      <w:tr w:rsidR="002B0C1F" w:rsidRPr="002751FC" w:rsidTr="008E6A80">
        <w:trPr>
          <w:trHeight w:val="131"/>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w:t>
            </w:r>
          </w:p>
        </w:tc>
        <w:tc>
          <w:tcPr>
            <w:tcW w:w="7497"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eastAsia="Times New Roman" w:hAnsiTheme="majorHAnsi" w:cstheme="majorHAnsi"/>
                <w:color w:val="000000"/>
                <w:sz w:val="20"/>
                <w:szCs w:val="20"/>
                <w:lang w:val="ro-MD" w:eastAsia="ru-RU"/>
              </w:rPr>
              <w:t>director</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7</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53200</w:t>
            </w:r>
          </w:p>
        </w:tc>
      </w:tr>
      <w:tr w:rsidR="002B0C1F" w:rsidRPr="002751FC" w:rsidTr="008E6A80">
        <w:trPr>
          <w:trHeight w:val="70"/>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2</w:t>
            </w:r>
          </w:p>
        </w:tc>
        <w:tc>
          <w:tcPr>
            <w:tcW w:w="7497"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eastAsia="Times New Roman" w:hAnsiTheme="majorHAnsi" w:cstheme="majorHAnsi"/>
                <w:color w:val="000000"/>
                <w:sz w:val="20"/>
                <w:szCs w:val="20"/>
                <w:lang w:val="ro-MD" w:eastAsia="ru-RU"/>
              </w:rPr>
              <w:t>director adjunct</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4,6</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34960</w:t>
            </w:r>
          </w:p>
        </w:tc>
      </w:tr>
      <w:tr w:rsidR="002B0C1F" w:rsidRPr="002751FC" w:rsidTr="008E6A80">
        <w:trPr>
          <w:trHeight w:val="85"/>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p>
        </w:tc>
        <w:tc>
          <w:tcPr>
            <w:tcW w:w="7497"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proofErr w:type="spellStart"/>
            <w:r w:rsidRPr="002751FC">
              <w:rPr>
                <w:rFonts w:asciiTheme="majorHAnsi" w:eastAsia="Times New Roman" w:hAnsiTheme="majorHAnsi" w:cstheme="majorHAnsi"/>
                <w:b/>
                <w:bCs/>
                <w:color w:val="000000"/>
                <w:sz w:val="20"/>
                <w:szCs w:val="20"/>
                <w:lang w:val="ro-MD" w:eastAsia="ru-RU"/>
              </w:rPr>
              <w:t>Direcţia</w:t>
            </w:r>
            <w:proofErr w:type="spellEnd"/>
            <w:r w:rsidRPr="002751FC">
              <w:rPr>
                <w:rFonts w:asciiTheme="majorHAnsi" w:eastAsia="Times New Roman" w:hAnsiTheme="majorHAnsi" w:cstheme="majorHAnsi"/>
                <w:b/>
                <w:bCs/>
                <w:color w:val="000000"/>
                <w:sz w:val="20"/>
                <w:szCs w:val="20"/>
                <w:lang w:val="ro-MD" w:eastAsia="ru-RU"/>
              </w:rPr>
              <w:t xml:space="preserve"> dezvoltarea </w:t>
            </w:r>
            <w:proofErr w:type="spellStart"/>
            <w:r w:rsidRPr="002751FC">
              <w:rPr>
                <w:rFonts w:asciiTheme="majorHAnsi" w:eastAsia="Times New Roman" w:hAnsiTheme="majorHAnsi" w:cstheme="majorHAnsi"/>
                <w:b/>
                <w:bCs/>
                <w:color w:val="000000"/>
                <w:sz w:val="20"/>
                <w:szCs w:val="20"/>
                <w:lang w:val="ro-MD" w:eastAsia="ru-RU"/>
              </w:rPr>
              <w:t>pieţelor</w:t>
            </w:r>
            <w:proofErr w:type="spellEnd"/>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p>
        </w:tc>
      </w:tr>
      <w:tr w:rsidR="002B0C1F" w:rsidRPr="002751FC" w:rsidTr="008E6A80">
        <w:trPr>
          <w:trHeight w:val="102"/>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3</w:t>
            </w:r>
          </w:p>
        </w:tc>
        <w:tc>
          <w:tcPr>
            <w:tcW w:w="7497"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eastAsia="Times New Roman" w:hAnsiTheme="majorHAnsi" w:cstheme="majorHAnsi"/>
                <w:color w:val="000000"/>
                <w:sz w:val="20"/>
                <w:szCs w:val="20"/>
                <w:lang w:val="ro-MD" w:eastAsia="ru-RU"/>
              </w:rPr>
              <w:t>Expert coordonator</w:t>
            </w:r>
            <w:r w:rsidR="00E033B9">
              <w:rPr>
                <w:rFonts w:asciiTheme="majorHAnsi" w:eastAsia="Times New Roman" w:hAnsiTheme="majorHAnsi" w:cstheme="majorHAnsi"/>
                <w:color w:val="000000"/>
                <w:sz w:val="20"/>
                <w:szCs w:val="20"/>
                <w:lang w:val="ro-MD" w:eastAsia="ru-RU"/>
              </w:rPr>
              <w:t xml:space="preserve"> </w:t>
            </w:r>
            <w:r w:rsidRPr="002751FC">
              <w:rPr>
                <w:rFonts w:asciiTheme="majorHAnsi" w:eastAsia="Times New Roman" w:hAnsiTheme="majorHAnsi" w:cstheme="majorHAnsi"/>
                <w:color w:val="000000"/>
                <w:sz w:val="20"/>
                <w:szCs w:val="20"/>
                <w:lang w:val="ro-MD" w:eastAsia="ru-RU"/>
              </w:rPr>
              <w:t xml:space="preserve">(responsabil </w:t>
            </w:r>
            <w:proofErr w:type="spellStart"/>
            <w:r w:rsidRPr="002751FC">
              <w:rPr>
                <w:rFonts w:asciiTheme="majorHAnsi" w:eastAsia="Times New Roman" w:hAnsiTheme="majorHAnsi" w:cstheme="majorHAnsi"/>
                <w:color w:val="000000"/>
                <w:sz w:val="20"/>
                <w:szCs w:val="20"/>
                <w:lang w:val="ro-MD" w:eastAsia="ru-RU"/>
              </w:rPr>
              <w:t>media&amp;branding</w:t>
            </w:r>
            <w:proofErr w:type="spellEnd"/>
            <w:r w:rsidRPr="002751FC">
              <w:rPr>
                <w:rFonts w:asciiTheme="majorHAnsi" w:eastAsia="Times New Roman" w:hAnsiTheme="majorHAnsi" w:cstheme="majorHAnsi"/>
                <w:color w:val="000000"/>
                <w:sz w:val="20"/>
                <w:szCs w:val="20"/>
                <w:lang w:val="ro-MD" w:eastAsia="ru-RU"/>
              </w:rPr>
              <w:t>)</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3,085</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23440</w:t>
            </w:r>
          </w:p>
        </w:tc>
      </w:tr>
      <w:tr w:rsidR="002B0C1F" w:rsidRPr="002751FC" w:rsidTr="008E6A80">
        <w:trPr>
          <w:trHeight w:val="276"/>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4</w:t>
            </w:r>
          </w:p>
        </w:tc>
        <w:tc>
          <w:tcPr>
            <w:tcW w:w="7497"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eastAsia="Times New Roman" w:hAnsiTheme="majorHAnsi" w:cstheme="majorHAnsi"/>
                <w:color w:val="000000"/>
                <w:sz w:val="20"/>
                <w:szCs w:val="20"/>
                <w:lang w:val="ro-MD" w:eastAsia="ru-RU"/>
              </w:rPr>
              <w:t xml:space="preserve">Expert coordonator (responsabil </w:t>
            </w:r>
            <w:proofErr w:type="spellStart"/>
            <w:r w:rsidRPr="002751FC">
              <w:rPr>
                <w:rFonts w:asciiTheme="majorHAnsi" w:eastAsia="Times New Roman" w:hAnsiTheme="majorHAnsi" w:cstheme="majorHAnsi"/>
                <w:color w:val="000000"/>
                <w:sz w:val="20"/>
                <w:szCs w:val="20"/>
                <w:lang w:val="ro-MD" w:eastAsia="ru-RU"/>
              </w:rPr>
              <w:t>oenoturism</w:t>
            </w:r>
            <w:proofErr w:type="spellEnd"/>
            <w:r w:rsidRPr="002751FC">
              <w:rPr>
                <w:rFonts w:asciiTheme="majorHAnsi" w:eastAsia="Times New Roman" w:hAnsiTheme="majorHAnsi" w:cstheme="majorHAnsi"/>
                <w:color w:val="000000"/>
                <w:sz w:val="20"/>
                <w:szCs w:val="20"/>
                <w:lang w:val="ro-MD" w:eastAsia="ru-RU"/>
              </w:rPr>
              <w:t>)</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3,085</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23440</w:t>
            </w:r>
          </w:p>
        </w:tc>
      </w:tr>
      <w:tr w:rsidR="002B0C1F" w:rsidRPr="002751FC" w:rsidTr="008E6A80">
        <w:trPr>
          <w:trHeight w:val="137"/>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5</w:t>
            </w:r>
          </w:p>
        </w:tc>
        <w:tc>
          <w:tcPr>
            <w:tcW w:w="7497"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eastAsia="Times New Roman" w:hAnsiTheme="majorHAnsi" w:cstheme="majorHAnsi"/>
                <w:color w:val="000000"/>
                <w:sz w:val="20"/>
                <w:szCs w:val="20"/>
                <w:lang w:val="ro-MD" w:eastAsia="ru-RU"/>
              </w:rPr>
              <w:t xml:space="preserve">Expert (responsabil B2C, </w:t>
            </w:r>
            <w:proofErr w:type="spellStart"/>
            <w:r w:rsidRPr="002751FC">
              <w:rPr>
                <w:rFonts w:asciiTheme="majorHAnsi" w:eastAsia="Times New Roman" w:hAnsiTheme="majorHAnsi" w:cstheme="majorHAnsi"/>
                <w:color w:val="000000"/>
                <w:sz w:val="20"/>
                <w:szCs w:val="20"/>
                <w:lang w:val="ro-MD" w:eastAsia="ru-RU"/>
              </w:rPr>
              <w:t>turism&amp;digital</w:t>
            </w:r>
            <w:proofErr w:type="spellEnd"/>
            <w:r w:rsidRPr="002751FC">
              <w:rPr>
                <w:rFonts w:asciiTheme="majorHAnsi" w:eastAsia="Times New Roman" w:hAnsiTheme="majorHAnsi" w:cstheme="majorHAnsi"/>
                <w:color w:val="000000"/>
                <w:sz w:val="20"/>
                <w:szCs w:val="20"/>
                <w:lang w:val="ro-MD" w:eastAsia="ru-RU"/>
              </w:rPr>
              <w:t>)</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2,43</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18468</w:t>
            </w:r>
          </w:p>
        </w:tc>
      </w:tr>
      <w:tr w:rsidR="002B0C1F" w:rsidRPr="002751FC" w:rsidTr="008E6A80">
        <w:trPr>
          <w:trHeight w:val="170"/>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6</w:t>
            </w:r>
          </w:p>
        </w:tc>
        <w:tc>
          <w:tcPr>
            <w:tcW w:w="7497" w:type="dxa"/>
          </w:tcPr>
          <w:p w:rsidR="002B0C1F" w:rsidRPr="002751FC" w:rsidRDefault="002B0C1F"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Expert (responsabil market intelligence)</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2,43</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18468</w:t>
            </w:r>
          </w:p>
        </w:tc>
      </w:tr>
      <w:tr w:rsidR="002B0C1F" w:rsidRPr="002751FC" w:rsidTr="008E6A80">
        <w:trPr>
          <w:trHeight w:val="187"/>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7</w:t>
            </w:r>
          </w:p>
        </w:tc>
        <w:tc>
          <w:tcPr>
            <w:tcW w:w="7497" w:type="dxa"/>
          </w:tcPr>
          <w:p w:rsidR="002B0C1F" w:rsidRPr="002751FC" w:rsidRDefault="002B0C1F"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Expert (responsabil dezvoltarea pieţelor&amp;B2B)</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2,43</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18468</w:t>
            </w:r>
          </w:p>
        </w:tc>
      </w:tr>
      <w:tr w:rsidR="002B0C1F" w:rsidRPr="002751FC" w:rsidTr="008E6A80">
        <w:trPr>
          <w:trHeight w:val="78"/>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p>
        </w:tc>
        <w:tc>
          <w:tcPr>
            <w:tcW w:w="7497" w:type="dxa"/>
          </w:tcPr>
          <w:p w:rsidR="002B0C1F" w:rsidRPr="002751FC" w:rsidRDefault="002B0C1F" w:rsidP="00E51733">
            <w:pPr>
              <w:autoSpaceDE w:val="0"/>
              <w:autoSpaceDN w:val="0"/>
              <w:adjustRightInd w:val="0"/>
              <w:rPr>
                <w:rFonts w:asciiTheme="majorHAnsi" w:eastAsia="Times New Roman" w:hAnsiTheme="majorHAnsi" w:cstheme="majorHAnsi"/>
                <w:color w:val="000000"/>
                <w:sz w:val="20"/>
                <w:szCs w:val="20"/>
                <w:lang w:val="ro-MD" w:eastAsia="ru-RU"/>
              </w:rPr>
            </w:pPr>
            <w:proofErr w:type="spellStart"/>
            <w:r w:rsidRPr="002751FC">
              <w:rPr>
                <w:rFonts w:asciiTheme="majorHAnsi" w:eastAsia="Times New Roman" w:hAnsiTheme="majorHAnsi" w:cstheme="majorHAnsi"/>
                <w:b/>
                <w:bCs/>
                <w:color w:val="000000"/>
                <w:sz w:val="20"/>
                <w:szCs w:val="20"/>
                <w:lang w:val="ro-MD" w:eastAsia="ru-RU"/>
              </w:rPr>
              <w:t>Direcţia</w:t>
            </w:r>
            <w:proofErr w:type="spellEnd"/>
            <w:r w:rsidRPr="002751FC">
              <w:rPr>
                <w:rFonts w:asciiTheme="majorHAnsi" w:eastAsia="Times New Roman" w:hAnsiTheme="majorHAnsi" w:cstheme="majorHAnsi"/>
                <w:b/>
                <w:bCs/>
                <w:color w:val="000000"/>
                <w:sz w:val="20"/>
                <w:szCs w:val="20"/>
                <w:lang w:val="ro-MD" w:eastAsia="ru-RU"/>
              </w:rPr>
              <w:t xml:space="preserve"> viticultură </w:t>
            </w:r>
            <w:proofErr w:type="spellStart"/>
            <w:r w:rsidRPr="002751FC">
              <w:rPr>
                <w:rFonts w:asciiTheme="majorHAnsi" w:eastAsia="Times New Roman" w:hAnsiTheme="majorHAnsi" w:cstheme="majorHAnsi"/>
                <w:b/>
                <w:bCs/>
                <w:color w:val="000000"/>
                <w:sz w:val="20"/>
                <w:szCs w:val="20"/>
                <w:lang w:val="ro-MD" w:eastAsia="ru-RU"/>
              </w:rPr>
              <w:t>şi</w:t>
            </w:r>
            <w:proofErr w:type="spellEnd"/>
            <w:r w:rsidRPr="002751FC">
              <w:rPr>
                <w:rFonts w:asciiTheme="majorHAnsi" w:eastAsia="Times New Roman" w:hAnsiTheme="majorHAnsi" w:cstheme="majorHAnsi"/>
                <w:b/>
                <w:bCs/>
                <w:color w:val="000000"/>
                <w:sz w:val="20"/>
                <w:szCs w:val="20"/>
                <w:lang w:val="ro-MD" w:eastAsia="ru-RU"/>
              </w:rPr>
              <w:t xml:space="preserve"> </w:t>
            </w:r>
            <w:proofErr w:type="spellStart"/>
            <w:r w:rsidRPr="002751FC">
              <w:rPr>
                <w:rFonts w:asciiTheme="majorHAnsi" w:eastAsia="Times New Roman" w:hAnsiTheme="majorHAnsi" w:cstheme="majorHAnsi"/>
                <w:b/>
                <w:bCs/>
                <w:color w:val="000000"/>
                <w:sz w:val="20"/>
                <w:szCs w:val="20"/>
                <w:lang w:val="ro-MD" w:eastAsia="ru-RU"/>
              </w:rPr>
              <w:t>vinificaţie</w:t>
            </w:r>
            <w:proofErr w:type="spellEnd"/>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p>
        </w:tc>
      </w:tr>
      <w:tr w:rsidR="002B0C1F" w:rsidRPr="002751FC" w:rsidTr="008E6A80">
        <w:trPr>
          <w:trHeight w:val="109"/>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8</w:t>
            </w:r>
          </w:p>
        </w:tc>
        <w:tc>
          <w:tcPr>
            <w:tcW w:w="7497" w:type="dxa"/>
          </w:tcPr>
          <w:p w:rsidR="002B0C1F" w:rsidRPr="002751FC" w:rsidRDefault="002B0C1F"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Expert coordonator (responsabil viticultură)</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3,085</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23446</w:t>
            </w:r>
          </w:p>
        </w:tc>
      </w:tr>
      <w:tr w:rsidR="002B0C1F" w:rsidRPr="002751FC" w:rsidTr="008E6A80">
        <w:trPr>
          <w:trHeight w:val="70"/>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9</w:t>
            </w:r>
          </w:p>
        </w:tc>
        <w:tc>
          <w:tcPr>
            <w:tcW w:w="7497" w:type="dxa"/>
          </w:tcPr>
          <w:p w:rsidR="002B0C1F" w:rsidRPr="002751FC" w:rsidRDefault="002B0C1F"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 xml:space="preserve">Expert coordonator (responsabil </w:t>
            </w:r>
            <w:proofErr w:type="spellStart"/>
            <w:r w:rsidRPr="002751FC">
              <w:rPr>
                <w:rFonts w:asciiTheme="majorHAnsi" w:eastAsia="Times New Roman" w:hAnsiTheme="majorHAnsi" w:cstheme="majorHAnsi"/>
                <w:color w:val="000000"/>
                <w:sz w:val="20"/>
                <w:szCs w:val="20"/>
                <w:lang w:val="ro-MD" w:eastAsia="ru-RU"/>
              </w:rPr>
              <w:t>vinificaţie</w:t>
            </w:r>
            <w:proofErr w:type="spellEnd"/>
            <w:r w:rsidRPr="002751FC">
              <w:rPr>
                <w:rFonts w:asciiTheme="majorHAnsi" w:eastAsia="Times New Roman" w:hAnsiTheme="majorHAnsi" w:cstheme="majorHAnsi"/>
                <w:color w:val="000000"/>
                <w:sz w:val="20"/>
                <w:szCs w:val="20"/>
                <w:lang w:val="ro-MD" w:eastAsia="ru-RU"/>
              </w:rPr>
              <w:t>)</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3,085</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23446</w:t>
            </w:r>
          </w:p>
        </w:tc>
      </w:tr>
      <w:tr w:rsidR="002B0C1F" w:rsidRPr="002751FC" w:rsidTr="008E6A80">
        <w:trPr>
          <w:trHeight w:val="159"/>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10</w:t>
            </w:r>
          </w:p>
        </w:tc>
        <w:tc>
          <w:tcPr>
            <w:tcW w:w="7497" w:type="dxa"/>
          </w:tcPr>
          <w:p w:rsidR="002B0C1F" w:rsidRPr="002751FC" w:rsidRDefault="002B0C1F"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 xml:space="preserve">Expert (responsabil </w:t>
            </w:r>
            <w:r w:rsidR="008E6819" w:rsidRPr="002751FC">
              <w:rPr>
                <w:rFonts w:asciiTheme="majorHAnsi" w:eastAsia="Times New Roman" w:hAnsiTheme="majorHAnsi" w:cstheme="majorHAnsi"/>
                <w:color w:val="000000"/>
                <w:sz w:val="20"/>
                <w:szCs w:val="20"/>
                <w:lang w:val="ro-MD" w:eastAsia="ru-RU"/>
              </w:rPr>
              <w:t>R</w:t>
            </w:r>
            <w:r w:rsidRPr="002751FC">
              <w:rPr>
                <w:rFonts w:asciiTheme="majorHAnsi" w:eastAsia="Times New Roman" w:hAnsiTheme="majorHAnsi" w:cstheme="majorHAnsi"/>
                <w:color w:val="000000"/>
                <w:sz w:val="20"/>
                <w:szCs w:val="20"/>
                <w:lang w:val="ro-MD" w:eastAsia="ru-RU"/>
              </w:rPr>
              <w:t>egistrul vitivinicol)</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2,43</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18468</w:t>
            </w:r>
          </w:p>
        </w:tc>
      </w:tr>
      <w:tr w:rsidR="002B0C1F" w:rsidRPr="002751FC" w:rsidTr="008E6A80">
        <w:trPr>
          <w:trHeight w:val="205"/>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11</w:t>
            </w:r>
          </w:p>
        </w:tc>
        <w:tc>
          <w:tcPr>
            <w:tcW w:w="7497" w:type="dxa"/>
          </w:tcPr>
          <w:p w:rsidR="002B0C1F" w:rsidRPr="002751FC" w:rsidRDefault="002B0C1F"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Expert (responsabil IGP/DOP/</w:t>
            </w:r>
            <w:proofErr w:type="spellStart"/>
            <w:r w:rsidRPr="002751FC">
              <w:rPr>
                <w:rFonts w:asciiTheme="majorHAnsi" w:eastAsia="Times New Roman" w:hAnsiTheme="majorHAnsi" w:cstheme="majorHAnsi"/>
                <w:color w:val="000000"/>
                <w:sz w:val="20"/>
                <w:szCs w:val="20"/>
                <w:lang w:val="ro-MD" w:eastAsia="ru-RU"/>
              </w:rPr>
              <w:t>WoM</w:t>
            </w:r>
            <w:proofErr w:type="spellEnd"/>
            <w:r w:rsidRPr="002751FC">
              <w:rPr>
                <w:rFonts w:asciiTheme="majorHAnsi" w:eastAsia="Times New Roman" w:hAnsiTheme="majorHAnsi" w:cstheme="majorHAnsi"/>
                <w:color w:val="000000"/>
                <w:sz w:val="20"/>
                <w:szCs w:val="20"/>
                <w:lang w:val="ro-MD" w:eastAsia="ru-RU"/>
              </w:rPr>
              <w:t>)</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2,43</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18468</w:t>
            </w:r>
          </w:p>
        </w:tc>
      </w:tr>
      <w:tr w:rsidR="002B0C1F" w:rsidRPr="002751FC" w:rsidTr="008E6A80">
        <w:trPr>
          <w:trHeight w:val="238"/>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12</w:t>
            </w:r>
          </w:p>
        </w:tc>
        <w:tc>
          <w:tcPr>
            <w:tcW w:w="7497" w:type="dxa"/>
          </w:tcPr>
          <w:p w:rsidR="002B0C1F" w:rsidRPr="002751FC" w:rsidRDefault="008E6819"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S</w:t>
            </w:r>
            <w:r w:rsidR="002B0C1F" w:rsidRPr="002751FC">
              <w:rPr>
                <w:rFonts w:asciiTheme="majorHAnsi" w:eastAsia="Times New Roman" w:hAnsiTheme="majorHAnsi" w:cstheme="majorHAnsi"/>
                <w:color w:val="000000"/>
                <w:sz w:val="20"/>
                <w:szCs w:val="20"/>
                <w:lang w:val="ro-MD" w:eastAsia="ru-RU"/>
              </w:rPr>
              <w:t xml:space="preserve">pecialist </w:t>
            </w:r>
            <w:r w:rsidR="002B0C1F" w:rsidRPr="002751FC">
              <w:rPr>
                <w:rFonts w:asciiTheme="majorHAnsi" w:eastAsia="Times New Roman" w:hAnsiTheme="majorHAnsi" w:cstheme="majorHAnsi"/>
                <w:i/>
                <w:iCs/>
                <w:color w:val="000000"/>
                <w:sz w:val="20"/>
                <w:szCs w:val="20"/>
                <w:lang w:val="ro-MD" w:eastAsia="ru-RU"/>
              </w:rPr>
              <w:t>(</w:t>
            </w:r>
            <w:r w:rsidR="002B0C1F" w:rsidRPr="002751FC">
              <w:rPr>
                <w:rFonts w:asciiTheme="majorHAnsi" w:eastAsia="Times New Roman" w:hAnsiTheme="majorHAnsi" w:cstheme="majorHAnsi"/>
                <w:color w:val="000000"/>
                <w:sz w:val="20"/>
                <w:szCs w:val="20"/>
                <w:lang w:val="ro-MD" w:eastAsia="ru-RU"/>
              </w:rPr>
              <w:t>Asocia</w:t>
            </w:r>
            <w:r w:rsidRPr="002751FC">
              <w:rPr>
                <w:rFonts w:asciiTheme="majorHAnsi" w:eastAsia="Times New Roman" w:hAnsiTheme="majorHAnsi" w:cstheme="majorHAnsi"/>
                <w:color w:val="000000"/>
                <w:sz w:val="20"/>
                <w:szCs w:val="20"/>
                <w:lang w:val="ro-MD" w:eastAsia="ru-RU"/>
              </w:rPr>
              <w:t>ț</w:t>
            </w:r>
            <w:r w:rsidR="002B0C1F" w:rsidRPr="002751FC">
              <w:rPr>
                <w:rFonts w:asciiTheme="majorHAnsi" w:eastAsia="Times New Roman" w:hAnsiTheme="majorHAnsi" w:cstheme="majorHAnsi"/>
                <w:color w:val="000000"/>
                <w:sz w:val="20"/>
                <w:szCs w:val="20"/>
                <w:lang w:val="ro-MD" w:eastAsia="ru-RU"/>
              </w:rPr>
              <w:t>ii IGP</w:t>
            </w:r>
            <w:r w:rsidR="002B0C1F" w:rsidRPr="002751FC">
              <w:rPr>
                <w:rFonts w:asciiTheme="majorHAnsi" w:eastAsia="Times New Roman" w:hAnsiTheme="majorHAnsi" w:cstheme="majorHAnsi"/>
                <w:i/>
                <w:iCs/>
                <w:color w:val="000000"/>
                <w:sz w:val="20"/>
                <w:szCs w:val="20"/>
                <w:lang w:val="ro-MD" w:eastAsia="ru-RU"/>
              </w:rPr>
              <w:t>)</w:t>
            </w:r>
            <w:r w:rsidRPr="002751FC">
              <w:rPr>
                <w:rFonts w:asciiTheme="majorHAnsi" w:eastAsia="Times New Roman" w:hAnsiTheme="majorHAnsi" w:cstheme="majorHAnsi"/>
                <w:i/>
                <w:iCs/>
                <w:color w:val="000000"/>
                <w:sz w:val="20"/>
                <w:szCs w:val="20"/>
                <w:lang w:val="ro-MD" w:eastAsia="ru-RU"/>
              </w:rPr>
              <w:t xml:space="preserve"> </w:t>
            </w:r>
            <w:r w:rsidR="002B0C1F" w:rsidRPr="002751FC">
              <w:rPr>
                <w:rFonts w:asciiTheme="majorHAnsi" w:eastAsia="Times New Roman" w:hAnsiTheme="majorHAnsi" w:cstheme="majorHAnsi"/>
                <w:i/>
                <w:iCs/>
                <w:color w:val="000000"/>
                <w:sz w:val="20"/>
                <w:szCs w:val="20"/>
                <w:lang w:val="ro-MD" w:eastAsia="ru-RU"/>
              </w:rPr>
              <w:t>4 ore</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1,8</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13680</w:t>
            </w:r>
          </w:p>
        </w:tc>
      </w:tr>
      <w:tr w:rsidR="002B0C1F" w:rsidRPr="002751FC" w:rsidTr="008E6A80">
        <w:trPr>
          <w:trHeight w:val="127"/>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13</w:t>
            </w:r>
          </w:p>
        </w:tc>
        <w:tc>
          <w:tcPr>
            <w:tcW w:w="7497" w:type="dxa"/>
          </w:tcPr>
          <w:p w:rsidR="002B0C1F" w:rsidRPr="002751FC" w:rsidRDefault="002B0C1F"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specialist (Asocia</w:t>
            </w:r>
            <w:r w:rsidR="008E6819" w:rsidRPr="002751FC">
              <w:rPr>
                <w:rFonts w:asciiTheme="majorHAnsi" w:eastAsia="Times New Roman" w:hAnsiTheme="majorHAnsi" w:cstheme="majorHAnsi"/>
                <w:color w:val="000000"/>
                <w:sz w:val="20"/>
                <w:szCs w:val="20"/>
                <w:lang w:val="ro-MD" w:eastAsia="ru-RU"/>
              </w:rPr>
              <w:t>ț</w:t>
            </w:r>
            <w:r w:rsidRPr="002751FC">
              <w:rPr>
                <w:rFonts w:asciiTheme="majorHAnsi" w:eastAsia="Times New Roman" w:hAnsiTheme="majorHAnsi" w:cstheme="majorHAnsi"/>
                <w:color w:val="000000"/>
                <w:sz w:val="20"/>
                <w:szCs w:val="20"/>
                <w:lang w:val="ro-MD" w:eastAsia="ru-RU"/>
              </w:rPr>
              <w:t>ii IGP)</w:t>
            </w:r>
            <w:r w:rsidR="008E6819" w:rsidRPr="002751FC">
              <w:rPr>
                <w:rFonts w:asciiTheme="majorHAnsi" w:eastAsia="Times New Roman" w:hAnsiTheme="majorHAnsi" w:cstheme="majorHAnsi"/>
                <w:color w:val="000000"/>
                <w:sz w:val="20"/>
                <w:szCs w:val="20"/>
                <w:lang w:val="ro-MD" w:eastAsia="ru-RU"/>
              </w:rPr>
              <w:t xml:space="preserve"> </w:t>
            </w:r>
            <w:r w:rsidRPr="002751FC">
              <w:rPr>
                <w:rFonts w:asciiTheme="majorHAnsi" w:eastAsia="Times New Roman" w:hAnsiTheme="majorHAnsi" w:cstheme="majorHAnsi"/>
                <w:color w:val="000000"/>
                <w:sz w:val="20"/>
                <w:szCs w:val="20"/>
                <w:lang w:val="ro-MD" w:eastAsia="ru-RU"/>
              </w:rPr>
              <w:t>4 ore</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1,8</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13680</w:t>
            </w:r>
          </w:p>
        </w:tc>
      </w:tr>
      <w:tr w:rsidR="002B0C1F" w:rsidRPr="002751FC" w:rsidTr="008E6A80">
        <w:trPr>
          <w:trHeight w:val="146"/>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14</w:t>
            </w:r>
          </w:p>
        </w:tc>
        <w:tc>
          <w:tcPr>
            <w:tcW w:w="7497" w:type="dxa"/>
          </w:tcPr>
          <w:p w:rsidR="002B0C1F" w:rsidRPr="002751FC" w:rsidRDefault="008E6819"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S</w:t>
            </w:r>
            <w:r w:rsidR="002B0C1F" w:rsidRPr="002751FC">
              <w:rPr>
                <w:rFonts w:asciiTheme="majorHAnsi" w:eastAsia="Times New Roman" w:hAnsiTheme="majorHAnsi" w:cstheme="majorHAnsi"/>
                <w:color w:val="000000"/>
                <w:sz w:val="20"/>
                <w:szCs w:val="20"/>
                <w:lang w:val="ro-MD" w:eastAsia="ru-RU"/>
              </w:rPr>
              <w:t>pecialist (Asocia</w:t>
            </w:r>
            <w:r w:rsidRPr="002751FC">
              <w:rPr>
                <w:rFonts w:asciiTheme="majorHAnsi" w:eastAsia="Times New Roman" w:hAnsiTheme="majorHAnsi" w:cstheme="majorHAnsi"/>
                <w:color w:val="000000"/>
                <w:sz w:val="20"/>
                <w:szCs w:val="20"/>
                <w:lang w:val="ro-MD" w:eastAsia="ru-RU"/>
              </w:rPr>
              <w:t>ț</w:t>
            </w:r>
            <w:r w:rsidR="002B0C1F" w:rsidRPr="002751FC">
              <w:rPr>
                <w:rFonts w:asciiTheme="majorHAnsi" w:eastAsia="Times New Roman" w:hAnsiTheme="majorHAnsi" w:cstheme="majorHAnsi"/>
                <w:color w:val="000000"/>
                <w:sz w:val="20"/>
                <w:szCs w:val="20"/>
                <w:lang w:val="ro-MD" w:eastAsia="ru-RU"/>
              </w:rPr>
              <w:t>ii IGP)</w:t>
            </w:r>
            <w:r w:rsidRPr="002751FC">
              <w:rPr>
                <w:rFonts w:asciiTheme="majorHAnsi" w:eastAsia="Times New Roman" w:hAnsiTheme="majorHAnsi" w:cstheme="majorHAnsi"/>
                <w:color w:val="000000"/>
                <w:sz w:val="20"/>
                <w:szCs w:val="20"/>
                <w:lang w:val="ro-MD" w:eastAsia="ru-RU"/>
              </w:rPr>
              <w:t xml:space="preserve"> </w:t>
            </w:r>
            <w:r w:rsidR="002B0C1F" w:rsidRPr="002751FC">
              <w:rPr>
                <w:rFonts w:asciiTheme="majorHAnsi" w:eastAsia="Times New Roman" w:hAnsiTheme="majorHAnsi" w:cstheme="majorHAnsi"/>
                <w:color w:val="000000"/>
                <w:sz w:val="20"/>
                <w:szCs w:val="20"/>
                <w:lang w:val="ro-MD" w:eastAsia="ru-RU"/>
              </w:rPr>
              <w:t>4 ore</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1,8</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13680</w:t>
            </w:r>
          </w:p>
        </w:tc>
      </w:tr>
      <w:tr w:rsidR="002B0C1F" w:rsidRPr="002751FC" w:rsidTr="008E6A80">
        <w:trPr>
          <w:trHeight w:val="177"/>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15</w:t>
            </w:r>
          </w:p>
        </w:tc>
        <w:tc>
          <w:tcPr>
            <w:tcW w:w="7497" w:type="dxa"/>
          </w:tcPr>
          <w:p w:rsidR="002B0C1F" w:rsidRPr="002751FC" w:rsidRDefault="008E6819"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S</w:t>
            </w:r>
            <w:r w:rsidR="002B0C1F" w:rsidRPr="002751FC">
              <w:rPr>
                <w:rFonts w:asciiTheme="majorHAnsi" w:eastAsia="Times New Roman" w:hAnsiTheme="majorHAnsi" w:cstheme="majorHAnsi"/>
                <w:color w:val="000000"/>
                <w:sz w:val="20"/>
                <w:szCs w:val="20"/>
                <w:lang w:val="ro-MD" w:eastAsia="ru-RU"/>
              </w:rPr>
              <w:t>pecialist (Asocia</w:t>
            </w:r>
            <w:r w:rsidRPr="002751FC">
              <w:rPr>
                <w:rFonts w:asciiTheme="majorHAnsi" w:eastAsia="Times New Roman" w:hAnsiTheme="majorHAnsi" w:cstheme="majorHAnsi"/>
                <w:color w:val="000000"/>
                <w:sz w:val="20"/>
                <w:szCs w:val="20"/>
                <w:lang w:val="ro-MD" w:eastAsia="ru-RU"/>
              </w:rPr>
              <w:t>ț</w:t>
            </w:r>
            <w:r w:rsidR="002B0C1F" w:rsidRPr="002751FC">
              <w:rPr>
                <w:rFonts w:asciiTheme="majorHAnsi" w:eastAsia="Times New Roman" w:hAnsiTheme="majorHAnsi" w:cstheme="majorHAnsi"/>
                <w:color w:val="000000"/>
                <w:sz w:val="20"/>
                <w:szCs w:val="20"/>
                <w:lang w:val="ro-MD" w:eastAsia="ru-RU"/>
              </w:rPr>
              <w:t>ii IGP)</w:t>
            </w:r>
            <w:r w:rsidRPr="002751FC">
              <w:rPr>
                <w:rFonts w:asciiTheme="majorHAnsi" w:eastAsia="Times New Roman" w:hAnsiTheme="majorHAnsi" w:cstheme="majorHAnsi"/>
                <w:color w:val="000000"/>
                <w:sz w:val="20"/>
                <w:szCs w:val="20"/>
                <w:lang w:val="ro-MD" w:eastAsia="ru-RU"/>
              </w:rPr>
              <w:t xml:space="preserve"> </w:t>
            </w:r>
            <w:r w:rsidR="002B0C1F" w:rsidRPr="002751FC">
              <w:rPr>
                <w:rFonts w:asciiTheme="majorHAnsi" w:eastAsia="Times New Roman" w:hAnsiTheme="majorHAnsi" w:cstheme="majorHAnsi"/>
                <w:color w:val="000000"/>
                <w:sz w:val="20"/>
                <w:szCs w:val="20"/>
                <w:lang w:val="ro-MD" w:eastAsia="ru-RU"/>
              </w:rPr>
              <w:t>4 ore</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1,8</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13680</w:t>
            </w:r>
          </w:p>
        </w:tc>
      </w:tr>
      <w:tr w:rsidR="002B0C1F" w:rsidRPr="002751FC" w:rsidTr="008E6A80">
        <w:trPr>
          <w:trHeight w:val="210"/>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p>
        </w:tc>
        <w:tc>
          <w:tcPr>
            <w:tcW w:w="7497" w:type="dxa"/>
          </w:tcPr>
          <w:p w:rsidR="002B0C1F" w:rsidRPr="002751FC" w:rsidRDefault="002B0C1F" w:rsidP="00E51733">
            <w:pPr>
              <w:autoSpaceDE w:val="0"/>
              <w:autoSpaceDN w:val="0"/>
              <w:adjustRightInd w:val="0"/>
              <w:rPr>
                <w:rFonts w:asciiTheme="majorHAnsi" w:eastAsia="Times New Roman" w:hAnsiTheme="majorHAnsi" w:cstheme="majorHAnsi"/>
                <w:color w:val="000000"/>
                <w:sz w:val="20"/>
                <w:szCs w:val="20"/>
                <w:lang w:val="ro-MD" w:eastAsia="ru-RU"/>
              </w:rPr>
            </w:pPr>
            <w:proofErr w:type="spellStart"/>
            <w:r w:rsidRPr="002751FC">
              <w:rPr>
                <w:rFonts w:asciiTheme="majorHAnsi" w:eastAsia="Times New Roman" w:hAnsiTheme="majorHAnsi" w:cstheme="majorHAnsi"/>
                <w:b/>
                <w:bCs/>
                <w:color w:val="000000"/>
                <w:sz w:val="20"/>
                <w:szCs w:val="20"/>
                <w:lang w:val="ro-MD" w:eastAsia="ru-RU"/>
              </w:rPr>
              <w:t>Direcţia</w:t>
            </w:r>
            <w:proofErr w:type="spellEnd"/>
            <w:r w:rsidRPr="002751FC">
              <w:rPr>
                <w:rFonts w:asciiTheme="majorHAnsi" w:eastAsia="Times New Roman" w:hAnsiTheme="majorHAnsi" w:cstheme="majorHAnsi"/>
                <w:b/>
                <w:bCs/>
                <w:color w:val="000000"/>
                <w:sz w:val="20"/>
                <w:szCs w:val="20"/>
                <w:lang w:val="ro-MD" w:eastAsia="ru-RU"/>
              </w:rPr>
              <w:t xml:space="preserve"> administrativ-organizatorică</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p>
        </w:tc>
      </w:tr>
      <w:tr w:rsidR="002B0C1F" w:rsidRPr="002751FC" w:rsidTr="008E6A80">
        <w:trPr>
          <w:trHeight w:val="99"/>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16</w:t>
            </w:r>
          </w:p>
        </w:tc>
        <w:tc>
          <w:tcPr>
            <w:tcW w:w="7497" w:type="dxa"/>
          </w:tcPr>
          <w:p w:rsidR="002B0C1F" w:rsidRPr="002751FC" w:rsidRDefault="008E6819"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C</w:t>
            </w:r>
            <w:r w:rsidR="002B0C1F" w:rsidRPr="002751FC">
              <w:rPr>
                <w:rFonts w:asciiTheme="majorHAnsi" w:eastAsia="Times New Roman" w:hAnsiTheme="majorHAnsi" w:cstheme="majorHAnsi"/>
                <w:color w:val="000000"/>
                <w:sz w:val="20"/>
                <w:szCs w:val="20"/>
                <w:lang w:val="ro-MD" w:eastAsia="ru-RU"/>
              </w:rPr>
              <w:t>ontabil</w:t>
            </w:r>
            <w:r w:rsidRPr="002751FC">
              <w:rPr>
                <w:rFonts w:asciiTheme="majorHAnsi" w:eastAsia="Times New Roman" w:hAnsiTheme="majorHAnsi" w:cstheme="majorHAnsi"/>
                <w:color w:val="000000"/>
                <w:sz w:val="20"/>
                <w:szCs w:val="20"/>
                <w:lang w:val="ro-MD" w:eastAsia="ru-RU"/>
              </w:rPr>
              <w:t>-</w:t>
            </w:r>
            <w:proofErr w:type="spellStart"/>
            <w:r w:rsidR="002B0C1F" w:rsidRPr="002751FC">
              <w:rPr>
                <w:rFonts w:asciiTheme="majorHAnsi" w:eastAsia="Times New Roman" w:hAnsiTheme="majorHAnsi" w:cstheme="majorHAnsi"/>
                <w:color w:val="000000"/>
                <w:sz w:val="20"/>
                <w:szCs w:val="20"/>
                <w:lang w:val="ro-MD" w:eastAsia="ru-RU"/>
              </w:rPr>
              <w:t>şef</w:t>
            </w:r>
            <w:proofErr w:type="spellEnd"/>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3,085</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23446</w:t>
            </w:r>
          </w:p>
        </w:tc>
      </w:tr>
      <w:tr w:rsidR="002B0C1F" w:rsidRPr="002751FC" w:rsidTr="008E6A80">
        <w:trPr>
          <w:trHeight w:val="118"/>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17</w:t>
            </w:r>
          </w:p>
        </w:tc>
        <w:tc>
          <w:tcPr>
            <w:tcW w:w="7497" w:type="dxa"/>
          </w:tcPr>
          <w:p w:rsidR="002B0C1F" w:rsidRPr="002751FC" w:rsidRDefault="008E6819"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C</w:t>
            </w:r>
            <w:r w:rsidR="002B0C1F" w:rsidRPr="002751FC">
              <w:rPr>
                <w:rFonts w:asciiTheme="majorHAnsi" w:eastAsia="Times New Roman" w:hAnsiTheme="majorHAnsi" w:cstheme="majorHAnsi"/>
                <w:color w:val="000000"/>
                <w:sz w:val="20"/>
                <w:szCs w:val="20"/>
                <w:lang w:val="ro-MD" w:eastAsia="ru-RU"/>
              </w:rPr>
              <w:t>onsultant juridic principal</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3,085</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23446</w:t>
            </w:r>
          </w:p>
        </w:tc>
      </w:tr>
      <w:tr w:rsidR="002B0C1F" w:rsidRPr="002751FC" w:rsidTr="008E6A80">
        <w:trPr>
          <w:trHeight w:val="149"/>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18</w:t>
            </w:r>
          </w:p>
        </w:tc>
        <w:tc>
          <w:tcPr>
            <w:tcW w:w="7497" w:type="dxa"/>
          </w:tcPr>
          <w:p w:rsidR="002B0C1F" w:rsidRPr="002751FC" w:rsidRDefault="008E6819"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S</w:t>
            </w:r>
            <w:r w:rsidR="002B0C1F" w:rsidRPr="002751FC">
              <w:rPr>
                <w:rFonts w:asciiTheme="majorHAnsi" w:eastAsia="Times New Roman" w:hAnsiTheme="majorHAnsi" w:cstheme="majorHAnsi"/>
                <w:color w:val="000000"/>
                <w:sz w:val="20"/>
                <w:szCs w:val="20"/>
                <w:lang w:val="ro-MD" w:eastAsia="ru-RU"/>
              </w:rPr>
              <w:t>pecialist achizi</w:t>
            </w:r>
            <w:r w:rsidRPr="002751FC">
              <w:rPr>
                <w:rFonts w:asciiTheme="majorHAnsi" w:eastAsia="Times New Roman" w:hAnsiTheme="majorHAnsi" w:cstheme="majorHAnsi"/>
                <w:color w:val="000000"/>
                <w:sz w:val="20"/>
                <w:szCs w:val="20"/>
                <w:lang w:val="ro-MD" w:eastAsia="ru-RU"/>
              </w:rPr>
              <w:t>ț</w:t>
            </w:r>
            <w:r w:rsidR="002B0C1F" w:rsidRPr="002751FC">
              <w:rPr>
                <w:rFonts w:asciiTheme="majorHAnsi" w:eastAsia="Times New Roman" w:hAnsiTheme="majorHAnsi" w:cstheme="majorHAnsi"/>
                <w:color w:val="000000"/>
                <w:sz w:val="20"/>
                <w:szCs w:val="20"/>
                <w:lang w:val="ro-MD" w:eastAsia="ru-RU"/>
              </w:rPr>
              <w:t>ii</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1,8</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13680</w:t>
            </w:r>
          </w:p>
        </w:tc>
      </w:tr>
      <w:tr w:rsidR="002B0C1F" w:rsidRPr="002751FC" w:rsidTr="008E6A80">
        <w:trPr>
          <w:trHeight w:val="181"/>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19</w:t>
            </w:r>
          </w:p>
        </w:tc>
        <w:tc>
          <w:tcPr>
            <w:tcW w:w="7497" w:type="dxa"/>
          </w:tcPr>
          <w:p w:rsidR="002B0C1F" w:rsidRPr="002751FC" w:rsidRDefault="008E6819"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M</w:t>
            </w:r>
            <w:r w:rsidR="002B0C1F" w:rsidRPr="002751FC">
              <w:rPr>
                <w:rFonts w:asciiTheme="majorHAnsi" w:eastAsia="Times New Roman" w:hAnsiTheme="majorHAnsi" w:cstheme="majorHAnsi"/>
                <w:color w:val="000000"/>
                <w:sz w:val="20"/>
                <w:szCs w:val="20"/>
                <w:lang w:val="ro-MD" w:eastAsia="ru-RU"/>
              </w:rPr>
              <w:t>anager de oficiu</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1,35</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10260</w:t>
            </w:r>
          </w:p>
        </w:tc>
      </w:tr>
      <w:tr w:rsidR="002B0C1F" w:rsidRPr="002751FC" w:rsidTr="008E6A80">
        <w:trPr>
          <w:trHeight w:val="72"/>
        </w:trPr>
        <w:tc>
          <w:tcPr>
            <w:tcW w:w="99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20</w:t>
            </w:r>
          </w:p>
        </w:tc>
        <w:tc>
          <w:tcPr>
            <w:tcW w:w="7497" w:type="dxa"/>
          </w:tcPr>
          <w:p w:rsidR="002B0C1F" w:rsidRPr="002751FC" w:rsidRDefault="008E6819" w:rsidP="00E51733">
            <w:pPr>
              <w:autoSpaceDE w:val="0"/>
              <w:autoSpaceDN w:val="0"/>
              <w:adjustRightInd w:val="0"/>
              <w:rPr>
                <w:rFonts w:asciiTheme="majorHAnsi" w:eastAsia="Times New Roman" w:hAnsiTheme="majorHAnsi" w:cstheme="majorHAnsi"/>
                <w:color w:val="000000"/>
                <w:sz w:val="20"/>
                <w:szCs w:val="20"/>
                <w:lang w:val="ro-MD" w:eastAsia="ru-RU"/>
              </w:rPr>
            </w:pPr>
            <w:r w:rsidRPr="002751FC">
              <w:rPr>
                <w:rFonts w:asciiTheme="majorHAnsi" w:eastAsia="Times New Roman" w:hAnsiTheme="majorHAnsi" w:cstheme="majorHAnsi"/>
                <w:color w:val="000000"/>
                <w:sz w:val="20"/>
                <w:szCs w:val="20"/>
                <w:lang w:val="ro-MD" w:eastAsia="ru-RU"/>
              </w:rPr>
              <w:t>A</w:t>
            </w:r>
            <w:r w:rsidR="002B0C1F" w:rsidRPr="002751FC">
              <w:rPr>
                <w:rFonts w:asciiTheme="majorHAnsi" w:eastAsia="Times New Roman" w:hAnsiTheme="majorHAnsi" w:cstheme="majorHAnsi"/>
                <w:color w:val="000000"/>
                <w:sz w:val="20"/>
                <w:szCs w:val="20"/>
                <w:lang w:val="ro-MD" w:eastAsia="ru-RU"/>
              </w:rPr>
              <w:t>dministrator logistic</w:t>
            </w:r>
            <w:r w:rsidRPr="002751FC">
              <w:rPr>
                <w:rFonts w:asciiTheme="majorHAnsi" w:eastAsia="Times New Roman" w:hAnsiTheme="majorHAnsi" w:cstheme="majorHAnsi"/>
                <w:color w:val="000000"/>
                <w:sz w:val="20"/>
                <w:szCs w:val="20"/>
                <w:lang w:val="ro-MD" w:eastAsia="ru-RU"/>
              </w:rPr>
              <w:t>ă</w:t>
            </w:r>
          </w:p>
        </w:tc>
        <w:tc>
          <w:tcPr>
            <w:tcW w:w="220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1</w:t>
            </w:r>
          </w:p>
        </w:tc>
        <w:tc>
          <w:tcPr>
            <w:tcW w:w="2745" w:type="dxa"/>
          </w:tcPr>
          <w:p w:rsidR="002B0C1F" w:rsidRPr="002751FC" w:rsidRDefault="002B0C1F" w:rsidP="00E51733">
            <w:pPr>
              <w:autoSpaceDE w:val="0"/>
              <w:autoSpaceDN w:val="0"/>
              <w:adjustRightInd w:val="0"/>
              <w:rPr>
                <w:rFonts w:asciiTheme="majorHAnsi" w:hAnsiTheme="majorHAnsi" w:cstheme="majorHAnsi"/>
                <w:i/>
                <w:sz w:val="20"/>
                <w:szCs w:val="20"/>
                <w:lang w:val="ro-MD"/>
              </w:rPr>
            </w:pPr>
            <w:r w:rsidRPr="002751FC">
              <w:rPr>
                <w:rFonts w:asciiTheme="majorHAnsi" w:hAnsiTheme="majorHAnsi" w:cstheme="majorHAnsi"/>
                <w:i/>
                <w:sz w:val="20"/>
                <w:szCs w:val="20"/>
                <w:lang w:val="ro-MD"/>
              </w:rPr>
              <w:t>7600</w:t>
            </w:r>
          </w:p>
        </w:tc>
      </w:tr>
    </w:tbl>
    <w:p w:rsidR="00C132E5" w:rsidRPr="002751FC" w:rsidRDefault="00C132E5" w:rsidP="00C132E5">
      <w:pPr>
        <w:rPr>
          <w:rFonts w:asciiTheme="majorHAnsi" w:hAnsiTheme="majorHAnsi" w:cstheme="majorHAnsi"/>
          <w:lang w:val="ro-MD"/>
        </w:rPr>
      </w:pPr>
      <w:r w:rsidRPr="002751FC">
        <w:rPr>
          <w:rFonts w:asciiTheme="majorHAnsi" w:hAnsiTheme="majorHAnsi" w:cstheme="majorHAnsi"/>
          <w:b/>
          <w:lang w:val="ro-MD"/>
        </w:rPr>
        <w:t xml:space="preserve">Sursa: </w:t>
      </w:r>
      <w:r w:rsidRPr="002751FC">
        <w:rPr>
          <w:rFonts w:asciiTheme="majorHAnsi" w:hAnsiTheme="majorHAnsi" w:cstheme="majorHAnsi"/>
          <w:lang w:val="ro-MD"/>
        </w:rPr>
        <w:t>cadrul legislativ.</w:t>
      </w:r>
    </w:p>
    <w:p w:rsidR="002B0C1F" w:rsidRPr="002751FC" w:rsidRDefault="002B0C1F" w:rsidP="002B0C1F">
      <w:pPr>
        <w:rPr>
          <w:rFonts w:asciiTheme="majorHAnsi" w:hAnsiTheme="majorHAnsi" w:cstheme="majorHAnsi"/>
          <w:i/>
          <w:sz w:val="28"/>
          <w:szCs w:val="28"/>
          <w:lang w:val="ro-MD"/>
        </w:rPr>
      </w:pPr>
      <w:r w:rsidRPr="002751FC">
        <w:rPr>
          <w:rFonts w:asciiTheme="majorHAnsi" w:hAnsiTheme="majorHAnsi" w:cstheme="majorHAnsi"/>
          <w:i/>
          <w:sz w:val="28"/>
          <w:szCs w:val="28"/>
          <w:lang w:val="ro-MD"/>
        </w:rPr>
        <w:br w:type="page"/>
      </w:r>
    </w:p>
    <w:p w:rsidR="002B0C1F" w:rsidRPr="002751FC" w:rsidRDefault="002B0C1F" w:rsidP="002B0C1F">
      <w:pPr>
        <w:autoSpaceDE w:val="0"/>
        <w:autoSpaceDN w:val="0"/>
        <w:adjustRightInd w:val="0"/>
        <w:spacing w:after="0" w:line="240" w:lineRule="auto"/>
        <w:ind w:firstLine="540"/>
        <w:rPr>
          <w:rFonts w:asciiTheme="majorHAnsi" w:hAnsiTheme="majorHAnsi" w:cstheme="majorHAnsi"/>
          <w:i/>
          <w:sz w:val="28"/>
          <w:szCs w:val="28"/>
          <w:lang w:val="ro-MD"/>
        </w:rPr>
      </w:pPr>
    </w:p>
    <w:p w:rsidR="002B0C1F" w:rsidRPr="002751FC" w:rsidRDefault="00F717F5" w:rsidP="002B0C1F">
      <w:pPr>
        <w:pStyle w:val="1"/>
        <w:jc w:val="right"/>
        <w:rPr>
          <w:rFonts w:cstheme="majorHAnsi"/>
          <w:b/>
          <w:color w:val="auto"/>
          <w:sz w:val="28"/>
          <w:szCs w:val="28"/>
          <w:lang w:val="ro-MD"/>
        </w:rPr>
      </w:pPr>
      <w:bookmarkStart w:id="99" w:name="_Toc23259147"/>
      <w:r w:rsidRPr="002751FC">
        <w:rPr>
          <w:rFonts w:cstheme="majorHAnsi"/>
          <w:b/>
          <w:color w:val="auto"/>
          <w:sz w:val="28"/>
          <w:szCs w:val="28"/>
          <w:lang w:val="ro-MD"/>
        </w:rPr>
        <w:t>Anexa nr.1</w:t>
      </w:r>
      <w:r w:rsidR="002B0C1F" w:rsidRPr="002751FC">
        <w:rPr>
          <w:rFonts w:cstheme="majorHAnsi"/>
          <w:b/>
          <w:color w:val="auto"/>
          <w:sz w:val="28"/>
          <w:szCs w:val="28"/>
          <w:lang w:val="ro-MD"/>
        </w:rPr>
        <w:t>1</w:t>
      </w:r>
      <w:bookmarkEnd w:id="99"/>
    </w:p>
    <w:p w:rsidR="002B0C1F" w:rsidRPr="002751FC" w:rsidRDefault="002B0C1F" w:rsidP="002B0C1F">
      <w:pPr>
        <w:autoSpaceDE w:val="0"/>
        <w:autoSpaceDN w:val="0"/>
        <w:adjustRightInd w:val="0"/>
        <w:spacing w:after="0" w:line="240" w:lineRule="auto"/>
        <w:ind w:firstLine="540"/>
        <w:jc w:val="right"/>
        <w:rPr>
          <w:rFonts w:asciiTheme="majorHAnsi" w:hAnsiTheme="majorHAnsi" w:cstheme="majorHAnsi"/>
          <w:i/>
          <w:sz w:val="28"/>
          <w:szCs w:val="28"/>
          <w:lang w:val="ro-MD"/>
        </w:rPr>
      </w:pPr>
    </w:p>
    <w:p w:rsidR="002B0C1F" w:rsidRPr="002751FC" w:rsidRDefault="002B0C1F" w:rsidP="002B0C1F">
      <w:pPr>
        <w:pStyle w:val="1"/>
        <w:spacing w:before="0"/>
        <w:jc w:val="both"/>
        <w:rPr>
          <w:rFonts w:cstheme="majorHAnsi"/>
          <w:b/>
          <w:color w:val="auto"/>
          <w:sz w:val="28"/>
          <w:szCs w:val="28"/>
          <w:lang w:val="ro-MD"/>
        </w:rPr>
      </w:pPr>
      <w:bookmarkStart w:id="100" w:name="_Toc21985628"/>
      <w:bookmarkStart w:id="101" w:name="_Toc23259148"/>
      <w:r w:rsidRPr="002751FC">
        <w:rPr>
          <w:rFonts w:cstheme="majorHAnsi"/>
          <w:b/>
          <w:color w:val="auto"/>
          <w:sz w:val="28"/>
          <w:szCs w:val="28"/>
          <w:lang w:val="ro-MD"/>
        </w:rPr>
        <w:t>Tabelul nr.11.1. Sinteza rezultatelor concursurilor internaţionale în domeniul vinificației la care au participat vinificatorii din Republica Moldova pe parcursul anului 2018</w:t>
      </w:r>
      <w:bookmarkEnd w:id="100"/>
      <w:r w:rsidRPr="002751FC">
        <w:rPr>
          <w:rFonts w:cstheme="majorHAnsi"/>
          <w:b/>
          <w:color w:val="auto"/>
          <w:sz w:val="28"/>
          <w:szCs w:val="28"/>
          <w:lang w:val="ro-MD"/>
        </w:rPr>
        <w:t>, cheltuielile de participare fiind suportate din FVV</w:t>
      </w:r>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367"/>
        <w:gridCol w:w="2502"/>
        <w:gridCol w:w="1722"/>
        <w:gridCol w:w="800"/>
        <w:gridCol w:w="800"/>
        <w:gridCol w:w="754"/>
        <w:gridCol w:w="865"/>
        <w:gridCol w:w="707"/>
        <w:gridCol w:w="907"/>
      </w:tblGrid>
      <w:tr w:rsidR="002B0C1F" w:rsidRPr="002751FC" w:rsidTr="008E6A80">
        <w:trPr>
          <w:trHeight w:val="375"/>
        </w:trPr>
        <w:tc>
          <w:tcPr>
            <w:tcW w:w="203" w:type="pct"/>
            <w:vMerge w:val="restart"/>
            <w:shd w:val="clear" w:color="auto" w:fill="DEEAF6" w:themeFill="accent1" w:themeFillTint="33"/>
            <w:vAlign w:val="center"/>
            <w:hideMark/>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Nr. d/o</w:t>
            </w:r>
          </w:p>
        </w:tc>
        <w:tc>
          <w:tcPr>
            <w:tcW w:w="1300" w:type="pct"/>
            <w:vMerge w:val="restart"/>
            <w:shd w:val="clear" w:color="auto" w:fill="DEEAF6" w:themeFill="accent1" w:themeFillTint="33"/>
            <w:vAlign w:val="center"/>
            <w:hideMark/>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Denumirea concursului</w:t>
            </w:r>
          </w:p>
        </w:tc>
        <w:tc>
          <w:tcPr>
            <w:tcW w:w="966" w:type="pct"/>
            <w:vMerge w:val="restart"/>
            <w:shd w:val="clear" w:color="auto" w:fill="DEEAF6" w:themeFill="accent1" w:themeFillTint="33"/>
            <w:vAlign w:val="center"/>
            <w:hideMark/>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Perioada</w:t>
            </w:r>
          </w:p>
        </w:tc>
        <w:tc>
          <w:tcPr>
            <w:tcW w:w="665" w:type="pct"/>
            <w:vMerge w:val="restart"/>
            <w:shd w:val="clear" w:color="auto" w:fill="DEEAF6" w:themeFill="accent1" w:themeFillTint="33"/>
            <w:vAlign w:val="center"/>
            <w:hideMark/>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Locația</w:t>
            </w:r>
          </w:p>
        </w:tc>
        <w:tc>
          <w:tcPr>
            <w:tcW w:w="309" w:type="pct"/>
            <w:vMerge w:val="restart"/>
            <w:shd w:val="clear" w:color="auto" w:fill="DEEAF6" w:themeFill="accent1" w:themeFillTint="33"/>
            <w:textDirection w:val="btLr"/>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Buget, mii MDL</w:t>
            </w:r>
          </w:p>
        </w:tc>
        <w:tc>
          <w:tcPr>
            <w:tcW w:w="309" w:type="pct"/>
            <w:vMerge w:val="restart"/>
            <w:shd w:val="clear" w:color="auto" w:fill="DEEAF6" w:themeFill="accent1" w:themeFillTint="33"/>
            <w:textDirection w:val="btLr"/>
            <w:vAlign w:val="center"/>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 xml:space="preserve">Nr. </w:t>
            </w:r>
            <w:r w:rsidR="009655B0" w:rsidRPr="002751FC">
              <w:rPr>
                <w:rFonts w:asciiTheme="majorHAnsi" w:eastAsia="Times New Roman" w:hAnsiTheme="majorHAnsi" w:cstheme="majorHAnsi"/>
                <w:b/>
                <w:bCs/>
                <w:color w:val="000000"/>
                <w:sz w:val="20"/>
                <w:szCs w:val="20"/>
                <w:lang w:val="ro-MD"/>
              </w:rPr>
              <w:t>Agenților</w:t>
            </w:r>
            <w:r w:rsidRPr="002751FC">
              <w:rPr>
                <w:rFonts w:asciiTheme="majorHAnsi" w:eastAsia="Times New Roman" w:hAnsiTheme="majorHAnsi" w:cstheme="majorHAnsi"/>
                <w:b/>
                <w:bCs/>
                <w:color w:val="000000"/>
                <w:sz w:val="20"/>
                <w:szCs w:val="20"/>
                <w:lang w:val="ro-MD"/>
              </w:rPr>
              <w:t xml:space="preserve"> economici </w:t>
            </w:r>
            <w:r w:rsidR="009655B0" w:rsidRPr="002751FC">
              <w:rPr>
                <w:rFonts w:asciiTheme="majorHAnsi" w:eastAsia="Times New Roman" w:hAnsiTheme="majorHAnsi" w:cstheme="majorHAnsi"/>
                <w:b/>
                <w:bCs/>
                <w:color w:val="000000"/>
                <w:sz w:val="20"/>
                <w:szCs w:val="20"/>
                <w:lang w:val="ro-MD"/>
              </w:rPr>
              <w:t>participanți</w:t>
            </w:r>
          </w:p>
        </w:tc>
        <w:tc>
          <w:tcPr>
            <w:tcW w:w="898" w:type="pct"/>
            <w:gridSpan w:val="3"/>
            <w:shd w:val="clear" w:color="auto" w:fill="DEEAF6" w:themeFill="accent1" w:themeFillTint="33"/>
            <w:vAlign w:val="center"/>
            <w:hideMark/>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Medalii</w:t>
            </w:r>
          </w:p>
        </w:tc>
        <w:tc>
          <w:tcPr>
            <w:tcW w:w="350" w:type="pct"/>
            <w:vMerge w:val="restart"/>
            <w:shd w:val="clear" w:color="auto" w:fill="DEEAF6" w:themeFill="accent1" w:themeFillTint="33"/>
            <w:vAlign w:val="center"/>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Insigne</w:t>
            </w:r>
          </w:p>
        </w:tc>
      </w:tr>
      <w:tr w:rsidR="002B0C1F" w:rsidRPr="002751FC" w:rsidTr="008E6A80">
        <w:trPr>
          <w:trHeight w:val="1524"/>
        </w:trPr>
        <w:tc>
          <w:tcPr>
            <w:tcW w:w="203" w:type="pct"/>
            <w:vMerge/>
            <w:shd w:val="clear" w:color="auto" w:fill="auto"/>
            <w:hideMark/>
          </w:tcPr>
          <w:p w:rsidR="002B0C1F" w:rsidRPr="002751FC" w:rsidRDefault="002B0C1F" w:rsidP="008E6A80">
            <w:pPr>
              <w:spacing w:after="0" w:line="240" w:lineRule="auto"/>
              <w:rPr>
                <w:rFonts w:asciiTheme="majorHAnsi" w:eastAsia="Times New Roman" w:hAnsiTheme="majorHAnsi" w:cstheme="majorHAnsi"/>
                <w:b/>
                <w:bCs/>
                <w:color w:val="000000"/>
                <w:sz w:val="20"/>
                <w:szCs w:val="20"/>
                <w:lang w:val="ro-MD"/>
              </w:rPr>
            </w:pPr>
          </w:p>
        </w:tc>
        <w:tc>
          <w:tcPr>
            <w:tcW w:w="1300" w:type="pct"/>
            <w:vMerge/>
            <w:shd w:val="clear" w:color="auto" w:fill="auto"/>
            <w:hideMark/>
          </w:tcPr>
          <w:p w:rsidR="002B0C1F" w:rsidRPr="002751FC" w:rsidRDefault="002B0C1F" w:rsidP="008E6A80">
            <w:pPr>
              <w:spacing w:after="0" w:line="240" w:lineRule="auto"/>
              <w:rPr>
                <w:rFonts w:asciiTheme="majorHAnsi" w:eastAsia="Times New Roman" w:hAnsiTheme="majorHAnsi" w:cstheme="majorHAnsi"/>
                <w:b/>
                <w:bCs/>
                <w:color w:val="000000"/>
                <w:sz w:val="20"/>
                <w:szCs w:val="20"/>
                <w:lang w:val="ro-MD"/>
              </w:rPr>
            </w:pPr>
          </w:p>
        </w:tc>
        <w:tc>
          <w:tcPr>
            <w:tcW w:w="966" w:type="pct"/>
            <w:vMerge/>
            <w:shd w:val="clear" w:color="auto" w:fill="auto"/>
            <w:hideMark/>
          </w:tcPr>
          <w:p w:rsidR="002B0C1F" w:rsidRPr="002751FC" w:rsidRDefault="002B0C1F" w:rsidP="008E6A80">
            <w:pPr>
              <w:spacing w:after="0" w:line="240" w:lineRule="auto"/>
              <w:rPr>
                <w:rFonts w:asciiTheme="majorHAnsi" w:eastAsia="Times New Roman" w:hAnsiTheme="majorHAnsi" w:cstheme="majorHAnsi"/>
                <w:b/>
                <w:bCs/>
                <w:color w:val="000000"/>
                <w:sz w:val="20"/>
                <w:szCs w:val="20"/>
                <w:lang w:val="ro-MD"/>
              </w:rPr>
            </w:pPr>
          </w:p>
        </w:tc>
        <w:tc>
          <w:tcPr>
            <w:tcW w:w="665" w:type="pct"/>
            <w:vMerge/>
            <w:shd w:val="clear" w:color="auto" w:fill="auto"/>
            <w:hideMark/>
          </w:tcPr>
          <w:p w:rsidR="002B0C1F" w:rsidRPr="002751FC" w:rsidRDefault="002B0C1F" w:rsidP="008E6A80">
            <w:pPr>
              <w:spacing w:after="0" w:line="240" w:lineRule="auto"/>
              <w:rPr>
                <w:rFonts w:asciiTheme="majorHAnsi" w:eastAsia="Times New Roman" w:hAnsiTheme="majorHAnsi" w:cstheme="majorHAnsi"/>
                <w:b/>
                <w:bCs/>
                <w:color w:val="000000"/>
                <w:sz w:val="20"/>
                <w:szCs w:val="20"/>
                <w:lang w:val="ro-MD"/>
              </w:rPr>
            </w:pPr>
          </w:p>
        </w:tc>
        <w:tc>
          <w:tcPr>
            <w:tcW w:w="309" w:type="pct"/>
            <w:vMerge/>
          </w:tcPr>
          <w:p w:rsidR="002B0C1F" w:rsidRPr="002751FC" w:rsidRDefault="002B0C1F" w:rsidP="008E6A80">
            <w:pPr>
              <w:spacing w:after="0" w:line="240" w:lineRule="auto"/>
              <w:rPr>
                <w:rFonts w:asciiTheme="majorHAnsi" w:eastAsia="Times New Roman" w:hAnsiTheme="majorHAnsi" w:cstheme="majorHAnsi"/>
                <w:b/>
                <w:bCs/>
                <w:color w:val="000000"/>
                <w:sz w:val="20"/>
                <w:szCs w:val="20"/>
                <w:lang w:val="ro-MD"/>
              </w:rPr>
            </w:pPr>
          </w:p>
        </w:tc>
        <w:tc>
          <w:tcPr>
            <w:tcW w:w="309" w:type="pct"/>
            <w:vMerge/>
          </w:tcPr>
          <w:p w:rsidR="002B0C1F" w:rsidRPr="002751FC" w:rsidRDefault="002B0C1F" w:rsidP="008E6A80">
            <w:pPr>
              <w:spacing w:after="0" w:line="240" w:lineRule="auto"/>
              <w:rPr>
                <w:rFonts w:asciiTheme="majorHAnsi" w:eastAsia="Times New Roman" w:hAnsiTheme="majorHAnsi" w:cstheme="majorHAnsi"/>
                <w:b/>
                <w:bCs/>
                <w:color w:val="000000"/>
                <w:sz w:val="20"/>
                <w:szCs w:val="20"/>
                <w:lang w:val="ro-MD"/>
              </w:rPr>
            </w:pPr>
          </w:p>
        </w:tc>
        <w:tc>
          <w:tcPr>
            <w:tcW w:w="291" w:type="pct"/>
            <w:shd w:val="clear" w:color="auto" w:fill="DEEAF6" w:themeFill="accent1" w:themeFillTint="33"/>
            <w:vAlign w:val="center"/>
            <w:hideMark/>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aur</w:t>
            </w:r>
          </w:p>
        </w:tc>
        <w:tc>
          <w:tcPr>
            <w:tcW w:w="334" w:type="pct"/>
            <w:shd w:val="clear" w:color="auto" w:fill="DEEAF6" w:themeFill="accent1" w:themeFillTint="33"/>
            <w:vAlign w:val="center"/>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argint</w:t>
            </w:r>
          </w:p>
        </w:tc>
        <w:tc>
          <w:tcPr>
            <w:tcW w:w="273" w:type="pct"/>
            <w:shd w:val="clear" w:color="auto" w:fill="DEEAF6" w:themeFill="accent1" w:themeFillTint="33"/>
            <w:vAlign w:val="center"/>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bronz</w:t>
            </w:r>
          </w:p>
        </w:tc>
        <w:tc>
          <w:tcPr>
            <w:tcW w:w="350" w:type="pct"/>
            <w:vMerge/>
          </w:tcPr>
          <w:p w:rsidR="002B0C1F" w:rsidRPr="002751FC" w:rsidRDefault="002B0C1F" w:rsidP="008E6A80">
            <w:pPr>
              <w:spacing w:after="0" w:line="240" w:lineRule="auto"/>
              <w:rPr>
                <w:rFonts w:asciiTheme="majorHAnsi" w:eastAsia="Times New Roman" w:hAnsiTheme="majorHAnsi" w:cstheme="majorHAnsi"/>
                <w:b/>
                <w:bCs/>
                <w:color w:val="000000"/>
                <w:sz w:val="20"/>
                <w:szCs w:val="20"/>
                <w:lang w:val="ro-MD"/>
              </w:rPr>
            </w:pPr>
          </w:p>
        </w:tc>
      </w:tr>
      <w:tr w:rsidR="002B0C1F" w:rsidRPr="002751FC" w:rsidTr="008E6A80">
        <w:trPr>
          <w:trHeight w:val="199"/>
        </w:trPr>
        <w:tc>
          <w:tcPr>
            <w:tcW w:w="203"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c>
          <w:tcPr>
            <w:tcW w:w="1300"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Concours</w:t>
            </w:r>
            <w:proofErr w:type="spellEnd"/>
            <w:r w:rsidRPr="002751FC">
              <w:rPr>
                <w:rFonts w:asciiTheme="majorHAnsi" w:eastAsia="Times New Roman" w:hAnsiTheme="majorHAnsi" w:cstheme="majorHAnsi"/>
                <w:color w:val="000000"/>
                <w:sz w:val="20"/>
                <w:szCs w:val="20"/>
                <w:lang w:val="ro-MD"/>
              </w:rPr>
              <w:t xml:space="preserve"> Mondial de Bruxelles</w:t>
            </w:r>
          </w:p>
        </w:tc>
        <w:tc>
          <w:tcPr>
            <w:tcW w:w="966" w:type="pct"/>
            <w:shd w:val="clear" w:color="auto" w:fill="auto"/>
            <w:noWrap/>
            <w:hideMark/>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17-18 mai </w:t>
            </w:r>
          </w:p>
        </w:tc>
        <w:tc>
          <w:tcPr>
            <w:tcW w:w="665"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Beijing, China</w:t>
            </w:r>
          </w:p>
        </w:tc>
        <w:tc>
          <w:tcPr>
            <w:tcW w:w="309" w:type="pct"/>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250,7</w:t>
            </w:r>
          </w:p>
        </w:tc>
        <w:tc>
          <w:tcPr>
            <w:tcW w:w="309"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25</w:t>
            </w:r>
          </w:p>
        </w:tc>
        <w:tc>
          <w:tcPr>
            <w:tcW w:w="291" w:type="pct"/>
            <w:shd w:val="clear" w:color="auto" w:fill="auto"/>
            <w:vAlign w:val="center"/>
            <w:hideMark/>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5</w:t>
            </w:r>
          </w:p>
        </w:tc>
        <w:tc>
          <w:tcPr>
            <w:tcW w:w="334"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21</w:t>
            </w:r>
          </w:p>
        </w:tc>
        <w:tc>
          <w:tcPr>
            <w:tcW w:w="273"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c>
          <w:tcPr>
            <w:tcW w:w="350"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8E6A80">
        <w:trPr>
          <w:trHeight w:val="208"/>
        </w:trPr>
        <w:tc>
          <w:tcPr>
            <w:tcW w:w="203"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w:t>
            </w:r>
          </w:p>
        </w:tc>
        <w:tc>
          <w:tcPr>
            <w:tcW w:w="1300"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Decanter</w:t>
            </w:r>
            <w:proofErr w:type="spellEnd"/>
            <w:r w:rsidRPr="002751FC">
              <w:rPr>
                <w:rFonts w:asciiTheme="majorHAnsi" w:eastAsia="Times New Roman" w:hAnsiTheme="majorHAnsi" w:cstheme="majorHAnsi"/>
                <w:color w:val="000000"/>
                <w:sz w:val="20"/>
                <w:szCs w:val="20"/>
                <w:lang w:val="ro-MD"/>
              </w:rPr>
              <w:t xml:space="preserve"> Asia </w:t>
            </w:r>
            <w:proofErr w:type="spellStart"/>
            <w:r w:rsidRPr="002751FC">
              <w:rPr>
                <w:rFonts w:asciiTheme="majorHAnsi" w:eastAsia="Times New Roman" w:hAnsiTheme="majorHAnsi" w:cstheme="majorHAnsi"/>
                <w:color w:val="000000"/>
                <w:sz w:val="20"/>
                <w:szCs w:val="20"/>
                <w:lang w:val="ro-MD"/>
              </w:rPr>
              <w:t>Wine</w:t>
            </w:r>
            <w:proofErr w:type="spellEnd"/>
            <w:r w:rsidRPr="002751FC">
              <w:rPr>
                <w:rFonts w:asciiTheme="majorHAnsi" w:eastAsia="Times New Roman" w:hAnsiTheme="majorHAnsi" w:cstheme="majorHAnsi"/>
                <w:color w:val="000000"/>
                <w:sz w:val="20"/>
                <w:szCs w:val="20"/>
                <w:lang w:val="ro-MD"/>
              </w:rPr>
              <w:t xml:space="preserve"> Awards</w:t>
            </w:r>
          </w:p>
        </w:tc>
        <w:tc>
          <w:tcPr>
            <w:tcW w:w="966" w:type="pct"/>
            <w:shd w:val="clear" w:color="auto" w:fill="auto"/>
            <w:noWrap/>
            <w:hideMark/>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4-7 septembrie </w:t>
            </w:r>
          </w:p>
        </w:tc>
        <w:tc>
          <w:tcPr>
            <w:tcW w:w="665"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Hong Kong, China</w:t>
            </w:r>
          </w:p>
        </w:tc>
        <w:tc>
          <w:tcPr>
            <w:tcW w:w="309" w:type="pct"/>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215,0</w:t>
            </w:r>
          </w:p>
        </w:tc>
        <w:tc>
          <w:tcPr>
            <w:tcW w:w="309"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26</w:t>
            </w:r>
          </w:p>
        </w:tc>
        <w:tc>
          <w:tcPr>
            <w:tcW w:w="291" w:type="pct"/>
            <w:shd w:val="clear" w:color="auto" w:fill="auto"/>
            <w:vAlign w:val="center"/>
            <w:hideMark/>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c>
          <w:tcPr>
            <w:tcW w:w="334"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16</w:t>
            </w:r>
          </w:p>
        </w:tc>
        <w:tc>
          <w:tcPr>
            <w:tcW w:w="273"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c>
          <w:tcPr>
            <w:tcW w:w="350"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17</w:t>
            </w:r>
          </w:p>
        </w:tc>
      </w:tr>
      <w:tr w:rsidR="002B0C1F" w:rsidRPr="002751FC" w:rsidTr="008E6A80">
        <w:trPr>
          <w:trHeight w:val="185"/>
        </w:trPr>
        <w:tc>
          <w:tcPr>
            <w:tcW w:w="203"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3</w:t>
            </w:r>
          </w:p>
        </w:tc>
        <w:tc>
          <w:tcPr>
            <w:tcW w:w="1300"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Effervescents</w:t>
            </w:r>
            <w:proofErr w:type="spellEnd"/>
            <w:r w:rsidRPr="002751FC">
              <w:rPr>
                <w:rFonts w:asciiTheme="majorHAnsi" w:eastAsia="Times New Roman" w:hAnsiTheme="majorHAnsi" w:cstheme="majorHAnsi"/>
                <w:color w:val="000000"/>
                <w:sz w:val="20"/>
                <w:szCs w:val="20"/>
                <w:lang w:val="ro-MD"/>
              </w:rPr>
              <w:t xml:space="preserve"> du Monde</w:t>
            </w:r>
          </w:p>
        </w:tc>
        <w:tc>
          <w:tcPr>
            <w:tcW w:w="966"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14-16 noiembrie</w:t>
            </w:r>
          </w:p>
        </w:tc>
        <w:tc>
          <w:tcPr>
            <w:tcW w:w="665"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Dijon, Franța</w:t>
            </w:r>
          </w:p>
        </w:tc>
        <w:tc>
          <w:tcPr>
            <w:tcW w:w="309" w:type="pct"/>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141,8</w:t>
            </w:r>
          </w:p>
        </w:tc>
        <w:tc>
          <w:tcPr>
            <w:tcW w:w="309"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9</w:t>
            </w:r>
          </w:p>
        </w:tc>
        <w:tc>
          <w:tcPr>
            <w:tcW w:w="291" w:type="pct"/>
            <w:shd w:val="clear" w:color="auto" w:fill="auto"/>
            <w:vAlign w:val="center"/>
            <w:hideMark/>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w:t>
            </w:r>
          </w:p>
        </w:tc>
        <w:tc>
          <w:tcPr>
            <w:tcW w:w="334"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10</w:t>
            </w:r>
          </w:p>
        </w:tc>
        <w:tc>
          <w:tcPr>
            <w:tcW w:w="273"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19</w:t>
            </w:r>
          </w:p>
        </w:tc>
        <w:tc>
          <w:tcPr>
            <w:tcW w:w="350"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8E6A80">
        <w:trPr>
          <w:trHeight w:val="171"/>
        </w:trPr>
        <w:tc>
          <w:tcPr>
            <w:tcW w:w="203"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4</w:t>
            </w:r>
          </w:p>
        </w:tc>
        <w:tc>
          <w:tcPr>
            <w:tcW w:w="1300"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Galicjia</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Vitis</w:t>
            </w:r>
            <w:proofErr w:type="spellEnd"/>
          </w:p>
        </w:tc>
        <w:tc>
          <w:tcPr>
            <w:tcW w:w="966" w:type="pct"/>
            <w:shd w:val="clear" w:color="auto" w:fill="auto"/>
            <w:noWrap/>
            <w:hideMark/>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17-18 mai </w:t>
            </w:r>
          </w:p>
        </w:tc>
        <w:tc>
          <w:tcPr>
            <w:tcW w:w="665"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Cracovia, Polonia</w:t>
            </w:r>
          </w:p>
        </w:tc>
        <w:tc>
          <w:tcPr>
            <w:tcW w:w="309" w:type="pct"/>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21,2</w:t>
            </w:r>
          </w:p>
        </w:tc>
        <w:tc>
          <w:tcPr>
            <w:tcW w:w="309"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16</w:t>
            </w:r>
          </w:p>
        </w:tc>
        <w:tc>
          <w:tcPr>
            <w:tcW w:w="291" w:type="pct"/>
            <w:shd w:val="clear" w:color="auto" w:fill="auto"/>
            <w:vAlign w:val="center"/>
            <w:hideMark/>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37</w:t>
            </w:r>
          </w:p>
        </w:tc>
        <w:tc>
          <w:tcPr>
            <w:tcW w:w="334"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c>
          <w:tcPr>
            <w:tcW w:w="273"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c>
          <w:tcPr>
            <w:tcW w:w="350"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8E6A80">
        <w:trPr>
          <w:trHeight w:val="79"/>
        </w:trPr>
        <w:tc>
          <w:tcPr>
            <w:tcW w:w="203"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5</w:t>
            </w:r>
          </w:p>
        </w:tc>
        <w:tc>
          <w:tcPr>
            <w:tcW w:w="1300"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Inside</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Spirits</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Competition</w:t>
            </w:r>
            <w:proofErr w:type="spellEnd"/>
          </w:p>
        </w:tc>
        <w:tc>
          <w:tcPr>
            <w:tcW w:w="966" w:type="pct"/>
            <w:shd w:val="clear" w:color="auto" w:fill="auto"/>
            <w:noWrap/>
            <w:hideMark/>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15 octombrie </w:t>
            </w:r>
          </w:p>
        </w:tc>
        <w:tc>
          <w:tcPr>
            <w:tcW w:w="665"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Bordeaux, Franța</w:t>
            </w:r>
          </w:p>
        </w:tc>
        <w:tc>
          <w:tcPr>
            <w:tcW w:w="309" w:type="pct"/>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100,4</w:t>
            </w:r>
          </w:p>
        </w:tc>
        <w:tc>
          <w:tcPr>
            <w:tcW w:w="309"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21</w:t>
            </w:r>
          </w:p>
        </w:tc>
        <w:tc>
          <w:tcPr>
            <w:tcW w:w="291" w:type="pct"/>
            <w:shd w:val="clear" w:color="auto" w:fill="auto"/>
            <w:vAlign w:val="center"/>
            <w:hideMark/>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c>
          <w:tcPr>
            <w:tcW w:w="334"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6</w:t>
            </w:r>
          </w:p>
        </w:tc>
        <w:tc>
          <w:tcPr>
            <w:tcW w:w="273"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7</w:t>
            </w:r>
          </w:p>
        </w:tc>
        <w:tc>
          <w:tcPr>
            <w:tcW w:w="350"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8E6A80">
        <w:trPr>
          <w:trHeight w:val="193"/>
        </w:trPr>
        <w:tc>
          <w:tcPr>
            <w:tcW w:w="203"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6</w:t>
            </w:r>
          </w:p>
        </w:tc>
        <w:tc>
          <w:tcPr>
            <w:tcW w:w="1300" w:type="pct"/>
            <w:shd w:val="clear" w:color="auto" w:fill="auto"/>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International </w:t>
            </w:r>
            <w:proofErr w:type="spellStart"/>
            <w:r w:rsidRPr="002751FC">
              <w:rPr>
                <w:rFonts w:asciiTheme="majorHAnsi" w:eastAsia="Times New Roman" w:hAnsiTheme="majorHAnsi" w:cstheme="majorHAnsi"/>
                <w:color w:val="000000"/>
                <w:sz w:val="20"/>
                <w:szCs w:val="20"/>
                <w:lang w:val="ro-MD"/>
              </w:rPr>
              <w:t>Wine</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Contests</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Bucharest</w:t>
            </w:r>
            <w:proofErr w:type="spellEnd"/>
          </w:p>
        </w:tc>
        <w:tc>
          <w:tcPr>
            <w:tcW w:w="966" w:type="pct"/>
            <w:shd w:val="clear" w:color="auto" w:fill="auto"/>
            <w:noWrap/>
            <w:hideMark/>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1-4 noiembrie </w:t>
            </w:r>
          </w:p>
        </w:tc>
        <w:tc>
          <w:tcPr>
            <w:tcW w:w="665"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Iași, România</w:t>
            </w:r>
          </w:p>
        </w:tc>
        <w:tc>
          <w:tcPr>
            <w:tcW w:w="309" w:type="pct"/>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46,6</w:t>
            </w:r>
          </w:p>
        </w:tc>
        <w:tc>
          <w:tcPr>
            <w:tcW w:w="309"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15</w:t>
            </w:r>
          </w:p>
        </w:tc>
        <w:tc>
          <w:tcPr>
            <w:tcW w:w="291" w:type="pct"/>
            <w:shd w:val="clear" w:color="auto" w:fill="auto"/>
            <w:vAlign w:val="center"/>
            <w:hideMark/>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37</w:t>
            </w:r>
          </w:p>
        </w:tc>
        <w:tc>
          <w:tcPr>
            <w:tcW w:w="334"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10</w:t>
            </w:r>
          </w:p>
        </w:tc>
        <w:tc>
          <w:tcPr>
            <w:tcW w:w="273"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c>
          <w:tcPr>
            <w:tcW w:w="350"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8E6A80">
        <w:trPr>
          <w:trHeight w:val="119"/>
        </w:trPr>
        <w:tc>
          <w:tcPr>
            <w:tcW w:w="203"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7</w:t>
            </w:r>
          </w:p>
        </w:tc>
        <w:tc>
          <w:tcPr>
            <w:tcW w:w="1300" w:type="pct"/>
            <w:shd w:val="clear" w:color="auto" w:fill="auto"/>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Mondial du </w:t>
            </w:r>
            <w:proofErr w:type="spellStart"/>
            <w:r w:rsidRPr="002751FC">
              <w:rPr>
                <w:rFonts w:asciiTheme="majorHAnsi" w:eastAsia="Times New Roman" w:hAnsiTheme="majorHAnsi" w:cstheme="majorHAnsi"/>
                <w:color w:val="000000"/>
                <w:sz w:val="20"/>
                <w:szCs w:val="20"/>
                <w:lang w:val="ro-MD"/>
              </w:rPr>
              <w:t>Rose</w:t>
            </w:r>
            <w:proofErr w:type="spellEnd"/>
            <w:r w:rsidRPr="002751FC">
              <w:rPr>
                <w:rFonts w:asciiTheme="majorHAnsi" w:eastAsia="Times New Roman" w:hAnsiTheme="majorHAnsi" w:cstheme="majorHAnsi"/>
                <w:color w:val="000000"/>
                <w:sz w:val="20"/>
                <w:szCs w:val="20"/>
                <w:lang w:val="ro-MD"/>
              </w:rPr>
              <w:t xml:space="preserve"> 2018</w:t>
            </w:r>
          </w:p>
        </w:tc>
        <w:tc>
          <w:tcPr>
            <w:tcW w:w="966" w:type="pct"/>
            <w:shd w:val="clear" w:color="auto" w:fill="auto"/>
            <w:noWrap/>
            <w:hideMark/>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28-30 aprilie </w:t>
            </w:r>
          </w:p>
        </w:tc>
        <w:tc>
          <w:tcPr>
            <w:tcW w:w="665"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Cannes, Franța</w:t>
            </w:r>
          </w:p>
        </w:tc>
        <w:tc>
          <w:tcPr>
            <w:tcW w:w="309" w:type="pct"/>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90,4</w:t>
            </w:r>
          </w:p>
        </w:tc>
        <w:tc>
          <w:tcPr>
            <w:tcW w:w="309"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21</w:t>
            </w:r>
          </w:p>
        </w:tc>
        <w:tc>
          <w:tcPr>
            <w:tcW w:w="291" w:type="pct"/>
            <w:shd w:val="clear" w:color="auto" w:fill="auto"/>
            <w:vAlign w:val="center"/>
            <w:hideMark/>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6</w:t>
            </w:r>
          </w:p>
        </w:tc>
        <w:tc>
          <w:tcPr>
            <w:tcW w:w="334"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c>
          <w:tcPr>
            <w:tcW w:w="273"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c>
          <w:tcPr>
            <w:tcW w:w="350"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8E6A80">
        <w:trPr>
          <w:trHeight w:val="71"/>
        </w:trPr>
        <w:tc>
          <w:tcPr>
            <w:tcW w:w="203"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8</w:t>
            </w:r>
          </w:p>
        </w:tc>
        <w:tc>
          <w:tcPr>
            <w:tcW w:w="1300" w:type="pct"/>
            <w:shd w:val="clear" w:color="auto" w:fill="auto"/>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Oenoforum</w:t>
            </w:r>
            <w:proofErr w:type="spellEnd"/>
          </w:p>
        </w:tc>
        <w:tc>
          <w:tcPr>
            <w:tcW w:w="966" w:type="pct"/>
            <w:shd w:val="clear" w:color="auto" w:fill="auto"/>
            <w:noWrap/>
            <w:hideMark/>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21-23 iunie </w:t>
            </w:r>
          </w:p>
        </w:tc>
        <w:tc>
          <w:tcPr>
            <w:tcW w:w="665"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Brno, R. Cehă</w:t>
            </w:r>
          </w:p>
        </w:tc>
        <w:tc>
          <w:tcPr>
            <w:tcW w:w="309" w:type="pct"/>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16,8</w:t>
            </w:r>
          </w:p>
        </w:tc>
        <w:tc>
          <w:tcPr>
            <w:tcW w:w="309"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13</w:t>
            </w:r>
          </w:p>
        </w:tc>
        <w:tc>
          <w:tcPr>
            <w:tcW w:w="291" w:type="pct"/>
            <w:shd w:val="clear" w:color="auto" w:fill="auto"/>
            <w:vAlign w:val="center"/>
            <w:hideMark/>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17</w:t>
            </w:r>
          </w:p>
        </w:tc>
        <w:tc>
          <w:tcPr>
            <w:tcW w:w="334"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4</w:t>
            </w:r>
          </w:p>
        </w:tc>
        <w:tc>
          <w:tcPr>
            <w:tcW w:w="273"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c>
          <w:tcPr>
            <w:tcW w:w="350"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8E6A80">
        <w:trPr>
          <w:trHeight w:val="399"/>
        </w:trPr>
        <w:tc>
          <w:tcPr>
            <w:tcW w:w="1503" w:type="pct"/>
            <w:gridSpan w:val="2"/>
            <w:shd w:val="clear" w:color="auto" w:fill="DEEAF6" w:themeFill="accent1" w:themeFillTint="33"/>
            <w:noWrap/>
            <w:vAlign w:val="center"/>
            <w:hideMark/>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Total</w:t>
            </w:r>
          </w:p>
        </w:tc>
        <w:tc>
          <w:tcPr>
            <w:tcW w:w="966" w:type="pct"/>
            <w:shd w:val="clear" w:color="auto" w:fill="DEEAF6" w:themeFill="accent1" w:themeFillTint="33"/>
            <w:noWrap/>
            <w:vAlign w:val="center"/>
            <w:hideMark/>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x</w:t>
            </w:r>
          </w:p>
        </w:tc>
        <w:tc>
          <w:tcPr>
            <w:tcW w:w="665" w:type="pct"/>
            <w:shd w:val="clear" w:color="auto" w:fill="DEEAF6" w:themeFill="accent1" w:themeFillTint="33"/>
            <w:noWrap/>
            <w:vAlign w:val="center"/>
            <w:hideMark/>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x</w:t>
            </w:r>
          </w:p>
        </w:tc>
        <w:tc>
          <w:tcPr>
            <w:tcW w:w="309" w:type="pct"/>
            <w:shd w:val="clear" w:color="auto" w:fill="DEEAF6" w:themeFill="accent1" w:themeFillTint="33"/>
            <w:vAlign w:val="center"/>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882,9</w:t>
            </w:r>
          </w:p>
        </w:tc>
        <w:tc>
          <w:tcPr>
            <w:tcW w:w="309" w:type="pct"/>
            <w:shd w:val="clear" w:color="auto" w:fill="DEEAF6" w:themeFill="accent1" w:themeFillTint="33"/>
            <w:vAlign w:val="center"/>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146</w:t>
            </w:r>
          </w:p>
        </w:tc>
        <w:tc>
          <w:tcPr>
            <w:tcW w:w="291" w:type="pct"/>
            <w:shd w:val="clear" w:color="auto" w:fill="DEEAF6" w:themeFill="accent1" w:themeFillTint="33"/>
            <w:vAlign w:val="center"/>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106</w:t>
            </w:r>
          </w:p>
        </w:tc>
        <w:tc>
          <w:tcPr>
            <w:tcW w:w="334" w:type="pct"/>
            <w:shd w:val="clear" w:color="auto" w:fill="DEEAF6" w:themeFill="accent1" w:themeFillTint="33"/>
            <w:vAlign w:val="center"/>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68</w:t>
            </w:r>
          </w:p>
        </w:tc>
        <w:tc>
          <w:tcPr>
            <w:tcW w:w="273" w:type="pct"/>
            <w:shd w:val="clear" w:color="auto" w:fill="DEEAF6" w:themeFill="accent1" w:themeFillTint="33"/>
            <w:vAlign w:val="center"/>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26</w:t>
            </w:r>
          </w:p>
        </w:tc>
        <w:tc>
          <w:tcPr>
            <w:tcW w:w="350" w:type="pct"/>
            <w:shd w:val="clear" w:color="auto" w:fill="DEEAF6" w:themeFill="accent1" w:themeFillTint="33"/>
            <w:vAlign w:val="center"/>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17</w:t>
            </w:r>
          </w:p>
        </w:tc>
      </w:tr>
    </w:tbl>
    <w:p w:rsidR="00C132E5" w:rsidRPr="002751FC" w:rsidRDefault="00C132E5" w:rsidP="00C132E5">
      <w:pPr>
        <w:rPr>
          <w:rFonts w:asciiTheme="majorHAnsi" w:hAnsiTheme="majorHAnsi" w:cstheme="majorHAnsi"/>
          <w:lang w:val="ro-MD"/>
        </w:rPr>
      </w:pPr>
      <w:r w:rsidRPr="002751FC">
        <w:rPr>
          <w:rFonts w:asciiTheme="majorHAnsi" w:hAnsiTheme="majorHAnsi" w:cstheme="majorHAnsi"/>
          <w:b/>
          <w:lang w:val="ro-MD"/>
        </w:rPr>
        <w:t xml:space="preserve">Sursa: </w:t>
      </w:r>
      <w:r w:rsidRPr="002751FC">
        <w:rPr>
          <w:rFonts w:asciiTheme="majorHAnsi" w:hAnsiTheme="majorHAnsi" w:cstheme="majorHAnsi"/>
          <w:lang w:val="ro-MD"/>
        </w:rPr>
        <w:t>datele ONVV.</w:t>
      </w:r>
    </w:p>
    <w:p w:rsidR="002B0C1F" w:rsidRPr="002751FC" w:rsidRDefault="002B0C1F" w:rsidP="002B0C1F">
      <w:pPr>
        <w:rPr>
          <w:rFonts w:asciiTheme="majorHAnsi" w:hAnsiTheme="majorHAnsi" w:cstheme="majorHAnsi"/>
          <w:i/>
          <w:sz w:val="28"/>
          <w:szCs w:val="28"/>
          <w:lang w:val="ro-MD"/>
        </w:rPr>
      </w:pPr>
    </w:p>
    <w:p w:rsidR="002B0C1F" w:rsidRPr="002751FC" w:rsidRDefault="002B0C1F" w:rsidP="002B0C1F">
      <w:pPr>
        <w:rPr>
          <w:rFonts w:asciiTheme="majorHAnsi" w:hAnsiTheme="majorHAnsi" w:cstheme="majorHAnsi"/>
          <w:i/>
          <w:sz w:val="28"/>
          <w:szCs w:val="28"/>
          <w:lang w:val="ro-MD"/>
        </w:rPr>
      </w:pPr>
    </w:p>
    <w:p w:rsidR="002B0C1F" w:rsidRPr="002751FC" w:rsidRDefault="002B0C1F" w:rsidP="002B0C1F">
      <w:pPr>
        <w:rPr>
          <w:rFonts w:asciiTheme="majorHAnsi" w:hAnsiTheme="majorHAnsi" w:cstheme="majorHAnsi"/>
          <w:i/>
          <w:sz w:val="28"/>
          <w:szCs w:val="28"/>
          <w:lang w:val="ro-MD"/>
        </w:rPr>
      </w:pPr>
    </w:p>
    <w:p w:rsidR="002B0C1F" w:rsidRPr="002751FC" w:rsidRDefault="002B0C1F" w:rsidP="002B0C1F">
      <w:pPr>
        <w:rPr>
          <w:rFonts w:asciiTheme="majorHAnsi" w:hAnsiTheme="majorHAnsi" w:cstheme="majorHAnsi"/>
          <w:i/>
          <w:sz w:val="28"/>
          <w:szCs w:val="28"/>
          <w:lang w:val="ro-MD"/>
        </w:rPr>
      </w:pPr>
    </w:p>
    <w:p w:rsidR="002B0C1F" w:rsidRPr="002751FC" w:rsidRDefault="002B0C1F" w:rsidP="002B0C1F">
      <w:pPr>
        <w:rPr>
          <w:rFonts w:asciiTheme="majorHAnsi" w:hAnsiTheme="majorHAnsi" w:cstheme="majorHAnsi"/>
          <w:i/>
          <w:sz w:val="28"/>
          <w:szCs w:val="28"/>
          <w:lang w:val="ro-MD"/>
        </w:rPr>
      </w:pPr>
    </w:p>
    <w:p w:rsidR="002B0C1F" w:rsidRPr="002751FC" w:rsidRDefault="002B0C1F" w:rsidP="002B0C1F">
      <w:pPr>
        <w:pStyle w:val="1"/>
        <w:spacing w:before="0"/>
        <w:jc w:val="both"/>
        <w:rPr>
          <w:rFonts w:cstheme="majorHAnsi"/>
          <w:b/>
          <w:color w:val="auto"/>
          <w:sz w:val="28"/>
          <w:szCs w:val="28"/>
          <w:lang w:val="ro-MD"/>
        </w:rPr>
      </w:pPr>
      <w:bookmarkStart w:id="102" w:name="_Toc23259149"/>
      <w:r w:rsidRPr="002751FC">
        <w:rPr>
          <w:rFonts w:cstheme="majorHAnsi"/>
          <w:b/>
          <w:color w:val="auto"/>
          <w:sz w:val="28"/>
          <w:szCs w:val="28"/>
          <w:lang w:val="ro-MD"/>
        </w:rPr>
        <w:t>Tabelul nr.11.2. Sinteza rezultatelor concursurilor internaţionale în domeniul vinificației la care au participat vinificatorii din Republica Moldova pe parcursul anului 2018, cheltuielile de participare fiind suportate de producătorii vinicoli</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4240"/>
        <w:gridCol w:w="2626"/>
        <w:gridCol w:w="3292"/>
        <w:gridCol w:w="795"/>
        <w:gridCol w:w="712"/>
        <w:gridCol w:w="738"/>
      </w:tblGrid>
      <w:tr w:rsidR="002B0C1F" w:rsidRPr="002751FC" w:rsidTr="00C132E5">
        <w:trPr>
          <w:trHeight w:val="375"/>
        </w:trPr>
        <w:tc>
          <w:tcPr>
            <w:tcW w:w="211" w:type="pct"/>
            <w:vMerge w:val="restart"/>
            <w:shd w:val="clear" w:color="auto" w:fill="DEEAF6" w:themeFill="accent1" w:themeFillTint="33"/>
            <w:vAlign w:val="center"/>
            <w:hideMark/>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Nr. d/o</w:t>
            </w:r>
          </w:p>
        </w:tc>
        <w:tc>
          <w:tcPr>
            <w:tcW w:w="1637" w:type="pct"/>
            <w:vMerge w:val="restart"/>
            <w:shd w:val="clear" w:color="auto" w:fill="DEEAF6" w:themeFill="accent1" w:themeFillTint="33"/>
            <w:vAlign w:val="center"/>
            <w:hideMark/>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Denumirea concursului</w:t>
            </w:r>
          </w:p>
        </w:tc>
        <w:tc>
          <w:tcPr>
            <w:tcW w:w="1014" w:type="pct"/>
            <w:vMerge w:val="restart"/>
            <w:shd w:val="clear" w:color="auto" w:fill="DEEAF6" w:themeFill="accent1" w:themeFillTint="33"/>
            <w:vAlign w:val="center"/>
            <w:hideMark/>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Perioada</w:t>
            </w:r>
          </w:p>
        </w:tc>
        <w:tc>
          <w:tcPr>
            <w:tcW w:w="1271" w:type="pct"/>
            <w:vMerge w:val="restart"/>
            <w:shd w:val="clear" w:color="auto" w:fill="DEEAF6" w:themeFill="accent1" w:themeFillTint="33"/>
            <w:vAlign w:val="center"/>
            <w:hideMark/>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Locația</w:t>
            </w:r>
          </w:p>
        </w:tc>
        <w:tc>
          <w:tcPr>
            <w:tcW w:w="867" w:type="pct"/>
            <w:gridSpan w:val="3"/>
            <w:shd w:val="clear" w:color="auto" w:fill="DEEAF6" w:themeFill="accent1" w:themeFillTint="33"/>
            <w:vAlign w:val="center"/>
            <w:hideMark/>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Medalii</w:t>
            </w:r>
          </w:p>
        </w:tc>
      </w:tr>
      <w:tr w:rsidR="002B0C1F" w:rsidRPr="002751FC" w:rsidTr="00C132E5">
        <w:trPr>
          <w:trHeight w:val="387"/>
        </w:trPr>
        <w:tc>
          <w:tcPr>
            <w:tcW w:w="211" w:type="pct"/>
            <w:vMerge/>
            <w:shd w:val="clear" w:color="auto" w:fill="auto"/>
            <w:hideMark/>
          </w:tcPr>
          <w:p w:rsidR="002B0C1F" w:rsidRPr="002751FC" w:rsidRDefault="002B0C1F" w:rsidP="008E6A80">
            <w:pPr>
              <w:spacing w:after="0" w:line="240" w:lineRule="auto"/>
              <w:rPr>
                <w:rFonts w:asciiTheme="majorHAnsi" w:eastAsia="Times New Roman" w:hAnsiTheme="majorHAnsi" w:cstheme="majorHAnsi"/>
                <w:b/>
                <w:bCs/>
                <w:color w:val="000000"/>
                <w:sz w:val="20"/>
                <w:szCs w:val="20"/>
                <w:lang w:val="ro-MD"/>
              </w:rPr>
            </w:pPr>
          </w:p>
        </w:tc>
        <w:tc>
          <w:tcPr>
            <w:tcW w:w="1637" w:type="pct"/>
            <w:vMerge/>
            <w:shd w:val="clear" w:color="auto" w:fill="auto"/>
            <w:hideMark/>
          </w:tcPr>
          <w:p w:rsidR="002B0C1F" w:rsidRPr="002751FC" w:rsidRDefault="002B0C1F" w:rsidP="008E6A80">
            <w:pPr>
              <w:spacing w:after="0" w:line="240" w:lineRule="auto"/>
              <w:rPr>
                <w:rFonts w:asciiTheme="majorHAnsi" w:eastAsia="Times New Roman" w:hAnsiTheme="majorHAnsi" w:cstheme="majorHAnsi"/>
                <w:b/>
                <w:bCs/>
                <w:color w:val="000000"/>
                <w:sz w:val="20"/>
                <w:szCs w:val="20"/>
                <w:lang w:val="ro-MD"/>
              </w:rPr>
            </w:pPr>
          </w:p>
        </w:tc>
        <w:tc>
          <w:tcPr>
            <w:tcW w:w="1014" w:type="pct"/>
            <w:vMerge/>
            <w:shd w:val="clear" w:color="auto" w:fill="auto"/>
            <w:hideMark/>
          </w:tcPr>
          <w:p w:rsidR="002B0C1F" w:rsidRPr="002751FC" w:rsidRDefault="002B0C1F" w:rsidP="008E6A80">
            <w:pPr>
              <w:spacing w:after="0" w:line="240" w:lineRule="auto"/>
              <w:rPr>
                <w:rFonts w:asciiTheme="majorHAnsi" w:eastAsia="Times New Roman" w:hAnsiTheme="majorHAnsi" w:cstheme="majorHAnsi"/>
                <w:b/>
                <w:bCs/>
                <w:color w:val="000000"/>
                <w:sz w:val="20"/>
                <w:szCs w:val="20"/>
                <w:lang w:val="ro-MD"/>
              </w:rPr>
            </w:pPr>
          </w:p>
        </w:tc>
        <w:tc>
          <w:tcPr>
            <w:tcW w:w="1271" w:type="pct"/>
            <w:vMerge/>
            <w:shd w:val="clear" w:color="auto" w:fill="auto"/>
            <w:hideMark/>
          </w:tcPr>
          <w:p w:rsidR="002B0C1F" w:rsidRPr="002751FC" w:rsidRDefault="002B0C1F" w:rsidP="008E6A80">
            <w:pPr>
              <w:spacing w:after="0" w:line="240" w:lineRule="auto"/>
              <w:rPr>
                <w:rFonts w:asciiTheme="majorHAnsi" w:eastAsia="Times New Roman" w:hAnsiTheme="majorHAnsi" w:cstheme="majorHAnsi"/>
                <w:b/>
                <w:bCs/>
                <w:color w:val="000000"/>
                <w:sz w:val="20"/>
                <w:szCs w:val="20"/>
                <w:lang w:val="ro-MD"/>
              </w:rPr>
            </w:pPr>
          </w:p>
        </w:tc>
        <w:tc>
          <w:tcPr>
            <w:tcW w:w="307" w:type="pct"/>
            <w:shd w:val="clear" w:color="auto" w:fill="DEEAF6" w:themeFill="accent1" w:themeFillTint="33"/>
            <w:vAlign w:val="center"/>
            <w:hideMark/>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aur</w:t>
            </w:r>
          </w:p>
        </w:tc>
        <w:tc>
          <w:tcPr>
            <w:tcW w:w="275" w:type="pct"/>
            <w:shd w:val="clear" w:color="auto" w:fill="DEEAF6" w:themeFill="accent1" w:themeFillTint="33"/>
            <w:vAlign w:val="center"/>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argint</w:t>
            </w:r>
          </w:p>
        </w:tc>
        <w:tc>
          <w:tcPr>
            <w:tcW w:w="285" w:type="pct"/>
            <w:shd w:val="clear" w:color="auto" w:fill="DEEAF6" w:themeFill="accent1" w:themeFillTint="33"/>
            <w:vAlign w:val="center"/>
          </w:tcPr>
          <w:p w:rsidR="002B0C1F" w:rsidRPr="002751FC" w:rsidRDefault="002B0C1F" w:rsidP="008E6A80">
            <w:pPr>
              <w:spacing w:after="0" w:line="240" w:lineRule="auto"/>
              <w:jc w:val="center"/>
              <w:rPr>
                <w:rFonts w:asciiTheme="majorHAnsi" w:eastAsia="Times New Roman" w:hAnsiTheme="majorHAnsi" w:cstheme="majorHAnsi"/>
                <w:b/>
                <w:bCs/>
                <w:color w:val="000000"/>
                <w:sz w:val="20"/>
                <w:szCs w:val="20"/>
                <w:lang w:val="ro-MD"/>
              </w:rPr>
            </w:pPr>
            <w:r w:rsidRPr="002751FC">
              <w:rPr>
                <w:rFonts w:asciiTheme="majorHAnsi" w:eastAsia="Times New Roman" w:hAnsiTheme="majorHAnsi" w:cstheme="majorHAnsi"/>
                <w:b/>
                <w:bCs/>
                <w:color w:val="000000"/>
                <w:sz w:val="20"/>
                <w:szCs w:val="20"/>
                <w:lang w:val="ro-MD"/>
              </w:rPr>
              <w:t>bronz</w:t>
            </w:r>
          </w:p>
        </w:tc>
      </w:tr>
      <w:tr w:rsidR="002B0C1F" w:rsidRPr="002751FC" w:rsidTr="00C132E5">
        <w:trPr>
          <w:trHeight w:val="209"/>
        </w:trPr>
        <w:tc>
          <w:tcPr>
            <w:tcW w:w="211" w:type="pct"/>
            <w:shd w:val="clear" w:color="auto" w:fill="auto"/>
            <w:noWrap/>
            <w:hideMark/>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Asia </w:t>
            </w:r>
            <w:proofErr w:type="spellStart"/>
            <w:r w:rsidRPr="002751FC">
              <w:rPr>
                <w:rFonts w:asciiTheme="majorHAnsi" w:eastAsia="Times New Roman" w:hAnsiTheme="majorHAnsi" w:cstheme="majorHAnsi"/>
                <w:color w:val="000000"/>
                <w:sz w:val="20"/>
                <w:szCs w:val="20"/>
                <w:lang w:val="ro-MD"/>
              </w:rPr>
              <w:t>Wine</w:t>
            </w:r>
            <w:proofErr w:type="spellEnd"/>
            <w:r w:rsidRPr="002751FC">
              <w:rPr>
                <w:rFonts w:asciiTheme="majorHAnsi" w:eastAsia="Times New Roman" w:hAnsiTheme="majorHAnsi" w:cstheme="majorHAnsi"/>
                <w:color w:val="000000"/>
                <w:sz w:val="20"/>
                <w:szCs w:val="20"/>
                <w:lang w:val="ro-MD"/>
              </w:rPr>
              <w:t xml:space="preserve"> Trophy</w:t>
            </w:r>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26-29 august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Daejeon</w:t>
            </w:r>
            <w:proofErr w:type="spellEnd"/>
            <w:r w:rsidRPr="002751FC">
              <w:rPr>
                <w:rFonts w:asciiTheme="majorHAnsi" w:eastAsia="Times New Roman" w:hAnsiTheme="majorHAnsi" w:cstheme="majorHAnsi"/>
                <w:color w:val="000000"/>
                <w:sz w:val="20"/>
                <w:szCs w:val="20"/>
                <w:lang w:val="ro-MD"/>
              </w:rPr>
              <w:t>, Coreea de Sus</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17</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3</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C132E5">
        <w:trPr>
          <w:trHeight w:val="241"/>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Berliner </w:t>
            </w:r>
            <w:proofErr w:type="spellStart"/>
            <w:r w:rsidRPr="002751FC">
              <w:rPr>
                <w:rFonts w:asciiTheme="majorHAnsi" w:eastAsia="Times New Roman" w:hAnsiTheme="majorHAnsi" w:cstheme="majorHAnsi"/>
                <w:color w:val="000000"/>
                <w:sz w:val="20"/>
                <w:szCs w:val="20"/>
                <w:lang w:val="ro-MD"/>
              </w:rPr>
              <w:t>Wein</w:t>
            </w:r>
            <w:proofErr w:type="spellEnd"/>
            <w:r w:rsidRPr="002751FC">
              <w:rPr>
                <w:rFonts w:asciiTheme="majorHAnsi" w:eastAsia="Times New Roman" w:hAnsiTheme="majorHAnsi" w:cstheme="majorHAnsi"/>
                <w:color w:val="000000"/>
                <w:sz w:val="20"/>
                <w:szCs w:val="20"/>
                <w:lang w:val="ro-MD"/>
              </w:rPr>
              <w:t xml:space="preserve"> Trophy</w:t>
            </w:r>
          </w:p>
        </w:tc>
        <w:tc>
          <w:tcPr>
            <w:tcW w:w="1014"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15-18 februarie</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Berlin, Germania</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5</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C132E5">
        <w:trPr>
          <w:trHeight w:val="273"/>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3</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Berliner </w:t>
            </w:r>
            <w:proofErr w:type="spellStart"/>
            <w:r w:rsidRPr="002751FC">
              <w:rPr>
                <w:rFonts w:asciiTheme="majorHAnsi" w:eastAsia="Times New Roman" w:hAnsiTheme="majorHAnsi" w:cstheme="majorHAnsi"/>
                <w:color w:val="000000"/>
                <w:sz w:val="20"/>
                <w:szCs w:val="20"/>
                <w:lang w:val="ro-MD"/>
              </w:rPr>
              <w:t>Wein</w:t>
            </w:r>
            <w:proofErr w:type="spellEnd"/>
            <w:r w:rsidRPr="002751FC">
              <w:rPr>
                <w:rFonts w:asciiTheme="majorHAnsi" w:eastAsia="Times New Roman" w:hAnsiTheme="majorHAnsi" w:cstheme="majorHAnsi"/>
                <w:color w:val="000000"/>
                <w:sz w:val="20"/>
                <w:szCs w:val="20"/>
                <w:lang w:val="ro-MD"/>
              </w:rPr>
              <w:t xml:space="preserve"> Trophy</w:t>
            </w:r>
          </w:p>
        </w:tc>
        <w:tc>
          <w:tcPr>
            <w:tcW w:w="1014"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26-29 iulie</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Berlin, Germania </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9</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3</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C132E5">
        <w:trPr>
          <w:trHeight w:val="135"/>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4</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Challenge</w:t>
            </w:r>
            <w:proofErr w:type="spellEnd"/>
            <w:r w:rsidRPr="002751FC">
              <w:rPr>
                <w:rFonts w:asciiTheme="majorHAnsi" w:eastAsia="Times New Roman" w:hAnsiTheme="majorHAnsi" w:cstheme="majorHAnsi"/>
                <w:color w:val="000000"/>
                <w:sz w:val="20"/>
                <w:szCs w:val="20"/>
                <w:lang w:val="ro-MD"/>
              </w:rPr>
              <w:t xml:space="preserve"> International du Vin</w:t>
            </w:r>
          </w:p>
        </w:tc>
        <w:tc>
          <w:tcPr>
            <w:tcW w:w="1014"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21-22 aprilie</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Franța</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5</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4</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r>
      <w:tr w:rsidR="002B0C1F" w:rsidRPr="002751FC" w:rsidTr="00C132E5">
        <w:trPr>
          <w:trHeight w:val="70"/>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5</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Concours</w:t>
            </w:r>
            <w:proofErr w:type="spellEnd"/>
            <w:r w:rsidRPr="002751FC">
              <w:rPr>
                <w:rFonts w:asciiTheme="majorHAnsi" w:eastAsia="Times New Roman" w:hAnsiTheme="majorHAnsi" w:cstheme="majorHAnsi"/>
                <w:color w:val="000000"/>
                <w:sz w:val="20"/>
                <w:szCs w:val="20"/>
                <w:lang w:val="ro-MD"/>
              </w:rPr>
              <w:t xml:space="preserve"> International de Lyon</w:t>
            </w:r>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24 martie </w:t>
            </w:r>
          </w:p>
        </w:tc>
        <w:tc>
          <w:tcPr>
            <w:tcW w:w="1271" w:type="pct"/>
            <w:shd w:val="clear" w:color="auto" w:fill="auto"/>
            <w:noWrap/>
          </w:tcPr>
          <w:p w:rsidR="002B0C1F" w:rsidRPr="002751FC" w:rsidRDefault="008E6819"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Lyon, </w:t>
            </w:r>
            <w:r w:rsidR="002B0C1F" w:rsidRPr="002751FC">
              <w:rPr>
                <w:rFonts w:asciiTheme="majorHAnsi" w:eastAsia="Times New Roman" w:hAnsiTheme="majorHAnsi" w:cstheme="majorHAnsi"/>
                <w:color w:val="000000"/>
                <w:sz w:val="20"/>
                <w:szCs w:val="20"/>
                <w:lang w:val="ro-MD"/>
              </w:rPr>
              <w:t xml:space="preserve">Franța, </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C132E5">
        <w:trPr>
          <w:trHeight w:val="199"/>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6</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Decanter</w:t>
            </w:r>
            <w:proofErr w:type="spellEnd"/>
            <w:r w:rsidRPr="002751FC">
              <w:rPr>
                <w:rFonts w:asciiTheme="majorHAnsi" w:eastAsia="Times New Roman" w:hAnsiTheme="majorHAnsi" w:cstheme="majorHAnsi"/>
                <w:color w:val="000000"/>
                <w:sz w:val="20"/>
                <w:szCs w:val="20"/>
                <w:lang w:val="ro-MD"/>
              </w:rPr>
              <w:t xml:space="preserve"> Word </w:t>
            </w:r>
            <w:proofErr w:type="spellStart"/>
            <w:r w:rsidRPr="002751FC">
              <w:rPr>
                <w:rFonts w:asciiTheme="majorHAnsi" w:eastAsia="Times New Roman" w:hAnsiTheme="majorHAnsi" w:cstheme="majorHAnsi"/>
                <w:color w:val="000000"/>
                <w:sz w:val="20"/>
                <w:szCs w:val="20"/>
                <w:lang w:val="ro-MD"/>
              </w:rPr>
              <w:t>Wine</w:t>
            </w:r>
            <w:proofErr w:type="spellEnd"/>
            <w:r w:rsidRPr="002751FC">
              <w:rPr>
                <w:rFonts w:asciiTheme="majorHAnsi" w:eastAsia="Times New Roman" w:hAnsiTheme="majorHAnsi" w:cstheme="majorHAnsi"/>
                <w:color w:val="000000"/>
                <w:sz w:val="20"/>
                <w:szCs w:val="20"/>
                <w:lang w:val="ro-MD"/>
              </w:rPr>
              <w:t xml:space="preserve"> Awards</w:t>
            </w:r>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30 aprilie - 11 mai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Londra, Marea Britanie</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11</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19</w:t>
            </w:r>
          </w:p>
        </w:tc>
      </w:tr>
      <w:tr w:rsidR="002B0C1F" w:rsidRPr="002751FC" w:rsidTr="00C132E5">
        <w:trPr>
          <w:trHeight w:val="208"/>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7</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Grand</w:t>
            </w:r>
            <w:proofErr w:type="spellEnd"/>
            <w:r w:rsidRPr="002751FC">
              <w:rPr>
                <w:rFonts w:asciiTheme="majorHAnsi" w:eastAsia="Times New Roman" w:hAnsiTheme="majorHAnsi" w:cstheme="majorHAnsi"/>
                <w:color w:val="000000"/>
                <w:sz w:val="20"/>
                <w:szCs w:val="20"/>
                <w:lang w:val="ro-MD"/>
              </w:rPr>
              <w:t xml:space="preserve"> Prix </w:t>
            </w:r>
            <w:proofErr w:type="spellStart"/>
            <w:r w:rsidRPr="002751FC">
              <w:rPr>
                <w:rFonts w:asciiTheme="majorHAnsi" w:eastAsia="Times New Roman" w:hAnsiTheme="majorHAnsi" w:cstheme="majorHAnsi"/>
                <w:color w:val="000000"/>
                <w:sz w:val="20"/>
                <w:szCs w:val="20"/>
                <w:lang w:val="ro-MD"/>
              </w:rPr>
              <w:t>Vinex</w:t>
            </w:r>
            <w:proofErr w:type="spellEnd"/>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3-4 mai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Valtice</w:t>
            </w:r>
            <w:proofErr w:type="spellEnd"/>
            <w:r w:rsidRPr="002751FC">
              <w:rPr>
                <w:rFonts w:asciiTheme="majorHAnsi" w:eastAsia="Times New Roman" w:hAnsiTheme="majorHAnsi" w:cstheme="majorHAnsi"/>
                <w:color w:val="000000"/>
                <w:sz w:val="20"/>
                <w:szCs w:val="20"/>
                <w:lang w:val="ro-MD"/>
              </w:rPr>
              <w:t>, R. Cehă</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C132E5">
        <w:trPr>
          <w:trHeight w:val="107"/>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8</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International </w:t>
            </w:r>
            <w:proofErr w:type="spellStart"/>
            <w:r w:rsidRPr="002751FC">
              <w:rPr>
                <w:rFonts w:asciiTheme="majorHAnsi" w:eastAsia="Times New Roman" w:hAnsiTheme="majorHAnsi" w:cstheme="majorHAnsi"/>
                <w:color w:val="000000"/>
                <w:sz w:val="20"/>
                <w:szCs w:val="20"/>
                <w:lang w:val="ro-MD"/>
              </w:rPr>
              <w:t>Wine</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Challenge</w:t>
            </w:r>
            <w:proofErr w:type="spellEnd"/>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mai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Marea Britanie</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16</w:t>
            </w:r>
          </w:p>
        </w:tc>
      </w:tr>
      <w:tr w:rsidR="002B0C1F" w:rsidRPr="002751FC" w:rsidTr="00C132E5">
        <w:trPr>
          <w:trHeight w:val="185"/>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9</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Interwine</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Grand</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Challenge</w:t>
            </w:r>
            <w:proofErr w:type="spellEnd"/>
            <w:r w:rsidRPr="002751FC">
              <w:rPr>
                <w:rFonts w:asciiTheme="majorHAnsi" w:eastAsia="Times New Roman" w:hAnsiTheme="majorHAnsi" w:cstheme="majorHAnsi"/>
                <w:color w:val="000000"/>
                <w:sz w:val="20"/>
                <w:szCs w:val="20"/>
                <w:lang w:val="ro-MD"/>
              </w:rPr>
              <w:t xml:space="preserve"> 2018</w:t>
            </w:r>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6-7 noiembrie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China, </w:t>
            </w:r>
            <w:proofErr w:type="spellStart"/>
            <w:r w:rsidRPr="002751FC">
              <w:rPr>
                <w:rFonts w:asciiTheme="majorHAnsi" w:eastAsia="Times New Roman" w:hAnsiTheme="majorHAnsi" w:cstheme="majorHAnsi"/>
                <w:color w:val="000000"/>
                <w:sz w:val="20"/>
                <w:szCs w:val="20"/>
                <w:lang w:val="ro-MD"/>
              </w:rPr>
              <w:t>Foshan</w:t>
            </w:r>
            <w:proofErr w:type="spellEnd"/>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C132E5">
        <w:trPr>
          <w:trHeight w:val="185"/>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10</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International </w:t>
            </w:r>
            <w:proofErr w:type="spellStart"/>
            <w:r w:rsidRPr="002751FC">
              <w:rPr>
                <w:rFonts w:asciiTheme="majorHAnsi" w:eastAsia="Times New Roman" w:hAnsiTheme="majorHAnsi" w:cstheme="majorHAnsi"/>
                <w:color w:val="000000"/>
                <w:sz w:val="20"/>
                <w:szCs w:val="20"/>
                <w:lang w:val="ro-MD"/>
              </w:rPr>
              <w:t>Wine</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Challenge</w:t>
            </w:r>
            <w:proofErr w:type="spellEnd"/>
            <w:r w:rsidRPr="002751FC">
              <w:rPr>
                <w:rFonts w:asciiTheme="majorHAnsi" w:eastAsia="Times New Roman" w:hAnsiTheme="majorHAnsi" w:cstheme="majorHAnsi"/>
                <w:color w:val="000000"/>
                <w:sz w:val="20"/>
                <w:szCs w:val="20"/>
                <w:lang w:val="ro-MD"/>
              </w:rPr>
              <w:t xml:space="preserve"> AWC </w:t>
            </w:r>
            <w:proofErr w:type="spellStart"/>
            <w:r w:rsidRPr="002751FC">
              <w:rPr>
                <w:rFonts w:asciiTheme="majorHAnsi" w:eastAsia="Times New Roman" w:hAnsiTheme="majorHAnsi" w:cstheme="majorHAnsi"/>
                <w:color w:val="000000"/>
                <w:sz w:val="20"/>
                <w:szCs w:val="20"/>
                <w:lang w:val="ro-MD"/>
              </w:rPr>
              <w:t>Vienna</w:t>
            </w:r>
            <w:proofErr w:type="spellEnd"/>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august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Viena, Austria</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3</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3</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p>
        </w:tc>
      </w:tr>
      <w:tr w:rsidR="002B0C1F" w:rsidRPr="002751FC" w:rsidTr="00C132E5">
        <w:trPr>
          <w:trHeight w:val="185"/>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11</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IWSC International </w:t>
            </w:r>
            <w:proofErr w:type="spellStart"/>
            <w:r w:rsidRPr="002751FC">
              <w:rPr>
                <w:rFonts w:asciiTheme="majorHAnsi" w:eastAsia="Times New Roman" w:hAnsiTheme="majorHAnsi" w:cstheme="majorHAnsi"/>
                <w:color w:val="000000"/>
                <w:sz w:val="20"/>
                <w:szCs w:val="20"/>
                <w:lang w:val="ro-MD"/>
              </w:rPr>
              <w:t>Wine</w:t>
            </w:r>
            <w:proofErr w:type="spellEnd"/>
            <w:r w:rsidRPr="002751FC">
              <w:rPr>
                <w:rFonts w:asciiTheme="majorHAnsi" w:eastAsia="Times New Roman" w:hAnsiTheme="majorHAnsi" w:cstheme="majorHAnsi"/>
                <w:color w:val="000000"/>
                <w:sz w:val="20"/>
                <w:szCs w:val="20"/>
                <w:lang w:val="ro-MD"/>
              </w:rPr>
              <w:t xml:space="preserve"> &amp; Spirit </w:t>
            </w:r>
            <w:proofErr w:type="spellStart"/>
            <w:r w:rsidRPr="002751FC">
              <w:rPr>
                <w:rFonts w:asciiTheme="majorHAnsi" w:eastAsia="Times New Roman" w:hAnsiTheme="majorHAnsi" w:cstheme="majorHAnsi"/>
                <w:color w:val="000000"/>
                <w:sz w:val="20"/>
                <w:szCs w:val="20"/>
                <w:lang w:val="ro-MD"/>
              </w:rPr>
              <w:t>Competition</w:t>
            </w:r>
            <w:proofErr w:type="spellEnd"/>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14 noiembrie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Cranleigh</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Surrey</w:t>
            </w:r>
            <w:proofErr w:type="spellEnd"/>
            <w:r w:rsidRPr="002751FC">
              <w:rPr>
                <w:rFonts w:asciiTheme="majorHAnsi" w:eastAsia="Times New Roman" w:hAnsiTheme="majorHAnsi" w:cstheme="majorHAnsi"/>
                <w:color w:val="000000"/>
                <w:sz w:val="20"/>
                <w:szCs w:val="20"/>
                <w:lang w:val="ro-MD"/>
              </w:rPr>
              <w:t>, Marea Britanie </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7</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17</w:t>
            </w:r>
          </w:p>
        </w:tc>
      </w:tr>
      <w:tr w:rsidR="002B0C1F" w:rsidRPr="002751FC" w:rsidTr="00C132E5">
        <w:trPr>
          <w:trHeight w:val="185"/>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12</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London </w:t>
            </w:r>
            <w:proofErr w:type="spellStart"/>
            <w:r w:rsidRPr="002751FC">
              <w:rPr>
                <w:rFonts w:asciiTheme="majorHAnsi" w:eastAsia="Times New Roman" w:hAnsiTheme="majorHAnsi" w:cstheme="majorHAnsi"/>
                <w:color w:val="000000"/>
                <w:sz w:val="20"/>
                <w:szCs w:val="20"/>
                <w:lang w:val="ro-MD"/>
              </w:rPr>
              <w:t>Wine</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Competition</w:t>
            </w:r>
            <w:proofErr w:type="spellEnd"/>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8-9 martie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Londra, Marea Britanie</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4</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8</w:t>
            </w:r>
          </w:p>
        </w:tc>
      </w:tr>
      <w:tr w:rsidR="002B0C1F" w:rsidRPr="002751FC" w:rsidTr="00C132E5">
        <w:trPr>
          <w:trHeight w:val="185"/>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13</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Michelangelo International </w:t>
            </w:r>
            <w:proofErr w:type="spellStart"/>
            <w:r w:rsidRPr="002751FC">
              <w:rPr>
                <w:rFonts w:asciiTheme="majorHAnsi" w:eastAsia="Times New Roman" w:hAnsiTheme="majorHAnsi" w:cstheme="majorHAnsi"/>
                <w:color w:val="000000"/>
                <w:sz w:val="20"/>
                <w:szCs w:val="20"/>
                <w:lang w:val="ro-MD"/>
              </w:rPr>
              <w:t>Wine</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and</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Spirits</w:t>
            </w:r>
            <w:proofErr w:type="spellEnd"/>
            <w:r w:rsidRPr="002751FC">
              <w:rPr>
                <w:rFonts w:asciiTheme="majorHAnsi" w:eastAsia="Times New Roman" w:hAnsiTheme="majorHAnsi" w:cstheme="majorHAnsi"/>
                <w:color w:val="000000"/>
                <w:sz w:val="20"/>
                <w:szCs w:val="20"/>
                <w:lang w:val="ro-MD"/>
              </w:rPr>
              <w:t xml:space="preserve"> Awards</w:t>
            </w:r>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29 septembrie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Cape Town, Africa de Sud</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C132E5">
        <w:trPr>
          <w:trHeight w:val="185"/>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14</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Mondial des </w:t>
            </w:r>
            <w:proofErr w:type="spellStart"/>
            <w:r w:rsidRPr="002751FC">
              <w:rPr>
                <w:rFonts w:asciiTheme="majorHAnsi" w:eastAsia="Times New Roman" w:hAnsiTheme="majorHAnsi" w:cstheme="majorHAnsi"/>
                <w:color w:val="000000"/>
                <w:sz w:val="20"/>
                <w:szCs w:val="20"/>
                <w:lang w:val="ro-MD"/>
              </w:rPr>
              <w:t>Vins</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Feminalise</w:t>
            </w:r>
            <w:proofErr w:type="spellEnd"/>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5 aprilie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Paris, Franța</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C132E5">
        <w:trPr>
          <w:trHeight w:val="185"/>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15</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Mundus</w:t>
            </w:r>
            <w:proofErr w:type="spellEnd"/>
            <w:r w:rsidRPr="002751FC">
              <w:rPr>
                <w:rFonts w:asciiTheme="majorHAnsi" w:eastAsia="Times New Roman" w:hAnsiTheme="majorHAnsi" w:cstheme="majorHAnsi"/>
                <w:color w:val="000000"/>
                <w:sz w:val="20"/>
                <w:szCs w:val="20"/>
                <w:lang w:val="ro-MD"/>
              </w:rPr>
              <w:t xml:space="preserve"> Vini </w:t>
            </w:r>
            <w:proofErr w:type="spellStart"/>
            <w:r w:rsidRPr="002751FC">
              <w:rPr>
                <w:rFonts w:asciiTheme="majorHAnsi" w:eastAsia="Times New Roman" w:hAnsiTheme="majorHAnsi" w:cstheme="majorHAnsi"/>
                <w:color w:val="000000"/>
                <w:sz w:val="20"/>
                <w:szCs w:val="20"/>
                <w:lang w:val="ro-MD"/>
              </w:rPr>
              <w:t>Spring</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Tasting</w:t>
            </w:r>
            <w:proofErr w:type="spellEnd"/>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20-25 februarie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Neustadt</w:t>
            </w:r>
            <w:proofErr w:type="spellEnd"/>
            <w:r w:rsidRPr="002751FC">
              <w:rPr>
                <w:rFonts w:asciiTheme="majorHAnsi" w:eastAsia="Times New Roman" w:hAnsiTheme="majorHAnsi" w:cstheme="majorHAnsi"/>
                <w:color w:val="000000"/>
                <w:sz w:val="20"/>
                <w:szCs w:val="20"/>
                <w:lang w:val="ro-MD"/>
              </w:rPr>
              <w:t xml:space="preserve"> an </w:t>
            </w:r>
            <w:proofErr w:type="spellStart"/>
            <w:r w:rsidRPr="002751FC">
              <w:rPr>
                <w:rFonts w:asciiTheme="majorHAnsi" w:eastAsia="Times New Roman" w:hAnsiTheme="majorHAnsi" w:cstheme="majorHAnsi"/>
                <w:color w:val="000000"/>
                <w:sz w:val="20"/>
                <w:szCs w:val="20"/>
                <w:lang w:val="ro-MD"/>
              </w:rPr>
              <w:t>der</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Weinstrave</w:t>
            </w:r>
            <w:proofErr w:type="spellEnd"/>
            <w:r w:rsidRPr="002751FC">
              <w:rPr>
                <w:rFonts w:asciiTheme="majorHAnsi" w:eastAsia="Times New Roman" w:hAnsiTheme="majorHAnsi" w:cstheme="majorHAnsi"/>
                <w:color w:val="000000"/>
                <w:sz w:val="20"/>
                <w:szCs w:val="20"/>
                <w:lang w:val="ro-MD"/>
              </w:rPr>
              <w:t>, Germania</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8</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14</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C132E5">
        <w:trPr>
          <w:trHeight w:val="185"/>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16</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Pistonul de Aur</w:t>
            </w:r>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27-28 ianuarie</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Brăila, România</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6</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11</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C132E5">
        <w:trPr>
          <w:trHeight w:val="185"/>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17</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Portugal</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Wine</w:t>
            </w:r>
            <w:proofErr w:type="spellEnd"/>
            <w:r w:rsidRPr="002751FC">
              <w:rPr>
                <w:rFonts w:asciiTheme="majorHAnsi" w:eastAsia="Times New Roman" w:hAnsiTheme="majorHAnsi" w:cstheme="majorHAnsi"/>
                <w:color w:val="000000"/>
                <w:sz w:val="20"/>
                <w:szCs w:val="20"/>
                <w:lang w:val="ro-MD"/>
              </w:rPr>
              <w:t xml:space="preserve"> Trophy</w:t>
            </w:r>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24-27 mai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Anadia</w:t>
            </w:r>
            <w:proofErr w:type="spellEnd"/>
            <w:r w:rsidRPr="002751FC">
              <w:rPr>
                <w:rFonts w:asciiTheme="majorHAnsi" w:eastAsia="Times New Roman" w:hAnsiTheme="majorHAnsi" w:cstheme="majorHAnsi"/>
                <w:color w:val="000000"/>
                <w:sz w:val="20"/>
                <w:szCs w:val="20"/>
                <w:lang w:val="ro-MD"/>
              </w:rPr>
              <w:t>, Portugalia</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4</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6</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C132E5">
        <w:trPr>
          <w:trHeight w:val="185"/>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18</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Prodexpo</w:t>
            </w:r>
            <w:proofErr w:type="spellEnd"/>
            <w:r w:rsidRPr="002751FC">
              <w:rPr>
                <w:rFonts w:asciiTheme="majorHAnsi" w:eastAsia="Times New Roman" w:hAnsiTheme="majorHAnsi" w:cstheme="majorHAnsi"/>
                <w:color w:val="000000"/>
                <w:sz w:val="20"/>
                <w:szCs w:val="20"/>
                <w:lang w:val="ro-MD"/>
              </w:rPr>
              <w:t xml:space="preserve"> International </w:t>
            </w:r>
            <w:proofErr w:type="spellStart"/>
            <w:r w:rsidRPr="002751FC">
              <w:rPr>
                <w:rFonts w:asciiTheme="majorHAnsi" w:eastAsia="Times New Roman" w:hAnsiTheme="majorHAnsi" w:cstheme="majorHAnsi"/>
                <w:color w:val="000000"/>
                <w:sz w:val="20"/>
                <w:szCs w:val="20"/>
                <w:lang w:val="ro-MD"/>
              </w:rPr>
              <w:t>Wine</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Competition</w:t>
            </w:r>
            <w:proofErr w:type="spellEnd"/>
            <w:r w:rsidRPr="002751FC">
              <w:rPr>
                <w:rFonts w:asciiTheme="majorHAnsi" w:eastAsia="Times New Roman" w:hAnsiTheme="majorHAnsi" w:cstheme="majorHAnsi"/>
                <w:color w:val="000000"/>
                <w:sz w:val="20"/>
                <w:szCs w:val="20"/>
                <w:lang w:val="ro-MD"/>
              </w:rPr>
              <w:t xml:space="preserve"> &amp; </w:t>
            </w:r>
            <w:proofErr w:type="spellStart"/>
            <w:r w:rsidRPr="002751FC">
              <w:rPr>
                <w:rFonts w:asciiTheme="majorHAnsi" w:eastAsia="Times New Roman" w:hAnsiTheme="majorHAnsi" w:cstheme="majorHAnsi"/>
                <w:color w:val="000000"/>
                <w:sz w:val="20"/>
                <w:szCs w:val="20"/>
                <w:lang w:val="ro-MD"/>
              </w:rPr>
              <w:t>Guide</w:t>
            </w:r>
            <w:proofErr w:type="spellEnd"/>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5 februarie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Moscova, Federația Rusă</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4</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7</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3</w:t>
            </w:r>
          </w:p>
        </w:tc>
      </w:tr>
      <w:tr w:rsidR="002B0C1F" w:rsidRPr="002751FC" w:rsidTr="00C132E5">
        <w:trPr>
          <w:trHeight w:val="185"/>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19</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Vinalies</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Internationales</w:t>
            </w:r>
            <w:proofErr w:type="spellEnd"/>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2-6 martie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Paris, Franța</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C132E5">
        <w:trPr>
          <w:trHeight w:val="185"/>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20</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Vinorus</w:t>
            </w:r>
            <w:proofErr w:type="spellEnd"/>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24 aprilie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proofErr w:type="spellStart"/>
            <w:r w:rsidRPr="002751FC">
              <w:rPr>
                <w:rFonts w:asciiTheme="majorHAnsi" w:eastAsia="Times New Roman" w:hAnsiTheme="majorHAnsi" w:cstheme="majorHAnsi"/>
                <w:color w:val="000000"/>
                <w:sz w:val="20"/>
                <w:szCs w:val="20"/>
                <w:lang w:val="ro-MD"/>
              </w:rPr>
              <w:t>Krasnodar</w:t>
            </w:r>
            <w:proofErr w:type="spellEnd"/>
            <w:r w:rsidRPr="002751FC">
              <w:rPr>
                <w:rFonts w:asciiTheme="majorHAnsi" w:eastAsia="Times New Roman" w:hAnsiTheme="majorHAnsi" w:cstheme="majorHAnsi"/>
                <w:color w:val="000000"/>
                <w:sz w:val="20"/>
                <w:szCs w:val="20"/>
                <w:lang w:val="ro-MD"/>
              </w:rPr>
              <w:t>, Federația Rusă</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r>
      <w:tr w:rsidR="002B0C1F" w:rsidRPr="002751FC" w:rsidTr="00C132E5">
        <w:trPr>
          <w:trHeight w:val="185"/>
        </w:trPr>
        <w:tc>
          <w:tcPr>
            <w:tcW w:w="21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21</w:t>
            </w:r>
          </w:p>
        </w:tc>
        <w:tc>
          <w:tcPr>
            <w:tcW w:w="1637"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Vina </w:t>
            </w:r>
            <w:proofErr w:type="spellStart"/>
            <w:r w:rsidRPr="002751FC">
              <w:rPr>
                <w:rFonts w:asciiTheme="majorHAnsi" w:eastAsia="Times New Roman" w:hAnsiTheme="majorHAnsi" w:cstheme="majorHAnsi"/>
                <w:color w:val="000000"/>
                <w:sz w:val="20"/>
                <w:szCs w:val="20"/>
                <w:lang w:val="ro-MD"/>
              </w:rPr>
              <w:t>Ceornogo</w:t>
            </w:r>
            <w:proofErr w:type="spellEnd"/>
            <w:r w:rsidRPr="002751FC">
              <w:rPr>
                <w:rFonts w:asciiTheme="majorHAnsi" w:eastAsia="Times New Roman" w:hAnsiTheme="majorHAnsi" w:cstheme="majorHAnsi"/>
                <w:color w:val="000000"/>
                <w:sz w:val="20"/>
                <w:szCs w:val="20"/>
                <w:lang w:val="ro-MD"/>
              </w:rPr>
              <w:t xml:space="preserve"> </w:t>
            </w:r>
            <w:proofErr w:type="spellStart"/>
            <w:r w:rsidRPr="002751FC">
              <w:rPr>
                <w:rFonts w:asciiTheme="majorHAnsi" w:eastAsia="Times New Roman" w:hAnsiTheme="majorHAnsi" w:cstheme="majorHAnsi"/>
                <w:color w:val="000000"/>
                <w:sz w:val="20"/>
                <w:szCs w:val="20"/>
                <w:lang w:val="ro-MD"/>
              </w:rPr>
              <w:t>Morea</w:t>
            </w:r>
            <w:proofErr w:type="spellEnd"/>
          </w:p>
        </w:tc>
        <w:tc>
          <w:tcPr>
            <w:tcW w:w="1014" w:type="pct"/>
            <w:shd w:val="clear" w:color="auto" w:fill="auto"/>
            <w:noWrap/>
          </w:tcPr>
          <w:p w:rsidR="002B0C1F" w:rsidRPr="002751FC" w:rsidRDefault="002B0C1F" w:rsidP="008E6819">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 xml:space="preserve">24-26 iunie </w:t>
            </w:r>
          </w:p>
        </w:tc>
        <w:tc>
          <w:tcPr>
            <w:tcW w:w="1271" w:type="pct"/>
            <w:shd w:val="clear" w:color="auto" w:fill="auto"/>
            <w:noWrap/>
          </w:tcPr>
          <w:p w:rsidR="002B0C1F" w:rsidRPr="002751FC" w:rsidRDefault="002B0C1F" w:rsidP="008E6A80">
            <w:pPr>
              <w:spacing w:after="0" w:line="240" w:lineRule="auto"/>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Varna, Bulgaria</w:t>
            </w:r>
          </w:p>
        </w:tc>
        <w:tc>
          <w:tcPr>
            <w:tcW w:w="307" w:type="pct"/>
            <w:shd w:val="clear" w:color="auto" w:fill="auto"/>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10</w:t>
            </w:r>
          </w:p>
        </w:tc>
        <w:tc>
          <w:tcPr>
            <w:tcW w:w="27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1</w:t>
            </w:r>
          </w:p>
        </w:tc>
        <w:tc>
          <w:tcPr>
            <w:tcW w:w="285" w:type="pct"/>
            <w:vAlign w:val="center"/>
          </w:tcPr>
          <w:p w:rsidR="002B0C1F" w:rsidRPr="002751FC" w:rsidRDefault="002B0C1F" w:rsidP="008E6A80">
            <w:pPr>
              <w:spacing w:after="0" w:line="240" w:lineRule="auto"/>
              <w:jc w:val="center"/>
              <w:rPr>
                <w:rFonts w:asciiTheme="majorHAnsi" w:eastAsia="Times New Roman" w:hAnsiTheme="majorHAnsi" w:cstheme="majorHAnsi"/>
                <w:color w:val="000000"/>
                <w:sz w:val="20"/>
                <w:szCs w:val="20"/>
                <w:lang w:val="ro-MD"/>
              </w:rPr>
            </w:pPr>
            <w:r w:rsidRPr="002751FC">
              <w:rPr>
                <w:rFonts w:asciiTheme="majorHAnsi" w:eastAsia="Times New Roman" w:hAnsiTheme="majorHAnsi" w:cstheme="majorHAnsi"/>
                <w:color w:val="000000"/>
                <w:sz w:val="20"/>
                <w:szCs w:val="20"/>
                <w:lang w:val="ro-MD"/>
              </w:rPr>
              <w:t>-</w:t>
            </w:r>
          </w:p>
        </w:tc>
      </w:tr>
      <w:tr w:rsidR="002B0C1F" w:rsidRPr="002751FC" w:rsidTr="00C132E5">
        <w:trPr>
          <w:trHeight w:val="185"/>
        </w:trPr>
        <w:tc>
          <w:tcPr>
            <w:tcW w:w="1848" w:type="pct"/>
            <w:gridSpan w:val="2"/>
            <w:shd w:val="clear" w:color="auto" w:fill="DEEAF6" w:themeFill="accent1" w:themeFillTint="33"/>
            <w:noWrap/>
            <w:vAlign w:val="center"/>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Total</w:t>
            </w:r>
          </w:p>
        </w:tc>
        <w:tc>
          <w:tcPr>
            <w:tcW w:w="1014" w:type="pct"/>
            <w:shd w:val="clear" w:color="auto" w:fill="DEEAF6" w:themeFill="accent1" w:themeFillTint="33"/>
            <w:noWrap/>
            <w:vAlign w:val="center"/>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x</w:t>
            </w:r>
          </w:p>
        </w:tc>
        <w:tc>
          <w:tcPr>
            <w:tcW w:w="1271" w:type="pct"/>
            <w:shd w:val="clear" w:color="auto" w:fill="DEEAF6" w:themeFill="accent1" w:themeFillTint="33"/>
            <w:noWrap/>
            <w:vAlign w:val="center"/>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x</w:t>
            </w:r>
          </w:p>
        </w:tc>
        <w:tc>
          <w:tcPr>
            <w:tcW w:w="307" w:type="pct"/>
            <w:shd w:val="clear" w:color="auto" w:fill="DEEAF6" w:themeFill="accent1" w:themeFillTint="33"/>
            <w:vAlign w:val="center"/>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82</w:t>
            </w:r>
          </w:p>
        </w:tc>
        <w:tc>
          <w:tcPr>
            <w:tcW w:w="275" w:type="pct"/>
            <w:shd w:val="clear" w:color="auto" w:fill="DEEAF6" w:themeFill="accent1" w:themeFillTint="33"/>
            <w:vAlign w:val="center"/>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85</w:t>
            </w:r>
          </w:p>
        </w:tc>
        <w:tc>
          <w:tcPr>
            <w:tcW w:w="285" w:type="pct"/>
            <w:shd w:val="clear" w:color="auto" w:fill="DEEAF6" w:themeFill="accent1" w:themeFillTint="33"/>
            <w:vAlign w:val="center"/>
          </w:tcPr>
          <w:p w:rsidR="002B0C1F" w:rsidRPr="002751FC" w:rsidRDefault="002B0C1F" w:rsidP="008E6A80">
            <w:pPr>
              <w:spacing w:after="0" w:line="240" w:lineRule="auto"/>
              <w:jc w:val="center"/>
              <w:rPr>
                <w:rFonts w:asciiTheme="majorHAnsi" w:eastAsia="Times New Roman" w:hAnsiTheme="majorHAnsi" w:cstheme="majorHAnsi"/>
                <w:b/>
                <w:color w:val="000000"/>
                <w:sz w:val="20"/>
                <w:szCs w:val="20"/>
                <w:lang w:val="ro-MD"/>
              </w:rPr>
            </w:pPr>
            <w:r w:rsidRPr="002751FC">
              <w:rPr>
                <w:rFonts w:asciiTheme="majorHAnsi" w:eastAsia="Times New Roman" w:hAnsiTheme="majorHAnsi" w:cstheme="majorHAnsi"/>
                <w:b/>
                <w:color w:val="000000"/>
                <w:sz w:val="20"/>
                <w:szCs w:val="20"/>
                <w:lang w:val="ro-MD"/>
              </w:rPr>
              <w:t>65</w:t>
            </w:r>
          </w:p>
        </w:tc>
      </w:tr>
    </w:tbl>
    <w:p w:rsidR="002B0C1F" w:rsidRPr="002751FC" w:rsidRDefault="00C132E5" w:rsidP="00C132E5">
      <w:pPr>
        <w:rPr>
          <w:rFonts w:asciiTheme="majorHAnsi" w:hAnsiTheme="majorHAnsi" w:cstheme="majorHAnsi"/>
          <w:sz w:val="28"/>
          <w:szCs w:val="28"/>
          <w:lang w:val="ro-MD"/>
        </w:rPr>
      </w:pPr>
      <w:r w:rsidRPr="002751FC">
        <w:rPr>
          <w:rFonts w:asciiTheme="majorHAnsi" w:hAnsiTheme="majorHAnsi" w:cstheme="majorHAnsi"/>
          <w:b/>
          <w:lang w:val="ro-MD"/>
        </w:rPr>
        <w:t xml:space="preserve">Sursa: </w:t>
      </w:r>
      <w:r w:rsidRPr="002751FC">
        <w:rPr>
          <w:rFonts w:asciiTheme="majorHAnsi" w:hAnsiTheme="majorHAnsi" w:cstheme="majorHAnsi"/>
          <w:lang w:val="ro-MD"/>
        </w:rPr>
        <w:t>datele ONVV.</w:t>
      </w:r>
    </w:p>
    <w:sectPr w:rsidR="002B0C1F" w:rsidRPr="002751FC" w:rsidSect="002B0C1F">
      <w:pgSz w:w="15840" w:h="12240" w:orient="landscape"/>
      <w:pgMar w:top="1440" w:right="1440" w:bottom="12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71" w:rsidRDefault="00540171" w:rsidP="00974C87">
      <w:pPr>
        <w:spacing w:after="0" w:line="240" w:lineRule="auto"/>
      </w:pPr>
      <w:r>
        <w:separator/>
      </w:r>
    </w:p>
  </w:endnote>
  <w:endnote w:type="continuationSeparator" w:id="0">
    <w:p w:rsidR="00540171" w:rsidRDefault="00540171" w:rsidP="0097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723363"/>
      <w:docPartObj>
        <w:docPartGallery w:val="Page Numbers (Bottom of Page)"/>
        <w:docPartUnique/>
      </w:docPartObj>
    </w:sdtPr>
    <w:sdtEndPr>
      <w:rPr>
        <w:noProof/>
      </w:rPr>
    </w:sdtEndPr>
    <w:sdtContent>
      <w:p w:rsidR="0065324C" w:rsidRPr="00FE4825" w:rsidRDefault="0065324C">
        <w:pPr>
          <w:pStyle w:val="a9"/>
          <w:jc w:val="right"/>
          <w:rPr>
            <w:rFonts w:asciiTheme="majorHAnsi" w:hAnsiTheme="majorHAnsi" w:cstheme="majorHAnsi"/>
            <w:noProof/>
            <w:sz w:val="24"/>
          </w:rPr>
        </w:pPr>
        <w:r w:rsidRPr="00FE4825">
          <w:rPr>
            <w:rFonts w:asciiTheme="majorHAnsi" w:hAnsiTheme="majorHAnsi" w:cstheme="majorHAnsi"/>
            <w:sz w:val="24"/>
          </w:rPr>
          <w:fldChar w:fldCharType="begin"/>
        </w:r>
        <w:r w:rsidRPr="00FE4825">
          <w:rPr>
            <w:rFonts w:asciiTheme="majorHAnsi" w:hAnsiTheme="majorHAnsi" w:cstheme="majorHAnsi"/>
            <w:sz w:val="24"/>
          </w:rPr>
          <w:instrText xml:space="preserve"> PAGE   \* MERGEFORMAT </w:instrText>
        </w:r>
        <w:r w:rsidRPr="00FE4825">
          <w:rPr>
            <w:rFonts w:asciiTheme="majorHAnsi" w:hAnsiTheme="majorHAnsi" w:cstheme="majorHAnsi"/>
            <w:sz w:val="24"/>
          </w:rPr>
          <w:fldChar w:fldCharType="separate"/>
        </w:r>
        <w:r w:rsidR="0082388F">
          <w:rPr>
            <w:rFonts w:asciiTheme="majorHAnsi" w:hAnsiTheme="majorHAnsi" w:cstheme="majorHAnsi"/>
            <w:noProof/>
            <w:sz w:val="24"/>
          </w:rPr>
          <w:t>39</w:t>
        </w:r>
        <w:r w:rsidRPr="00FE4825">
          <w:rPr>
            <w:rFonts w:asciiTheme="majorHAnsi" w:hAnsiTheme="majorHAnsi" w:cstheme="majorHAnsi"/>
            <w:noProof/>
            <w:sz w:val="24"/>
          </w:rPr>
          <w:fldChar w:fldCharType="end"/>
        </w:r>
      </w:p>
      <w:p w:rsidR="0065324C" w:rsidRDefault="00540171">
        <w:pPr>
          <w:pStyle w:val="a9"/>
          <w:jc w:val="right"/>
        </w:pPr>
      </w:p>
    </w:sdtContent>
  </w:sdt>
  <w:p w:rsidR="0065324C" w:rsidRDefault="006532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71" w:rsidRDefault="00540171" w:rsidP="00974C87">
      <w:pPr>
        <w:spacing w:after="0" w:line="240" w:lineRule="auto"/>
      </w:pPr>
      <w:r>
        <w:separator/>
      </w:r>
    </w:p>
  </w:footnote>
  <w:footnote w:type="continuationSeparator" w:id="0">
    <w:p w:rsidR="00540171" w:rsidRDefault="00540171" w:rsidP="00974C87">
      <w:pPr>
        <w:spacing w:after="0" w:line="240" w:lineRule="auto"/>
      </w:pPr>
      <w:r>
        <w:continuationSeparator/>
      </w:r>
    </w:p>
  </w:footnote>
  <w:footnote w:id="1">
    <w:p w:rsidR="0065324C" w:rsidRPr="00253568" w:rsidRDefault="0065324C" w:rsidP="00974C87">
      <w:pPr>
        <w:pStyle w:val="a5"/>
        <w:rPr>
          <w:rFonts w:asciiTheme="majorHAnsi" w:hAnsiTheme="majorHAnsi" w:cstheme="majorHAnsi"/>
        </w:rPr>
      </w:pPr>
      <w:r w:rsidRPr="00253568">
        <w:rPr>
          <w:rStyle w:val="ab"/>
          <w:rFonts w:asciiTheme="majorHAnsi" w:hAnsiTheme="majorHAnsi" w:cstheme="majorHAnsi"/>
        </w:rPr>
        <w:footnoteRef/>
      </w:r>
      <w:r w:rsidRPr="00253568">
        <w:rPr>
          <w:rFonts w:asciiTheme="majorHAnsi" w:hAnsiTheme="majorHAnsi" w:cstheme="majorHAnsi"/>
        </w:rPr>
        <w:t xml:space="preserve"> Include centre</w:t>
      </w:r>
      <w:r>
        <w:rPr>
          <w:rFonts w:asciiTheme="majorHAnsi" w:hAnsiTheme="majorHAnsi" w:cstheme="majorHAnsi"/>
        </w:rPr>
        <w:t>le</w:t>
      </w:r>
      <w:r w:rsidRPr="00253568">
        <w:rPr>
          <w:rFonts w:asciiTheme="majorHAnsi" w:hAnsiTheme="majorHAnsi" w:cstheme="majorHAnsi"/>
        </w:rPr>
        <w:t xml:space="preserve"> vitivinicole din Leova, Cantemir, Cahul, Comrat, Ceadâr-Lunga, Taraclia și Vulcănești.</w:t>
      </w:r>
    </w:p>
  </w:footnote>
  <w:footnote w:id="2">
    <w:p w:rsidR="0065324C" w:rsidRPr="00253568" w:rsidRDefault="0065324C" w:rsidP="00974C87">
      <w:pPr>
        <w:pStyle w:val="a5"/>
        <w:rPr>
          <w:rFonts w:asciiTheme="majorHAnsi" w:hAnsiTheme="majorHAnsi" w:cstheme="majorHAnsi"/>
        </w:rPr>
      </w:pPr>
      <w:r w:rsidRPr="00253568">
        <w:rPr>
          <w:rStyle w:val="ab"/>
          <w:rFonts w:asciiTheme="majorHAnsi" w:hAnsiTheme="majorHAnsi" w:cstheme="majorHAnsi"/>
        </w:rPr>
        <w:footnoteRef/>
      </w:r>
      <w:r w:rsidRPr="00253568">
        <w:rPr>
          <w:rFonts w:asciiTheme="majorHAnsi" w:hAnsiTheme="majorHAnsi" w:cstheme="majorHAnsi"/>
        </w:rPr>
        <w:t xml:space="preserve"> Include centre</w:t>
      </w:r>
      <w:r>
        <w:rPr>
          <w:rFonts w:asciiTheme="majorHAnsi" w:hAnsiTheme="majorHAnsi" w:cstheme="majorHAnsi"/>
        </w:rPr>
        <w:t>le</w:t>
      </w:r>
      <w:r w:rsidRPr="00253568">
        <w:rPr>
          <w:rFonts w:asciiTheme="majorHAnsi" w:hAnsiTheme="majorHAnsi" w:cstheme="majorHAnsi"/>
        </w:rPr>
        <w:t xml:space="preserve"> vitivinicole din Căușeni, Cimișlia, Basarabeasca</w:t>
      </w:r>
      <w:r>
        <w:rPr>
          <w:rFonts w:asciiTheme="majorHAnsi" w:hAnsiTheme="majorHAnsi" w:cstheme="majorHAnsi"/>
        </w:rPr>
        <w:t xml:space="preserve"> și</w:t>
      </w:r>
      <w:r w:rsidRPr="00253568">
        <w:rPr>
          <w:rFonts w:asciiTheme="majorHAnsi" w:hAnsiTheme="majorHAnsi" w:cstheme="majorHAnsi"/>
        </w:rPr>
        <w:t xml:space="preserve"> Ștefan Vodă</w:t>
      </w:r>
      <w:r>
        <w:rPr>
          <w:rFonts w:asciiTheme="majorHAnsi" w:hAnsiTheme="majorHAnsi" w:cstheme="majorHAnsi"/>
        </w:rPr>
        <w:t>.</w:t>
      </w:r>
    </w:p>
  </w:footnote>
  <w:footnote w:id="3">
    <w:p w:rsidR="0065324C" w:rsidRPr="00253568" w:rsidRDefault="0065324C" w:rsidP="00974C87">
      <w:pPr>
        <w:pStyle w:val="a5"/>
        <w:rPr>
          <w:rFonts w:asciiTheme="majorHAnsi" w:hAnsiTheme="majorHAnsi" w:cstheme="majorHAnsi"/>
        </w:rPr>
      </w:pPr>
      <w:r w:rsidRPr="00253568">
        <w:rPr>
          <w:rStyle w:val="ab"/>
          <w:rFonts w:asciiTheme="majorHAnsi" w:hAnsiTheme="majorHAnsi" w:cstheme="majorHAnsi"/>
        </w:rPr>
        <w:footnoteRef/>
      </w:r>
      <w:r w:rsidRPr="00253568">
        <w:rPr>
          <w:rFonts w:asciiTheme="majorHAnsi" w:hAnsiTheme="majorHAnsi" w:cstheme="majorHAnsi"/>
        </w:rPr>
        <w:t xml:space="preserve"> Include centre</w:t>
      </w:r>
      <w:r>
        <w:rPr>
          <w:rFonts w:asciiTheme="majorHAnsi" w:hAnsiTheme="majorHAnsi" w:cstheme="majorHAnsi"/>
        </w:rPr>
        <w:t>le</w:t>
      </w:r>
      <w:r w:rsidRPr="00253568">
        <w:rPr>
          <w:rFonts w:asciiTheme="majorHAnsi" w:hAnsiTheme="majorHAnsi" w:cstheme="majorHAnsi"/>
        </w:rPr>
        <w:t xml:space="preserve"> vitivinicole din H</w:t>
      </w:r>
      <w:r>
        <w:rPr>
          <w:rFonts w:asciiTheme="majorHAnsi" w:hAnsiTheme="majorHAnsi" w:cstheme="majorHAnsi"/>
        </w:rPr>
        <w:t>â</w:t>
      </w:r>
      <w:r w:rsidRPr="00253568">
        <w:rPr>
          <w:rFonts w:asciiTheme="majorHAnsi" w:hAnsiTheme="majorHAnsi" w:cstheme="majorHAnsi"/>
        </w:rPr>
        <w:t xml:space="preserve">ncești, Rezina, Ialoveni, Bulboaca, Chișinău, </w:t>
      </w:r>
      <w:proofErr w:type="spellStart"/>
      <w:r w:rsidRPr="00253568">
        <w:rPr>
          <w:rFonts w:asciiTheme="majorHAnsi" w:hAnsiTheme="majorHAnsi" w:cstheme="majorHAnsi"/>
        </w:rPr>
        <w:t>Romănești</w:t>
      </w:r>
      <w:proofErr w:type="spellEnd"/>
      <w:r w:rsidRPr="00253568">
        <w:rPr>
          <w:rFonts w:asciiTheme="majorHAnsi" w:hAnsiTheme="majorHAnsi" w:cstheme="majorHAnsi"/>
        </w:rPr>
        <w:t>, Nisporeni, Călăra</w:t>
      </w:r>
      <w:r>
        <w:rPr>
          <w:rFonts w:asciiTheme="majorHAnsi" w:hAnsiTheme="majorHAnsi" w:cstheme="majorHAnsi"/>
        </w:rPr>
        <w:t>ș</w:t>
      </w:r>
      <w:r w:rsidRPr="00253568">
        <w:rPr>
          <w:rFonts w:asciiTheme="majorHAnsi" w:hAnsiTheme="majorHAnsi" w:cstheme="majorHAnsi"/>
        </w:rPr>
        <w:t>i, Orh</w:t>
      </w:r>
      <w:r>
        <w:rPr>
          <w:rFonts w:asciiTheme="majorHAnsi" w:hAnsiTheme="majorHAnsi" w:cstheme="majorHAnsi"/>
        </w:rPr>
        <w:t>e</w:t>
      </w:r>
      <w:r w:rsidRPr="00253568">
        <w:rPr>
          <w:rFonts w:asciiTheme="majorHAnsi" w:hAnsiTheme="majorHAnsi" w:cstheme="majorHAnsi"/>
        </w:rPr>
        <w:t>i, Telenești, Dubăsari, Tiraspol, Fălești, Bălți</w:t>
      </w:r>
      <w:r>
        <w:rPr>
          <w:rFonts w:asciiTheme="majorHAnsi" w:hAnsiTheme="majorHAnsi" w:cstheme="majorHAnsi"/>
        </w:rPr>
        <w:t xml:space="preserve"> și</w:t>
      </w:r>
      <w:r w:rsidRPr="00253568">
        <w:rPr>
          <w:rFonts w:asciiTheme="majorHAnsi" w:hAnsiTheme="majorHAnsi" w:cstheme="majorHAnsi"/>
        </w:rPr>
        <w:t xml:space="preserve"> Rașcov.</w:t>
      </w:r>
    </w:p>
  </w:footnote>
  <w:footnote w:id="4">
    <w:p w:rsidR="0065324C" w:rsidRPr="00253568" w:rsidRDefault="0065324C" w:rsidP="00974C87">
      <w:pPr>
        <w:pStyle w:val="a5"/>
        <w:rPr>
          <w:rFonts w:asciiTheme="majorHAnsi" w:hAnsiTheme="majorHAnsi" w:cstheme="majorHAnsi"/>
        </w:rPr>
      </w:pPr>
      <w:r w:rsidRPr="00253568">
        <w:rPr>
          <w:rStyle w:val="ab"/>
          <w:rFonts w:asciiTheme="majorHAnsi" w:hAnsiTheme="majorHAnsi" w:cstheme="majorHAnsi"/>
        </w:rPr>
        <w:footnoteRef/>
      </w:r>
      <w:r w:rsidRPr="00253568">
        <w:rPr>
          <w:rFonts w:asciiTheme="majorHAnsi" w:hAnsiTheme="majorHAnsi" w:cstheme="majorHAnsi"/>
        </w:rPr>
        <w:t xml:space="preserve"> Se extinde pe tot teritoriul RM pentru producerea rachiurilor de vin învechite cu IGP „DIVIN”</w:t>
      </w:r>
      <w:r>
        <w:rPr>
          <w:rFonts w:asciiTheme="majorHAnsi" w:hAnsiTheme="majorHAnsi" w:cstheme="majorHAnsi"/>
        </w:rPr>
        <w:t>.</w:t>
      </w:r>
      <w:r w:rsidRPr="00253568">
        <w:rPr>
          <w:rFonts w:asciiTheme="majorHAnsi" w:hAnsiTheme="majorHAnsi" w:cstheme="majorHAnsi"/>
        </w:rPr>
        <w:t xml:space="preserve"> </w:t>
      </w:r>
    </w:p>
  </w:footnote>
  <w:footnote w:id="5">
    <w:p w:rsidR="0065324C" w:rsidRDefault="0065324C" w:rsidP="00974C87">
      <w:pPr>
        <w:pStyle w:val="a5"/>
      </w:pPr>
      <w:r>
        <w:rPr>
          <w:rStyle w:val="ab"/>
        </w:rPr>
        <w:footnoteRef/>
      </w:r>
      <w:r>
        <w:t xml:space="preserve"> </w:t>
      </w:r>
      <w:r w:rsidRPr="00A42CDA">
        <w:rPr>
          <w:rFonts w:asciiTheme="majorHAnsi" w:hAnsiTheme="majorHAnsi" w:cstheme="majorHAnsi"/>
        </w:rPr>
        <w:t>Nivelul de realizare a bugetelor aprobate de CC.</w:t>
      </w:r>
    </w:p>
  </w:footnote>
  <w:footnote w:id="6">
    <w:p w:rsidR="0065324C" w:rsidRPr="00D378CC" w:rsidRDefault="0065324C" w:rsidP="00974C87">
      <w:pPr>
        <w:pStyle w:val="a5"/>
        <w:rPr>
          <w:rFonts w:asciiTheme="majorHAnsi" w:hAnsiTheme="majorHAnsi" w:cstheme="majorHAnsi"/>
        </w:rPr>
      </w:pPr>
      <w:r w:rsidRPr="00D378CC">
        <w:rPr>
          <w:rStyle w:val="ab"/>
          <w:rFonts w:asciiTheme="majorHAnsi" w:hAnsiTheme="majorHAnsi" w:cstheme="majorHAnsi"/>
        </w:rPr>
        <w:footnoteRef/>
      </w:r>
      <w:r w:rsidRPr="00D378CC">
        <w:rPr>
          <w:rFonts w:asciiTheme="majorHAnsi" w:hAnsiTheme="majorHAnsi" w:cstheme="majorHAnsi"/>
        </w:rPr>
        <w:t xml:space="preserve"> HG nr.</w:t>
      </w:r>
      <w:r w:rsidRPr="001B3B87">
        <w:rPr>
          <w:rFonts w:asciiTheme="majorHAnsi" w:hAnsiTheme="majorHAnsi" w:cstheme="majorHAnsi"/>
        </w:rPr>
        <w:t>726 din 16.09.2013</w:t>
      </w:r>
      <w:r>
        <w:rPr>
          <w:rFonts w:asciiTheme="majorHAnsi" w:hAnsiTheme="majorHAnsi" w:cstheme="majorHAnsi"/>
        </w:rPr>
        <w:t xml:space="preserve"> „C</w:t>
      </w:r>
      <w:r w:rsidRPr="00BC3BAB">
        <w:rPr>
          <w:rFonts w:asciiTheme="majorHAnsi" w:hAnsiTheme="majorHAnsi" w:cstheme="majorHAnsi"/>
        </w:rPr>
        <w:t>u privire la aprobarea Regulamentului Fondului Viei şi Vinului</w:t>
      </w:r>
      <w:r>
        <w:rPr>
          <w:rFonts w:asciiTheme="majorHAnsi" w:hAnsiTheme="majorHAnsi" w:cstheme="majorHAnsi"/>
        </w:rPr>
        <w:t xml:space="preserve">” (în continuare – Regulamentul aprobat prin </w:t>
      </w:r>
      <w:r w:rsidRPr="00D378CC">
        <w:rPr>
          <w:rFonts w:asciiTheme="majorHAnsi" w:hAnsiTheme="majorHAnsi" w:cstheme="majorHAnsi"/>
        </w:rPr>
        <w:t>HG nr.</w:t>
      </w:r>
      <w:r w:rsidRPr="001B3B87">
        <w:rPr>
          <w:rFonts w:asciiTheme="majorHAnsi" w:hAnsiTheme="majorHAnsi" w:cstheme="majorHAnsi"/>
        </w:rPr>
        <w:t>726 din 16.09.2013</w:t>
      </w:r>
      <w:r>
        <w:rPr>
          <w:rFonts w:asciiTheme="majorHAnsi" w:hAnsiTheme="majorHAnsi" w:cstheme="majorHAnsi"/>
        </w:rPr>
        <w:t>)</w:t>
      </w:r>
      <w:r w:rsidRPr="00BC3BAB">
        <w:rPr>
          <w:rFonts w:asciiTheme="majorHAnsi" w:hAnsiTheme="majorHAnsi" w:cstheme="majorHAnsi"/>
        </w:rPr>
        <w:t>.</w:t>
      </w:r>
    </w:p>
  </w:footnote>
  <w:footnote w:id="7">
    <w:p w:rsidR="0065324C" w:rsidRPr="00D378CC" w:rsidRDefault="0065324C" w:rsidP="00974C87">
      <w:pPr>
        <w:pStyle w:val="a5"/>
        <w:rPr>
          <w:rFonts w:asciiTheme="majorHAnsi" w:hAnsiTheme="majorHAnsi" w:cstheme="majorHAnsi"/>
        </w:rPr>
      </w:pPr>
      <w:r w:rsidRPr="00D378CC">
        <w:rPr>
          <w:rStyle w:val="ab"/>
          <w:rFonts w:asciiTheme="majorHAnsi" w:hAnsiTheme="majorHAnsi" w:cstheme="majorHAnsi"/>
        </w:rPr>
        <w:footnoteRef/>
      </w:r>
      <w:r w:rsidRPr="00D378CC">
        <w:rPr>
          <w:rFonts w:asciiTheme="majorHAnsi" w:hAnsiTheme="majorHAnsi" w:cstheme="majorHAnsi"/>
        </w:rPr>
        <w:t xml:space="preserve"> Legea viei și vinului nr.57-XVI din 10</w:t>
      </w:r>
      <w:r>
        <w:rPr>
          <w:rFonts w:asciiTheme="majorHAnsi" w:hAnsiTheme="majorHAnsi" w:cstheme="majorHAnsi"/>
        </w:rPr>
        <w:t>.03.</w:t>
      </w:r>
      <w:r w:rsidRPr="00D378CC">
        <w:rPr>
          <w:rFonts w:asciiTheme="majorHAnsi" w:hAnsiTheme="majorHAnsi" w:cstheme="majorHAnsi"/>
        </w:rPr>
        <w:t>2006.</w:t>
      </w:r>
    </w:p>
  </w:footnote>
  <w:footnote w:id="8">
    <w:p w:rsidR="0065324C" w:rsidRPr="00BC3BAB" w:rsidRDefault="0065324C" w:rsidP="00974C87">
      <w:pPr>
        <w:pStyle w:val="a5"/>
        <w:rPr>
          <w:rFonts w:asciiTheme="majorHAnsi" w:hAnsiTheme="majorHAnsi" w:cstheme="majorHAnsi"/>
        </w:rPr>
      </w:pPr>
      <w:r w:rsidRPr="00D378CC">
        <w:rPr>
          <w:rStyle w:val="ab"/>
          <w:rFonts w:asciiTheme="majorHAnsi" w:hAnsiTheme="majorHAnsi" w:cstheme="majorHAnsi"/>
        </w:rPr>
        <w:footnoteRef/>
      </w:r>
      <w:r w:rsidRPr="00D378CC">
        <w:rPr>
          <w:rFonts w:asciiTheme="majorHAnsi" w:hAnsiTheme="majorHAnsi" w:cstheme="majorHAnsi"/>
        </w:rPr>
        <w:t xml:space="preserve"> HG nr.</w:t>
      </w:r>
      <w:r w:rsidRPr="00BC3BAB">
        <w:rPr>
          <w:rFonts w:asciiTheme="majorHAnsi" w:hAnsiTheme="majorHAnsi" w:cstheme="majorHAnsi"/>
        </w:rPr>
        <w:t>726 din 16.09.2013.</w:t>
      </w:r>
    </w:p>
  </w:footnote>
  <w:footnote w:id="9">
    <w:p w:rsidR="0065324C" w:rsidRPr="00BC3BAB" w:rsidRDefault="0065324C" w:rsidP="00974C87">
      <w:pPr>
        <w:pStyle w:val="a5"/>
        <w:rPr>
          <w:rFonts w:asciiTheme="majorHAnsi" w:hAnsiTheme="majorHAnsi" w:cstheme="majorHAnsi"/>
        </w:rPr>
      </w:pPr>
      <w:r w:rsidRPr="00BC3BAB">
        <w:rPr>
          <w:rStyle w:val="ab"/>
          <w:rFonts w:asciiTheme="majorHAnsi" w:hAnsiTheme="majorHAnsi" w:cstheme="majorHAnsi"/>
        </w:rPr>
        <w:footnoteRef/>
      </w:r>
      <w:r w:rsidRPr="00BC3BAB">
        <w:rPr>
          <w:rFonts w:asciiTheme="majorHAnsi" w:hAnsiTheme="majorHAnsi" w:cstheme="majorHAnsi"/>
        </w:rPr>
        <w:t xml:space="preserve"> Art.32</w:t>
      </w:r>
      <w:r w:rsidRPr="00BC3BAB">
        <w:rPr>
          <w:rFonts w:asciiTheme="majorHAnsi" w:hAnsiTheme="majorHAnsi" w:cstheme="majorHAnsi"/>
          <w:vertAlign w:val="superscript"/>
        </w:rPr>
        <w:t>3</w:t>
      </w:r>
      <w:r w:rsidRPr="00BC3BAB">
        <w:rPr>
          <w:rFonts w:asciiTheme="majorHAnsi" w:hAnsiTheme="majorHAnsi" w:cstheme="majorHAnsi"/>
        </w:rPr>
        <w:t xml:space="preserve"> alin.(10) din Legea viei și vinului.</w:t>
      </w:r>
    </w:p>
  </w:footnote>
  <w:footnote w:id="10">
    <w:p w:rsidR="0065324C" w:rsidRPr="00BC3BAB" w:rsidRDefault="0065324C" w:rsidP="00974C87">
      <w:pPr>
        <w:pStyle w:val="11"/>
        <w:rPr>
          <w:rFonts w:asciiTheme="majorHAnsi" w:hAnsiTheme="majorHAnsi" w:cstheme="majorHAnsi"/>
          <w:sz w:val="20"/>
          <w:szCs w:val="20"/>
          <w:lang w:val="ro-RO"/>
        </w:rPr>
      </w:pPr>
      <w:r w:rsidRPr="00BC3BAB">
        <w:rPr>
          <w:rStyle w:val="ab"/>
          <w:rFonts w:asciiTheme="majorHAnsi" w:hAnsiTheme="majorHAnsi" w:cstheme="majorHAnsi"/>
          <w:sz w:val="20"/>
          <w:szCs w:val="20"/>
          <w:lang w:val="ro-RO"/>
        </w:rPr>
        <w:footnoteRef/>
      </w:r>
      <w:r w:rsidRPr="00BC3BAB">
        <w:rPr>
          <w:sz w:val="20"/>
          <w:szCs w:val="20"/>
          <w:lang w:val="ro-RO"/>
        </w:rPr>
        <w:t xml:space="preserve"> </w:t>
      </w:r>
      <w:r w:rsidRPr="00BC3BAB">
        <w:rPr>
          <w:rFonts w:asciiTheme="majorHAnsi" w:hAnsiTheme="majorHAnsi" w:cstheme="majorHAnsi"/>
          <w:sz w:val="20"/>
          <w:szCs w:val="20"/>
          <w:lang w:val="ro-RO"/>
        </w:rPr>
        <w:t>Legea privind organizarea și funcționarea Curții de Conturi a Republicii Moldova nr.260 din 07.12.2017.</w:t>
      </w:r>
    </w:p>
  </w:footnote>
  <w:footnote w:id="11">
    <w:p w:rsidR="0065324C" w:rsidRPr="00BC3BAB" w:rsidRDefault="0065324C" w:rsidP="00974C87">
      <w:pPr>
        <w:pStyle w:val="11"/>
        <w:rPr>
          <w:rFonts w:asciiTheme="majorHAnsi" w:hAnsiTheme="majorHAnsi" w:cstheme="majorHAnsi"/>
          <w:lang w:val="ro-RO"/>
        </w:rPr>
      </w:pPr>
      <w:r w:rsidRPr="00BC3BAB">
        <w:rPr>
          <w:rStyle w:val="ab"/>
          <w:rFonts w:asciiTheme="majorHAnsi" w:hAnsiTheme="majorHAnsi" w:cstheme="majorHAnsi"/>
          <w:sz w:val="20"/>
          <w:szCs w:val="20"/>
          <w:lang w:val="ro-RO"/>
        </w:rPr>
        <w:footnoteRef/>
      </w:r>
      <w:r w:rsidRPr="00BC3BAB">
        <w:rPr>
          <w:rFonts w:asciiTheme="majorHAnsi" w:hAnsiTheme="majorHAnsi" w:cstheme="majorHAnsi"/>
          <w:sz w:val="20"/>
          <w:szCs w:val="20"/>
          <w:lang w:val="ro-RO"/>
        </w:rPr>
        <w:t xml:space="preserve"> Programul activității de audit a Curții de Conturi pe anul 2019, aprobat prin Hotărârea Curții de Conturi nr.100 din 21.12.2018.</w:t>
      </w:r>
    </w:p>
  </w:footnote>
  <w:footnote w:id="12">
    <w:p w:rsidR="0065324C" w:rsidRPr="005A491E" w:rsidRDefault="0065324C" w:rsidP="00974C87">
      <w:pPr>
        <w:spacing w:after="0" w:line="240" w:lineRule="auto"/>
        <w:jc w:val="both"/>
        <w:rPr>
          <w:rFonts w:ascii="Times New Roman" w:eastAsia="Times New Roman" w:hAnsi="Times New Roman" w:cs="Times New Roman"/>
          <w:sz w:val="20"/>
          <w:szCs w:val="20"/>
          <w:lang w:val="ro-MD"/>
        </w:rPr>
      </w:pPr>
      <w:r w:rsidRPr="005A491E">
        <w:rPr>
          <w:rStyle w:val="ab"/>
          <w:rFonts w:asciiTheme="majorHAnsi" w:hAnsiTheme="majorHAnsi" w:cstheme="majorHAnsi"/>
          <w:sz w:val="20"/>
          <w:szCs w:val="20"/>
          <w:lang w:val="ro-MD"/>
        </w:rPr>
        <w:footnoteRef/>
      </w:r>
      <w:r w:rsidRPr="005A491E">
        <w:rPr>
          <w:rFonts w:asciiTheme="majorHAnsi" w:hAnsiTheme="majorHAnsi" w:cstheme="majorHAnsi"/>
          <w:sz w:val="20"/>
          <w:szCs w:val="20"/>
          <w:lang w:val="ro-MD"/>
        </w:rPr>
        <w:t xml:space="preserve"> </w:t>
      </w:r>
      <w:r w:rsidRPr="005A491E">
        <w:rPr>
          <w:rFonts w:asciiTheme="majorHAnsi" w:eastAsia="Times New Roman" w:hAnsiTheme="majorHAnsi" w:cstheme="majorHAnsi"/>
          <w:sz w:val="20"/>
          <w:szCs w:val="20"/>
          <w:lang w:val="ro-MD"/>
        </w:rPr>
        <w:t xml:space="preserve">Hotărârea Curţii de Conturi nr.60 din 11.12.2013 „Cu privire la aplicarea Standardelor Internaționale de Audit ale Instituţiilor Supreme de Audit de nivelul 3 – ISSAI 100, ISSAI 200, ISSAI 300, ISSAI 400, în cadrul misiunilor de audit ale Curţii de Conturi” </w:t>
      </w:r>
      <w:r w:rsidRPr="005A491E">
        <w:rPr>
          <w:rFonts w:asciiTheme="majorHAnsi" w:eastAsia="Times New Roman" w:hAnsiTheme="majorHAnsi" w:cstheme="majorHAnsi"/>
          <w:sz w:val="20"/>
          <w:szCs w:val="20"/>
          <w:lang w:val="ro-MD" w:eastAsia="ro-RO"/>
        </w:rPr>
        <w:t>şi Hotărârea Curţii de Conturi nr.7 din 10.03.2014 „Cu privire la aplicarea Liniilor Directoare de Audit (ISSAI 1000-9999) în cadrul auditului public”.</w:t>
      </w:r>
    </w:p>
  </w:footnote>
  <w:footnote w:id="13">
    <w:p w:rsidR="0065324C" w:rsidRPr="00243401" w:rsidRDefault="0065324C" w:rsidP="002B0C1F">
      <w:pPr>
        <w:pStyle w:val="a5"/>
        <w:rPr>
          <w:rFonts w:asciiTheme="majorHAnsi" w:hAnsiTheme="majorHAnsi" w:cstheme="majorHAnsi"/>
        </w:rPr>
      </w:pPr>
      <w:r w:rsidRPr="00243401">
        <w:rPr>
          <w:rStyle w:val="ab"/>
          <w:rFonts w:asciiTheme="majorHAnsi" w:hAnsiTheme="majorHAnsi" w:cstheme="majorHAnsi"/>
        </w:rPr>
        <w:footnoteRef/>
      </w:r>
      <w:r w:rsidRPr="00243401">
        <w:rPr>
          <w:rFonts w:asciiTheme="majorHAnsi" w:hAnsiTheme="majorHAnsi" w:cstheme="majorHAnsi"/>
        </w:rPr>
        <w:t xml:space="preserve"> </w:t>
      </w:r>
      <w:r>
        <w:rPr>
          <w:rFonts w:asciiTheme="majorHAnsi" w:hAnsiTheme="majorHAnsi" w:cstheme="majorHAnsi"/>
        </w:rPr>
        <w:t>În totalul alocațiilor de la bu</w:t>
      </w:r>
      <w:r w:rsidRPr="00243401">
        <w:rPr>
          <w:rFonts w:asciiTheme="majorHAnsi" w:hAnsiTheme="majorHAnsi" w:cstheme="majorHAnsi"/>
        </w:rPr>
        <w:t>g</w:t>
      </w:r>
      <w:r>
        <w:rPr>
          <w:rFonts w:asciiTheme="majorHAnsi" w:hAnsiTheme="majorHAnsi" w:cstheme="majorHAnsi"/>
        </w:rPr>
        <w:t>e</w:t>
      </w:r>
      <w:r w:rsidRPr="00243401">
        <w:rPr>
          <w:rFonts w:asciiTheme="majorHAnsi" w:hAnsiTheme="majorHAnsi" w:cstheme="majorHAnsi"/>
        </w:rPr>
        <w:t xml:space="preserve">tul de stat a fost inclus soldul mijloacelor bănești format la finele anului 2015 (13,3 </w:t>
      </w:r>
      <w:proofErr w:type="spellStart"/>
      <w:r w:rsidRPr="00243401">
        <w:rPr>
          <w:rFonts w:asciiTheme="majorHAnsi" w:hAnsiTheme="majorHAnsi" w:cstheme="majorHAnsi"/>
        </w:rPr>
        <w:t>mil.</w:t>
      </w:r>
      <w:r>
        <w:rPr>
          <w:rFonts w:asciiTheme="majorHAnsi" w:hAnsiTheme="majorHAnsi" w:cstheme="majorHAnsi"/>
        </w:rPr>
        <w:t>MDL</w:t>
      </w:r>
      <w:proofErr w:type="spellEnd"/>
      <w:r w:rsidRPr="00243401">
        <w:rPr>
          <w:rFonts w:asciiTheme="majorHAnsi" w:hAnsiTheme="majorHAnsi" w:cstheme="majorHAnsi"/>
        </w:rPr>
        <w:t>), care conform regulilor bugetare a fost închis prin transfer la bugetul de stat (regula mijloacelor colectate de instituțiile publice, în vigoare din 2016)</w:t>
      </w:r>
      <w:r>
        <w:rPr>
          <w:rFonts w:asciiTheme="majorHAnsi" w:hAnsiTheme="majorHAnsi" w:cstheme="majorHAnsi"/>
        </w:rPr>
        <w:t>.</w:t>
      </w:r>
    </w:p>
  </w:footnote>
  <w:footnote w:id="14">
    <w:p w:rsidR="0065324C" w:rsidRPr="00243401" w:rsidRDefault="0065324C" w:rsidP="002B0C1F">
      <w:pPr>
        <w:pStyle w:val="a5"/>
        <w:rPr>
          <w:rFonts w:asciiTheme="majorHAnsi" w:hAnsiTheme="majorHAnsi" w:cstheme="majorHAnsi"/>
        </w:rPr>
      </w:pPr>
      <w:r w:rsidRPr="00243401">
        <w:rPr>
          <w:rStyle w:val="ab"/>
          <w:rFonts w:asciiTheme="majorHAnsi" w:hAnsiTheme="majorHAnsi" w:cstheme="majorHAnsi"/>
        </w:rPr>
        <w:footnoteRef/>
      </w:r>
      <w:r w:rsidRPr="00243401">
        <w:rPr>
          <w:rFonts w:asciiTheme="majorHAnsi" w:hAnsiTheme="majorHAnsi" w:cstheme="majorHAnsi"/>
        </w:rPr>
        <w:t xml:space="preserve"> Calculul: </w:t>
      </w:r>
      <w:r>
        <w:rPr>
          <w:rFonts w:asciiTheme="majorHAnsi" w:hAnsiTheme="majorHAnsi" w:cstheme="majorHAnsi"/>
        </w:rPr>
        <w:t>a</w:t>
      </w:r>
      <w:r w:rsidRPr="00243401">
        <w:rPr>
          <w:rFonts w:asciiTheme="majorHAnsi" w:hAnsiTheme="majorHAnsi" w:cstheme="majorHAnsi"/>
        </w:rPr>
        <w:t xml:space="preserve">nul 2017 (32,6 </w:t>
      </w:r>
      <w:proofErr w:type="spellStart"/>
      <w:r w:rsidRPr="00243401">
        <w:rPr>
          <w:rFonts w:asciiTheme="majorHAnsi" w:hAnsiTheme="majorHAnsi" w:cstheme="majorHAnsi"/>
        </w:rPr>
        <w:t>mil.</w:t>
      </w:r>
      <w:r>
        <w:rPr>
          <w:rFonts w:asciiTheme="majorHAnsi" w:hAnsiTheme="majorHAnsi" w:cstheme="majorHAnsi"/>
        </w:rPr>
        <w:t>MDL</w:t>
      </w:r>
      <w:proofErr w:type="spellEnd"/>
      <w:r w:rsidRPr="00243401">
        <w:rPr>
          <w:rFonts w:asciiTheme="majorHAnsi" w:hAnsiTheme="majorHAnsi" w:cstheme="majorHAnsi"/>
        </w:rPr>
        <w:t xml:space="preserve"> finanțat – 20,9 mil.</w:t>
      </w:r>
      <w:r w:rsidRPr="007628E2">
        <w:rPr>
          <w:rFonts w:asciiTheme="majorHAnsi" w:hAnsiTheme="majorHAnsi" w:cstheme="majorHAnsi"/>
        </w:rPr>
        <w:t xml:space="preserve"> </w:t>
      </w:r>
      <w:r>
        <w:rPr>
          <w:rFonts w:asciiTheme="majorHAnsi" w:hAnsiTheme="majorHAnsi" w:cstheme="majorHAnsi"/>
        </w:rPr>
        <w:t>MDL</w:t>
      </w:r>
      <w:r w:rsidRPr="00243401">
        <w:rPr>
          <w:rFonts w:asciiTheme="majorHAnsi" w:hAnsiTheme="majorHAnsi" w:cstheme="majorHAnsi"/>
        </w:rPr>
        <w:t xml:space="preserve"> plan contribuții = 11,7 mil.</w:t>
      </w:r>
      <w:r w:rsidRPr="007628E2">
        <w:rPr>
          <w:rFonts w:asciiTheme="majorHAnsi" w:hAnsiTheme="majorHAnsi" w:cstheme="majorHAnsi"/>
        </w:rPr>
        <w:t xml:space="preserve"> </w:t>
      </w:r>
      <w:r>
        <w:rPr>
          <w:rFonts w:asciiTheme="majorHAnsi" w:hAnsiTheme="majorHAnsi" w:cstheme="majorHAnsi"/>
        </w:rPr>
        <w:t>MDL</w:t>
      </w:r>
      <w:r w:rsidRPr="00243401">
        <w:rPr>
          <w:rFonts w:asciiTheme="majorHAnsi" w:hAnsiTheme="majorHAnsi" w:cstheme="majorHAnsi"/>
        </w:rPr>
        <w:t>) +</w:t>
      </w:r>
      <w:r>
        <w:rPr>
          <w:rFonts w:asciiTheme="majorHAnsi" w:hAnsiTheme="majorHAnsi" w:cstheme="majorHAnsi"/>
        </w:rPr>
        <w:t xml:space="preserve"> </w:t>
      </w:r>
      <w:r w:rsidRPr="00243401">
        <w:rPr>
          <w:rFonts w:asciiTheme="majorHAnsi" w:hAnsiTheme="majorHAnsi" w:cstheme="majorHAnsi"/>
        </w:rPr>
        <w:t>anul 2018 (21,7 mil.</w:t>
      </w:r>
      <w:r w:rsidRPr="007628E2">
        <w:rPr>
          <w:rFonts w:asciiTheme="majorHAnsi" w:hAnsiTheme="majorHAnsi" w:cstheme="majorHAnsi"/>
        </w:rPr>
        <w:t xml:space="preserve"> </w:t>
      </w:r>
      <w:r>
        <w:rPr>
          <w:rFonts w:asciiTheme="majorHAnsi" w:hAnsiTheme="majorHAnsi" w:cstheme="majorHAnsi"/>
        </w:rPr>
        <w:t>MDL</w:t>
      </w:r>
      <w:r w:rsidRPr="00243401">
        <w:rPr>
          <w:rFonts w:asciiTheme="majorHAnsi" w:hAnsiTheme="majorHAnsi" w:cstheme="majorHAnsi"/>
        </w:rPr>
        <w:t xml:space="preserve"> finanțat – 17,0 mil.</w:t>
      </w:r>
      <w:r w:rsidRPr="007628E2">
        <w:rPr>
          <w:rFonts w:asciiTheme="majorHAnsi" w:hAnsiTheme="majorHAnsi" w:cstheme="majorHAnsi"/>
        </w:rPr>
        <w:t xml:space="preserve"> </w:t>
      </w:r>
      <w:r>
        <w:rPr>
          <w:rFonts w:asciiTheme="majorHAnsi" w:hAnsiTheme="majorHAnsi" w:cstheme="majorHAnsi"/>
        </w:rPr>
        <w:t>MDL</w:t>
      </w:r>
      <w:r w:rsidRPr="00243401">
        <w:rPr>
          <w:rFonts w:asciiTheme="majorHAnsi" w:hAnsiTheme="majorHAnsi" w:cstheme="majorHAnsi"/>
        </w:rPr>
        <w:t xml:space="preserve"> plan contribuții = 4,6 mil.</w:t>
      </w:r>
      <w:r w:rsidRPr="007628E2">
        <w:rPr>
          <w:rFonts w:asciiTheme="majorHAnsi" w:hAnsiTheme="majorHAnsi" w:cstheme="majorHAnsi"/>
        </w:rPr>
        <w:t xml:space="preserve"> </w:t>
      </w:r>
      <w:r>
        <w:rPr>
          <w:rFonts w:asciiTheme="majorHAnsi" w:hAnsiTheme="majorHAnsi" w:cstheme="majorHAnsi"/>
        </w:rPr>
        <w:t>MDL</w:t>
      </w:r>
      <w:r w:rsidRPr="00243401">
        <w:rPr>
          <w:rFonts w:asciiTheme="majorHAnsi" w:hAnsiTheme="majorHAnsi" w:cstheme="majorHAnsi"/>
        </w:rPr>
        <w:t>) = 16,4 mil.</w:t>
      </w:r>
      <w:r w:rsidRPr="007628E2">
        <w:rPr>
          <w:rFonts w:asciiTheme="majorHAnsi" w:hAnsiTheme="majorHAnsi" w:cstheme="majorHAnsi"/>
        </w:rPr>
        <w:t xml:space="preserve"> </w:t>
      </w:r>
      <w:r>
        <w:rPr>
          <w:rFonts w:asciiTheme="majorHAnsi" w:hAnsiTheme="majorHAnsi" w:cstheme="majorHAnsi"/>
        </w:rPr>
        <w:t>MDL</w:t>
      </w:r>
      <w:r w:rsidRPr="00243401">
        <w:rPr>
          <w:rFonts w:asciiTheme="majorHAnsi" w:hAnsiTheme="majorHAnsi" w:cstheme="majorHAnsi"/>
        </w:rPr>
        <w:t xml:space="preserve">. </w:t>
      </w:r>
    </w:p>
  </w:footnote>
  <w:footnote w:id="15">
    <w:p w:rsidR="0065324C" w:rsidRPr="00243401" w:rsidRDefault="0065324C" w:rsidP="002B0C1F">
      <w:pPr>
        <w:pStyle w:val="a5"/>
        <w:rPr>
          <w:rFonts w:asciiTheme="majorHAnsi" w:hAnsiTheme="majorHAnsi" w:cstheme="majorHAnsi"/>
        </w:rPr>
      </w:pPr>
      <w:r w:rsidRPr="00243401">
        <w:rPr>
          <w:rStyle w:val="ab"/>
          <w:rFonts w:asciiTheme="majorHAnsi" w:hAnsiTheme="majorHAnsi" w:cstheme="majorHAnsi"/>
        </w:rPr>
        <w:footnoteRef/>
      </w:r>
      <w:r w:rsidRPr="00243401">
        <w:rPr>
          <w:rFonts w:asciiTheme="majorHAnsi" w:hAnsiTheme="majorHAnsi" w:cstheme="majorHAnsi"/>
        </w:rPr>
        <w:t xml:space="preserve"> P</w:t>
      </w:r>
      <w:r>
        <w:rPr>
          <w:rFonts w:asciiTheme="majorHAnsi" w:hAnsiTheme="majorHAnsi" w:cstheme="majorHAnsi"/>
        </w:rPr>
        <w:t xml:space="preserve">roces-verbal </w:t>
      </w:r>
      <w:r w:rsidRPr="00243401">
        <w:rPr>
          <w:rFonts w:asciiTheme="majorHAnsi" w:hAnsiTheme="majorHAnsi" w:cstheme="majorHAnsi"/>
        </w:rPr>
        <w:t>n</w:t>
      </w:r>
      <w:r>
        <w:rPr>
          <w:rFonts w:asciiTheme="majorHAnsi" w:hAnsiTheme="majorHAnsi" w:cstheme="majorHAnsi"/>
        </w:rPr>
        <w:t>r</w:t>
      </w:r>
      <w:r w:rsidRPr="00243401">
        <w:rPr>
          <w:rFonts w:asciiTheme="majorHAnsi" w:hAnsiTheme="majorHAnsi" w:cstheme="majorHAnsi"/>
        </w:rPr>
        <w:t>.01 din 29.01.2018</w:t>
      </w:r>
      <w:r>
        <w:rPr>
          <w:rFonts w:asciiTheme="majorHAnsi" w:hAnsiTheme="majorHAnsi" w:cstheme="majorHAnsi"/>
        </w:rPr>
        <w:t xml:space="preserve"> al CC</w:t>
      </w:r>
      <w:r w:rsidRPr="00243401">
        <w:rPr>
          <w:rFonts w:asciiTheme="majorHAnsi" w:hAnsiTheme="majorHAnsi" w:cstheme="majorHAnsi"/>
        </w:rPr>
        <w:t>.</w:t>
      </w:r>
    </w:p>
  </w:footnote>
  <w:footnote w:id="16">
    <w:p w:rsidR="0065324C" w:rsidRPr="00AA542F" w:rsidRDefault="0065324C" w:rsidP="002B0C1F">
      <w:pPr>
        <w:pStyle w:val="a5"/>
        <w:rPr>
          <w:rFonts w:asciiTheme="majorHAnsi" w:hAnsiTheme="majorHAnsi" w:cstheme="majorHAnsi"/>
        </w:rPr>
      </w:pPr>
      <w:r w:rsidRPr="00AA542F">
        <w:rPr>
          <w:rStyle w:val="ab"/>
          <w:rFonts w:asciiTheme="majorHAnsi" w:hAnsiTheme="majorHAnsi" w:cstheme="majorHAnsi"/>
        </w:rPr>
        <w:footnoteRef/>
      </w:r>
      <w:r w:rsidRPr="00AA542F">
        <w:rPr>
          <w:rFonts w:asciiTheme="majorHAnsi" w:hAnsiTheme="majorHAnsi" w:cstheme="majorHAnsi"/>
        </w:rPr>
        <w:t xml:space="preserve"> Aprobat de MF (25,9 mil.</w:t>
      </w:r>
      <w:r w:rsidRPr="007628E2">
        <w:rPr>
          <w:rFonts w:asciiTheme="majorHAnsi" w:hAnsiTheme="majorHAnsi" w:cstheme="majorHAnsi"/>
        </w:rPr>
        <w:t xml:space="preserve"> </w:t>
      </w:r>
      <w:r>
        <w:rPr>
          <w:rFonts w:asciiTheme="majorHAnsi" w:hAnsiTheme="majorHAnsi" w:cstheme="majorHAnsi"/>
        </w:rPr>
        <w:t>MDL</w:t>
      </w:r>
      <w:r w:rsidRPr="00AA542F">
        <w:rPr>
          <w:rFonts w:asciiTheme="majorHAnsi" w:hAnsiTheme="majorHAnsi" w:cstheme="majorHAnsi"/>
        </w:rPr>
        <w:t>) – aprobat de CC (20,0) =</w:t>
      </w:r>
      <w:r>
        <w:rPr>
          <w:rFonts w:asciiTheme="majorHAnsi" w:hAnsiTheme="majorHAnsi" w:cstheme="majorHAnsi"/>
        </w:rPr>
        <w:t xml:space="preserve"> </w:t>
      </w:r>
      <w:r w:rsidRPr="00AA542F">
        <w:rPr>
          <w:rFonts w:asciiTheme="majorHAnsi" w:hAnsiTheme="majorHAnsi" w:cstheme="majorHAnsi"/>
        </w:rPr>
        <w:t>(-5,9 mil.</w:t>
      </w:r>
      <w:r w:rsidRPr="007628E2">
        <w:rPr>
          <w:rFonts w:asciiTheme="majorHAnsi" w:hAnsiTheme="majorHAnsi" w:cstheme="majorHAnsi"/>
        </w:rPr>
        <w:t xml:space="preserve"> </w:t>
      </w:r>
      <w:r>
        <w:rPr>
          <w:rFonts w:asciiTheme="majorHAnsi" w:hAnsiTheme="majorHAnsi" w:cstheme="majorHAnsi"/>
        </w:rPr>
        <w:t>MDL</w:t>
      </w:r>
      <w:r w:rsidRPr="00AA542F">
        <w:rPr>
          <w:rFonts w:asciiTheme="majorHAnsi" w:hAnsiTheme="majorHAnsi" w:cstheme="majorHAnsi"/>
        </w:rPr>
        <w:t>)</w:t>
      </w:r>
      <w:r>
        <w:rPr>
          <w:rFonts w:asciiTheme="majorHAnsi" w:hAnsiTheme="majorHAnsi" w:cstheme="majorHAnsi"/>
        </w:rPr>
        <w:t>.</w:t>
      </w:r>
      <w:r w:rsidRPr="00AA542F">
        <w:rPr>
          <w:rFonts w:asciiTheme="majorHAnsi" w:hAnsiTheme="majorHAnsi" w:cstheme="majorHAnsi"/>
        </w:rPr>
        <w:t xml:space="preserve"> </w:t>
      </w:r>
    </w:p>
  </w:footnote>
  <w:footnote w:id="17">
    <w:p w:rsidR="0065324C" w:rsidRPr="00AA542F" w:rsidRDefault="0065324C" w:rsidP="002B0C1F">
      <w:pPr>
        <w:pStyle w:val="a5"/>
        <w:rPr>
          <w:rFonts w:asciiTheme="majorHAnsi" w:hAnsiTheme="majorHAnsi" w:cstheme="majorHAnsi"/>
        </w:rPr>
      </w:pPr>
      <w:r w:rsidRPr="00AA542F">
        <w:rPr>
          <w:rStyle w:val="ab"/>
          <w:rFonts w:asciiTheme="majorHAnsi" w:hAnsiTheme="majorHAnsi" w:cstheme="majorHAnsi"/>
        </w:rPr>
        <w:footnoteRef/>
      </w:r>
      <w:r w:rsidRPr="00AA542F">
        <w:rPr>
          <w:rFonts w:asciiTheme="majorHAnsi" w:hAnsiTheme="majorHAnsi" w:cstheme="majorHAnsi"/>
        </w:rPr>
        <w:t xml:space="preserve"> Aprobat de MF (22,0 mil.</w:t>
      </w:r>
      <w:r w:rsidRPr="007628E2">
        <w:rPr>
          <w:rFonts w:asciiTheme="majorHAnsi" w:hAnsiTheme="majorHAnsi" w:cstheme="majorHAnsi"/>
        </w:rPr>
        <w:t xml:space="preserve"> </w:t>
      </w:r>
      <w:r>
        <w:rPr>
          <w:rFonts w:asciiTheme="majorHAnsi" w:hAnsiTheme="majorHAnsi" w:cstheme="majorHAnsi"/>
        </w:rPr>
        <w:t>MDL</w:t>
      </w:r>
      <w:r w:rsidRPr="00AA542F">
        <w:rPr>
          <w:rFonts w:asciiTheme="majorHAnsi" w:hAnsiTheme="majorHAnsi" w:cstheme="majorHAnsi"/>
        </w:rPr>
        <w:t>) – aprobat de CC (15,0) =</w:t>
      </w:r>
      <w:r>
        <w:rPr>
          <w:rFonts w:asciiTheme="majorHAnsi" w:hAnsiTheme="majorHAnsi" w:cstheme="majorHAnsi"/>
        </w:rPr>
        <w:t xml:space="preserve"> </w:t>
      </w:r>
      <w:r w:rsidRPr="00AA542F">
        <w:rPr>
          <w:rFonts w:asciiTheme="majorHAnsi" w:hAnsiTheme="majorHAnsi" w:cstheme="majorHAnsi"/>
        </w:rPr>
        <w:t>(-7,0 mil.</w:t>
      </w:r>
      <w:r w:rsidRPr="007628E2">
        <w:rPr>
          <w:rFonts w:asciiTheme="majorHAnsi" w:hAnsiTheme="majorHAnsi" w:cstheme="majorHAnsi"/>
        </w:rPr>
        <w:t xml:space="preserve"> </w:t>
      </w:r>
      <w:r>
        <w:rPr>
          <w:rFonts w:asciiTheme="majorHAnsi" w:hAnsiTheme="majorHAnsi" w:cstheme="majorHAnsi"/>
        </w:rPr>
        <w:t>MDL</w:t>
      </w:r>
      <w:r w:rsidRPr="00AA542F">
        <w:rPr>
          <w:rFonts w:asciiTheme="majorHAnsi" w:hAnsiTheme="majorHAnsi" w:cstheme="majorHAnsi"/>
        </w:rPr>
        <w:t>)</w:t>
      </w:r>
      <w:r>
        <w:rPr>
          <w:rFonts w:asciiTheme="majorHAnsi" w:hAnsiTheme="majorHAnsi" w:cstheme="majorHAnsi"/>
        </w:rPr>
        <w:t>.</w:t>
      </w:r>
    </w:p>
  </w:footnote>
  <w:footnote w:id="18">
    <w:p w:rsidR="0065324C" w:rsidRPr="00AA542F" w:rsidRDefault="0065324C" w:rsidP="002B0C1F">
      <w:pPr>
        <w:pStyle w:val="a5"/>
        <w:rPr>
          <w:rFonts w:asciiTheme="majorHAnsi" w:hAnsiTheme="majorHAnsi" w:cstheme="majorHAnsi"/>
        </w:rPr>
      </w:pPr>
      <w:r w:rsidRPr="00AA542F">
        <w:rPr>
          <w:rStyle w:val="ab"/>
          <w:rFonts w:asciiTheme="majorHAnsi" w:hAnsiTheme="majorHAnsi" w:cstheme="majorHAnsi"/>
        </w:rPr>
        <w:footnoteRef/>
      </w:r>
      <w:r w:rsidRPr="00AA542F">
        <w:rPr>
          <w:rFonts w:asciiTheme="majorHAnsi" w:hAnsiTheme="majorHAnsi" w:cstheme="majorHAnsi"/>
        </w:rPr>
        <w:t xml:space="preserve"> Aprobat de MF (32,7 mil.</w:t>
      </w:r>
      <w:r w:rsidRPr="007628E2">
        <w:rPr>
          <w:rFonts w:asciiTheme="majorHAnsi" w:hAnsiTheme="majorHAnsi" w:cstheme="majorHAnsi"/>
        </w:rPr>
        <w:t xml:space="preserve"> </w:t>
      </w:r>
      <w:r>
        <w:rPr>
          <w:rFonts w:asciiTheme="majorHAnsi" w:hAnsiTheme="majorHAnsi" w:cstheme="majorHAnsi"/>
        </w:rPr>
        <w:t>MDL</w:t>
      </w:r>
      <w:r w:rsidRPr="00AA542F">
        <w:rPr>
          <w:rFonts w:asciiTheme="majorHAnsi" w:hAnsiTheme="majorHAnsi" w:cstheme="majorHAnsi"/>
        </w:rPr>
        <w:t>) – aprobat de CC (29,3) =</w:t>
      </w:r>
      <w:r>
        <w:rPr>
          <w:rFonts w:asciiTheme="majorHAnsi" w:hAnsiTheme="majorHAnsi" w:cstheme="majorHAnsi"/>
        </w:rPr>
        <w:t xml:space="preserve"> </w:t>
      </w:r>
      <w:r w:rsidRPr="00AA542F">
        <w:rPr>
          <w:rFonts w:asciiTheme="majorHAnsi" w:hAnsiTheme="majorHAnsi" w:cstheme="majorHAnsi"/>
        </w:rPr>
        <w:t>(-3,4 mil.</w:t>
      </w:r>
      <w:r w:rsidRPr="007628E2">
        <w:rPr>
          <w:rFonts w:asciiTheme="majorHAnsi" w:hAnsiTheme="majorHAnsi" w:cstheme="majorHAnsi"/>
        </w:rPr>
        <w:t xml:space="preserve"> </w:t>
      </w:r>
      <w:r>
        <w:rPr>
          <w:rFonts w:asciiTheme="majorHAnsi" w:hAnsiTheme="majorHAnsi" w:cstheme="majorHAnsi"/>
        </w:rPr>
        <w:t>MDL</w:t>
      </w:r>
      <w:r w:rsidRPr="00AA542F">
        <w:rPr>
          <w:rFonts w:asciiTheme="majorHAnsi" w:hAnsiTheme="majorHAnsi" w:cstheme="majorHAnsi"/>
        </w:rPr>
        <w:t>).</w:t>
      </w:r>
    </w:p>
  </w:footnote>
  <w:footnote w:id="19">
    <w:p w:rsidR="0065324C" w:rsidRPr="00AA542F" w:rsidRDefault="0065324C" w:rsidP="002B0C1F">
      <w:pPr>
        <w:pStyle w:val="a5"/>
        <w:rPr>
          <w:rFonts w:asciiTheme="majorHAnsi" w:hAnsiTheme="majorHAnsi" w:cstheme="majorHAnsi"/>
        </w:rPr>
      </w:pPr>
      <w:r w:rsidRPr="00AA542F">
        <w:rPr>
          <w:rStyle w:val="ab"/>
          <w:rFonts w:asciiTheme="majorHAnsi" w:hAnsiTheme="majorHAnsi" w:cstheme="majorHAnsi"/>
        </w:rPr>
        <w:footnoteRef/>
      </w:r>
      <w:r w:rsidRPr="00AA542F">
        <w:rPr>
          <w:rFonts w:asciiTheme="majorHAnsi" w:hAnsiTheme="majorHAnsi" w:cstheme="majorHAnsi"/>
        </w:rPr>
        <w:t xml:space="preserve"> Pct.8 din Regulamentul Fondului Viei şi Vinului</w:t>
      </w:r>
      <w:r>
        <w:rPr>
          <w:rFonts w:asciiTheme="majorHAnsi" w:hAnsiTheme="majorHAnsi" w:cstheme="majorHAnsi"/>
        </w:rPr>
        <w:t>,</w:t>
      </w:r>
      <w:r w:rsidRPr="00AA542F">
        <w:rPr>
          <w:rFonts w:asciiTheme="majorHAnsi" w:hAnsiTheme="majorHAnsi" w:cstheme="majorHAnsi"/>
        </w:rPr>
        <w:t xml:space="preserve"> aprobat prin HG nr.726 din 16.09.2013.</w:t>
      </w:r>
    </w:p>
  </w:footnote>
  <w:footnote w:id="20">
    <w:p w:rsidR="0065324C" w:rsidRPr="00D76E88" w:rsidRDefault="0065324C" w:rsidP="002B0C1F">
      <w:pPr>
        <w:pStyle w:val="a5"/>
        <w:rPr>
          <w:rFonts w:asciiTheme="majorHAnsi" w:hAnsiTheme="majorHAnsi" w:cstheme="majorHAnsi"/>
          <w:lang w:val="ro-MD"/>
        </w:rPr>
      </w:pPr>
      <w:r w:rsidRPr="00D76E88">
        <w:rPr>
          <w:rStyle w:val="ab"/>
          <w:rFonts w:asciiTheme="majorHAnsi" w:hAnsiTheme="majorHAnsi" w:cstheme="majorHAnsi"/>
          <w:lang w:val="ro-MD"/>
        </w:rPr>
        <w:footnoteRef/>
      </w:r>
      <w:r w:rsidRPr="00D76E88">
        <w:rPr>
          <w:rFonts w:asciiTheme="majorHAnsi" w:hAnsiTheme="majorHAnsi" w:cstheme="majorHAnsi"/>
          <w:lang w:val="ro-MD"/>
        </w:rPr>
        <w:t xml:space="preserve"> Art.21 </w:t>
      </w:r>
      <w:r>
        <w:rPr>
          <w:rFonts w:asciiTheme="majorHAnsi" w:hAnsiTheme="majorHAnsi" w:cstheme="majorHAnsi"/>
          <w:lang w:val="ro-MD"/>
        </w:rPr>
        <w:t>alin.</w:t>
      </w:r>
      <w:r w:rsidRPr="00D76E88">
        <w:rPr>
          <w:rFonts w:asciiTheme="majorHAnsi" w:hAnsiTheme="majorHAnsi" w:cstheme="majorHAnsi"/>
          <w:lang w:val="ro-MD"/>
        </w:rPr>
        <w:t xml:space="preserve">(1) lit. g) din Legea </w:t>
      </w:r>
      <w:proofErr w:type="spellStart"/>
      <w:r w:rsidRPr="00D76E88">
        <w:rPr>
          <w:rFonts w:asciiTheme="majorHAnsi" w:hAnsiTheme="majorHAnsi" w:cstheme="majorHAnsi"/>
          <w:lang w:val="ro-MD" w:eastAsia="en-US"/>
        </w:rPr>
        <w:t>finanţelor</w:t>
      </w:r>
      <w:proofErr w:type="spellEnd"/>
      <w:r w:rsidRPr="00D76E88">
        <w:rPr>
          <w:rFonts w:asciiTheme="majorHAnsi" w:hAnsiTheme="majorHAnsi" w:cstheme="majorHAnsi"/>
          <w:lang w:val="ro-MD" w:eastAsia="en-US"/>
        </w:rPr>
        <w:t xml:space="preserve"> publice </w:t>
      </w:r>
      <w:proofErr w:type="spellStart"/>
      <w:r w:rsidRPr="00D76E88">
        <w:rPr>
          <w:rFonts w:asciiTheme="majorHAnsi" w:hAnsiTheme="majorHAnsi" w:cstheme="majorHAnsi"/>
          <w:lang w:val="ro-MD" w:eastAsia="en-US"/>
        </w:rPr>
        <w:t>şi</w:t>
      </w:r>
      <w:proofErr w:type="spellEnd"/>
      <w:r w:rsidRPr="00D76E88">
        <w:rPr>
          <w:rFonts w:asciiTheme="majorHAnsi" w:hAnsiTheme="majorHAnsi" w:cstheme="majorHAnsi"/>
          <w:lang w:val="ro-MD" w:eastAsia="en-US"/>
        </w:rPr>
        <w:t xml:space="preserve"> </w:t>
      </w:r>
      <w:proofErr w:type="spellStart"/>
      <w:r w:rsidRPr="00D76E88">
        <w:rPr>
          <w:rFonts w:asciiTheme="majorHAnsi" w:hAnsiTheme="majorHAnsi" w:cstheme="majorHAnsi"/>
          <w:lang w:val="ro-MD" w:eastAsia="en-US"/>
        </w:rPr>
        <w:t>responsabilităţii</w:t>
      </w:r>
      <w:proofErr w:type="spellEnd"/>
      <w:r w:rsidRPr="00D76E88">
        <w:rPr>
          <w:rFonts w:asciiTheme="majorHAnsi" w:hAnsiTheme="majorHAnsi" w:cstheme="majorHAnsi"/>
          <w:lang w:val="ro-MD" w:eastAsia="en-US"/>
        </w:rPr>
        <w:t xml:space="preserve"> bugetar-fiscale nr.181 din 25.07.2014.</w:t>
      </w:r>
    </w:p>
  </w:footnote>
  <w:footnote w:id="21">
    <w:p w:rsidR="0065324C" w:rsidRPr="00D76E88" w:rsidRDefault="0065324C" w:rsidP="002B0C1F">
      <w:pPr>
        <w:pStyle w:val="a5"/>
        <w:rPr>
          <w:lang w:val="ro-MD"/>
        </w:rPr>
      </w:pPr>
      <w:r w:rsidRPr="00D76E88">
        <w:rPr>
          <w:rStyle w:val="ab"/>
          <w:rFonts w:asciiTheme="majorHAnsi" w:hAnsiTheme="majorHAnsi" w:cstheme="majorHAnsi"/>
          <w:lang w:val="ro-MD"/>
        </w:rPr>
        <w:footnoteRef/>
      </w:r>
      <w:r w:rsidRPr="00D76E88">
        <w:rPr>
          <w:rFonts w:asciiTheme="majorHAnsi" w:hAnsiTheme="majorHAnsi" w:cstheme="majorHAnsi"/>
          <w:lang w:val="ro-MD"/>
        </w:rPr>
        <w:t xml:space="preserve"> Până în </w:t>
      </w:r>
      <w:r>
        <w:rPr>
          <w:rFonts w:asciiTheme="majorHAnsi" w:hAnsiTheme="majorHAnsi" w:cstheme="majorHAnsi"/>
          <w:lang w:val="ro-MD"/>
        </w:rPr>
        <w:t>august</w:t>
      </w:r>
      <w:r w:rsidRPr="00D76E88">
        <w:rPr>
          <w:rFonts w:asciiTheme="majorHAnsi" w:hAnsiTheme="majorHAnsi" w:cstheme="majorHAnsi"/>
          <w:lang w:val="ro-MD"/>
        </w:rPr>
        <w:t xml:space="preserve"> 2017</w:t>
      </w:r>
      <w:r>
        <w:rPr>
          <w:rFonts w:asciiTheme="majorHAnsi" w:hAnsiTheme="majorHAnsi" w:cstheme="majorHAnsi"/>
          <w:lang w:val="ro-MD"/>
        </w:rPr>
        <w:t>,</w:t>
      </w:r>
      <w:r w:rsidRPr="00424437">
        <w:rPr>
          <w:rFonts w:asciiTheme="majorHAnsi" w:hAnsiTheme="majorHAnsi" w:cstheme="majorHAnsi"/>
          <w:lang w:val="en-US"/>
        </w:rPr>
        <w:t xml:space="preserve"> </w:t>
      </w:r>
      <w:r w:rsidRPr="00D76E88">
        <w:rPr>
          <w:rFonts w:asciiTheme="majorHAnsi" w:hAnsiTheme="majorHAnsi" w:cstheme="majorHAnsi"/>
          <w:lang w:val="ro-MD"/>
        </w:rPr>
        <w:t>ONVV a avut cod de instituție bugetară subordonată M</w:t>
      </w:r>
      <w:r>
        <w:rPr>
          <w:rFonts w:asciiTheme="majorHAnsi" w:hAnsiTheme="majorHAnsi" w:cstheme="majorHAnsi"/>
          <w:lang w:val="ro-MD"/>
        </w:rPr>
        <w:t xml:space="preserve">inisterului </w:t>
      </w:r>
      <w:r w:rsidRPr="00D76E88">
        <w:rPr>
          <w:rFonts w:asciiTheme="majorHAnsi" w:hAnsiTheme="majorHAnsi" w:cstheme="majorHAnsi"/>
          <w:lang w:val="ro-MD"/>
        </w:rPr>
        <w:t>A</w:t>
      </w:r>
      <w:r>
        <w:rPr>
          <w:rFonts w:asciiTheme="majorHAnsi" w:hAnsiTheme="majorHAnsi" w:cstheme="majorHAnsi"/>
          <w:lang w:val="ro-MD"/>
        </w:rPr>
        <w:t xml:space="preserve">griculturii şi </w:t>
      </w:r>
      <w:r w:rsidRPr="00D76E88">
        <w:rPr>
          <w:rFonts w:asciiTheme="majorHAnsi" w:hAnsiTheme="majorHAnsi" w:cstheme="majorHAnsi"/>
          <w:lang w:val="ro-MD"/>
        </w:rPr>
        <w:t>I</w:t>
      </w:r>
      <w:r>
        <w:rPr>
          <w:rFonts w:asciiTheme="majorHAnsi" w:hAnsiTheme="majorHAnsi" w:cstheme="majorHAnsi"/>
          <w:lang w:val="ro-MD"/>
        </w:rPr>
        <w:t xml:space="preserve">ndustriei </w:t>
      </w:r>
      <w:r w:rsidRPr="00D76E88">
        <w:rPr>
          <w:rFonts w:asciiTheme="majorHAnsi" w:hAnsiTheme="majorHAnsi" w:cstheme="majorHAnsi"/>
          <w:lang w:val="ro-MD"/>
        </w:rPr>
        <w:t>A</w:t>
      </w:r>
      <w:r>
        <w:rPr>
          <w:rFonts w:asciiTheme="majorHAnsi" w:hAnsiTheme="majorHAnsi" w:cstheme="majorHAnsi"/>
          <w:lang w:val="ro-MD"/>
        </w:rPr>
        <w:t>limentare</w:t>
      </w:r>
      <w:r w:rsidRPr="00D76E88">
        <w:rPr>
          <w:rFonts w:asciiTheme="majorHAnsi" w:hAnsiTheme="majorHAnsi" w:cstheme="majorHAnsi"/>
          <w:lang w:val="ro-MD"/>
        </w:rPr>
        <w:t xml:space="preserve">, </w:t>
      </w:r>
      <w:r>
        <w:rPr>
          <w:rFonts w:asciiTheme="majorHAnsi" w:hAnsiTheme="majorHAnsi" w:cstheme="majorHAnsi"/>
          <w:lang w:val="ro-MD"/>
        </w:rPr>
        <w:t>ulterior fiind</w:t>
      </w:r>
      <w:r w:rsidRPr="00D76E88">
        <w:rPr>
          <w:rFonts w:asciiTheme="majorHAnsi" w:hAnsiTheme="majorHAnsi" w:cstheme="majorHAnsi"/>
          <w:lang w:val="ro-MD"/>
        </w:rPr>
        <w:t xml:space="preserve"> subordonat MADRM.</w:t>
      </w:r>
    </w:p>
  </w:footnote>
  <w:footnote w:id="22">
    <w:p w:rsidR="0065324C" w:rsidRPr="00D76E88" w:rsidRDefault="0065324C" w:rsidP="002B0C1F">
      <w:pPr>
        <w:pStyle w:val="a5"/>
        <w:rPr>
          <w:rFonts w:asciiTheme="majorHAnsi" w:hAnsiTheme="majorHAnsi" w:cstheme="majorHAnsi"/>
          <w:lang w:val="ro-MD"/>
        </w:rPr>
      </w:pPr>
      <w:r w:rsidRPr="00D76E88">
        <w:rPr>
          <w:rStyle w:val="ab"/>
          <w:rFonts w:asciiTheme="majorHAnsi" w:hAnsiTheme="majorHAnsi" w:cstheme="majorHAnsi"/>
          <w:lang w:val="ro-MD"/>
        </w:rPr>
        <w:footnoteRef/>
      </w:r>
      <w:r w:rsidRPr="00D76E88">
        <w:rPr>
          <w:rFonts w:asciiTheme="majorHAnsi" w:hAnsiTheme="majorHAnsi" w:cstheme="majorHAnsi"/>
          <w:lang w:val="ro-MD"/>
        </w:rPr>
        <w:t xml:space="preserve"> Art.21 alin.(1) </w:t>
      </w:r>
      <w:proofErr w:type="spellStart"/>
      <w:r w:rsidRPr="00D76E88">
        <w:rPr>
          <w:rFonts w:asciiTheme="majorHAnsi" w:hAnsiTheme="majorHAnsi" w:cstheme="majorHAnsi"/>
          <w:lang w:val="ro-MD"/>
        </w:rPr>
        <w:t>lit.i</w:t>
      </w:r>
      <w:proofErr w:type="spellEnd"/>
      <w:r w:rsidRPr="00D76E88">
        <w:rPr>
          <w:rFonts w:asciiTheme="majorHAnsi" w:hAnsiTheme="majorHAnsi" w:cstheme="majorHAnsi"/>
          <w:lang w:val="ro-MD"/>
        </w:rPr>
        <w:t xml:space="preserve">) din Legea </w:t>
      </w:r>
      <w:proofErr w:type="spellStart"/>
      <w:r w:rsidRPr="00D76E88">
        <w:rPr>
          <w:rFonts w:asciiTheme="majorHAnsi" w:hAnsiTheme="majorHAnsi" w:cstheme="majorHAnsi"/>
          <w:lang w:val="ro-MD" w:eastAsia="en-US"/>
        </w:rPr>
        <w:t>finanţelor</w:t>
      </w:r>
      <w:proofErr w:type="spellEnd"/>
      <w:r w:rsidRPr="00D76E88">
        <w:rPr>
          <w:rFonts w:asciiTheme="majorHAnsi" w:hAnsiTheme="majorHAnsi" w:cstheme="majorHAnsi"/>
          <w:lang w:val="ro-MD" w:eastAsia="en-US"/>
        </w:rPr>
        <w:t xml:space="preserve"> publice </w:t>
      </w:r>
      <w:proofErr w:type="spellStart"/>
      <w:r w:rsidRPr="00D76E88">
        <w:rPr>
          <w:rFonts w:asciiTheme="majorHAnsi" w:hAnsiTheme="majorHAnsi" w:cstheme="majorHAnsi"/>
          <w:lang w:val="ro-MD" w:eastAsia="en-US"/>
        </w:rPr>
        <w:t>şi</w:t>
      </w:r>
      <w:proofErr w:type="spellEnd"/>
      <w:r w:rsidRPr="00D76E88">
        <w:rPr>
          <w:rFonts w:asciiTheme="majorHAnsi" w:hAnsiTheme="majorHAnsi" w:cstheme="majorHAnsi"/>
          <w:lang w:val="ro-MD" w:eastAsia="en-US"/>
        </w:rPr>
        <w:t xml:space="preserve"> </w:t>
      </w:r>
      <w:proofErr w:type="spellStart"/>
      <w:r w:rsidRPr="00D76E88">
        <w:rPr>
          <w:rFonts w:asciiTheme="majorHAnsi" w:hAnsiTheme="majorHAnsi" w:cstheme="majorHAnsi"/>
          <w:lang w:val="ro-MD" w:eastAsia="en-US"/>
        </w:rPr>
        <w:t>responsabilităţii</w:t>
      </w:r>
      <w:proofErr w:type="spellEnd"/>
      <w:r w:rsidRPr="00D76E88">
        <w:rPr>
          <w:rFonts w:asciiTheme="majorHAnsi" w:hAnsiTheme="majorHAnsi" w:cstheme="majorHAnsi"/>
          <w:lang w:val="ro-MD" w:eastAsia="en-US"/>
        </w:rPr>
        <w:t xml:space="preserve"> bugetar-fiscale nr.181 din 25.07.2014.</w:t>
      </w:r>
    </w:p>
  </w:footnote>
  <w:footnote w:id="23">
    <w:p w:rsidR="0065324C" w:rsidRPr="0098103F" w:rsidRDefault="0065324C" w:rsidP="002B0C1F">
      <w:pPr>
        <w:pStyle w:val="a5"/>
        <w:rPr>
          <w:rFonts w:asciiTheme="majorHAnsi" w:hAnsiTheme="majorHAnsi" w:cstheme="majorHAnsi"/>
          <w:lang w:val="ro-MD"/>
        </w:rPr>
      </w:pPr>
      <w:r w:rsidRPr="0098103F">
        <w:rPr>
          <w:rStyle w:val="ab"/>
          <w:rFonts w:asciiTheme="majorHAnsi" w:hAnsiTheme="majorHAnsi" w:cstheme="majorHAnsi"/>
          <w:lang w:val="ro-MD"/>
        </w:rPr>
        <w:footnoteRef/>
      </w:r>
      <w:r w:rsidRPr="0098103F">
        <w:rPr>
          <w:rFonts w:asciiTheme="majorHAnsi" w:hAnsiTheme="majorHAnsi" w:cstheme="majorHAnsi"/>
          <w:lang w:val="ro-MD"/>
        </w:rPr>
        <w:t xml:space="preserve"> În anul 2014 – 13,0 </w:t>
      </w:r>
      <w:proofErr w:type="spellStart"/>
      <w:r w:rsidRPr="0098103F">
        <w:rPr>
          <w:rFonts w:asciiTheme="majorHAnsi" w:hAnsiTheme="majorHAnsi" w:cstheme="majorHAnsi"/>
          <w:lang w:val="ro-MD"/>
        </w:rPr>
        <w:t>mil.MDL</w:t>
      </w:r>
      <w:proofErr w:type="spellEnd"/>
      <w:r w:rsidRPr="0098103F">
        <w:rPr>
          <w:rFonts w:asciiTheme="majorHAnsi" w:hAnsiTheme="majorHAnsi" w:cstheme="majorHAnsi"/>
          <w:lang w:val="ro-MD"/>
        </w:rPr>
        <w:t xml:space="preserve">, în anul 2015 – 15,0 </w:t>
      </w:r>
      <w:proofErr w:type="spellStart"/>
      <w:r w:rsidRPr="0098103F">
        <w:rPr>
          <w:rFonts w:asciiTheme="majorHAnsi" w:hAnsiTheme="majorHAnsi" w:cstheme="majorHAnsi"/>
          <w:lang w:val="ro-MD"/>
        </w:rPr>
        <w:t>mil.MDL</w:t>
      </w:r>
      <w:proofErr w:type="spellEnd"/>
      <w:r w:rsidRPr="0098103F">
        <w:rPr>
          <w:rFonts w:asciiTheme="majorHAnsi" w:hAnsiTheme="majorHAnsi" w:cstheme="majorHAnsi"/>
          <w:lang w:val="ro-MD"/>
        </w:rPr>
        <w:t xml:space="preserve">. </w:t>
      </w:r>
    </w:p>
  </w:footnote>
  <w:footnote w:id="24">
    <w:p w:rsidR="0065324C" w:rsidRPr="0098103F" w:rsidRDefault="0065324C" w:rsidP="002B0C1F">
      <w:pPr>
        <w:pStyle w:val="a5"/>
        <w:rPr>
          <w:rFonts w:asciiTheme="majorHAnsi" w:hAnsiTheme="majorHAnsi" w:cstheme="majorHAnsi"/>
          <w:lang w:val="ro-MD"/>
        </w:rPr>
      </w:pPr>
      <w:r w:rsidRPr="0098103F">
        <w:rPr>
          <w:rStyle w:val="ab"/>
          <w:rFonts w:asciiTheme="majorHAnsi" w:hAnsiTheme="majorHAnsi" w:cstheme="majorHAnsi"/>
          <w:lang w:val="ro-MD"/>
        </w:rPr>
        <w:footnoteRef/>
      </w:r>
      <w:r w:rsidRPr="0098103F">
        <w:rPr>
          <w:rFonts w:asciiTheme="majorHAnsi" w:hAnsiTheme="majorHAnsi" w:cstheme="majorHAnsi"/>
          <w:lang w:val="ro-MD"/>
        </w:rPr>
        <w:t xml:space="preserve"> Legea finanțelor publice și responsabilității bugetar-fiscale nr.181 din 25.07.2014.</w:t>
      </w:r>
    </w:p>
  </w:footnote>
  <w:footnote w:id="25">
    <w:p w:rsidR="0065324C" w:rsidRPr="0098103F" w:rsidRDefault="0065324C" w:rsidP="002B0C1F">
      <w:pPr>
        <w:spacing w:after="0"/>
        <w:jc w:val="both"/>
        <w:rPr>
          <w:rFonts w:asciiTheme="majorHAnsi" w:hAnsiTheme="majorHAnsi" w:cstheme="majorHAnsi"/>
          <w:sz w:val="20"/>
          <w:szCs w:val="20"/>
          <w:lang w:val="ro-MD"/>
        </w:rPr>
      </w:pPr>
      <w:r w:rsidRPr="0098103F">
        <w:rPr>
          <w:rStyle w:val="ab"/>
          <w:rFonts w:asciiTheme="majorHAnsi" w:hAnsiTheme="majorHAnsi" w:cstheme="majorHAnsi"/>
          <w:sz w:val="20"/>
          <w:szCs w:val="20"/>
          <w:lang w:val="ro-MD"/>
        </w:rPr>
        <w:footnoteRef/>
      </w:r>
      <w:r w:rsidRPr="0098103F">
        <w:rPr>
          <w:rFonts w:asciiTheme="majorHAnsi" w:hAnsiTheme="majorHAnsi" w:cstheme="majorHAnsi"/>
          <w:sz w:val="20"/>
          <w:szCs w:val="20"/>
          <w:lang w:val="ro-MD"/>
        </w:rPr>
        <w:t xml:space="preserve"> Eco 114640 „</w:t>
      </w:r>
      <w:r w:rsidRPr="0098103F">
        <w:rPr>
          <w:rFonts w:asciiTheme="majorHAnsi" w:eastAsia="Times New Roman" w:hAnsiTheme="majorHAnsi" w:cstheme="majorHAnsi"/>
          <w:sz w:val="20"/>
          <w:szCs w:val="20"/>
          <w:lang w:val="ro-MD"/>
        </w:rPr>
        <w:t>Plata obligatorie a producătorilor de produse vitivinicole”.</w:t>
      </w:r>
    </w:p>
  </w:footnote>
  <w:footnote w:id="26">
    <w:p w:rsidR="0065324C" w:rsidRPr="0098103F" w:rsidRDefault="0065324C" w:rsidP="0098103F">
      <w:pPr>
        <w:pStyle w:val="a3"/>
        <w:ind w:firstLine="0"/>
        <w:rPr>
          <w:lang w:val="ro-MD"/>
        </w:rPr>
      </w:pPr>
      <w:r w:rsidRPr="0098103F">
        <w:rPr>
          <w:rStyle w:val="ab"/>
          <w:rFonts w:asciiTheme="majorHAnsi" w:hAnsiTheme="majorHAnsi" w:cstheme="majorHAnsi"/>
          <w:sz w:val="20"/>
          <w:szCs w:val="20"/>
          <w:lang w:val="ro-MD"/>
        </w:rPr>
        <w:footnoteRef/>
      </w:r>
      <w:r w:rsidRPr="0098103F">
        <w:rPr>
          <w:rFonts w:asciiTheme="majorHAnsi" w:hAnsiTheme="majorHAnsi" w:cstheme="majorHAnsi"/>
          <w:sz w:val="20"/>
          <w:szCs w:val="20"/>
          <w:lang w:val="ro-MD"/>
        </w:rPr>
        <w:t xml:space="preserve"> </w:t>
      </w:r>
      <w:r w:rsidRPr="0098103F">
        <w:rPr>
          <w:rFonts w:asciiTheme="majorHAnsi" w:eastAsia="Times New Roman" w:hAnsiTheme="majorHAnsi" w:cstheme="majorHAnsi"/>
          <w:sz w:val="20"/>
          <w:szCs w:val="20"/>
          <w:lang w:val="ro-MD"/>
        </w:rPr>
        <w:t xml:space="preserve">Conform art.43 din Legea </w:t>
      </w:r>
      <w:r>
        <w:rPr>
          <w:rFonts w:asciiTheme="majorHAnsi" w:eastAsia="Times New Roman" w:hAnsiTheme="majorHAnsi" w:cstheme="majorHAnsi"/>
          <w:sz w:val="20"/>
          <w:szCs w:val="20"/>
          <w:lang w:val="ro-MD"/>
        </w:rPr>
        <w:t>nr.</w:t>
      </w:r>
      <w:r w:rsidRPr="0098103F">
        <w:rPr>
          <w:rFonts w:asciiTheme="majorHAnsi" w:eastAsia="Times New Roman" w:hAnsiTheme="majorHAnsi" w:cstheme="majorHAnsi"/>
          <w:sz w:val="20"/>
          <w:szCs w:val="20"/>
          <w:lang w:val="ro-MD"/>
        </w:rPr>
        <w:t>181/2014</w:t>
      </w:r>
      <w:r>
        <w:rPr>
          <w:rFonts w:asciiTheme="majorHAnsi" w:eastAsia="Times New Roman" w:hAnsiTheme="majorHAnsi" w:cstheme="majorHAnsi"/>
          <w:sz w:val="20"/>
          <w:szCs w:val="20"/>
          <w:lang w:val="ro-MD"/>
        </w:rPr>
        <w:t>,</w:t>
      </w:r>
      <w:r w:rsidRPr="0098103F">
        <w:rPr>
          <w:rFonts w:asciiTheme="majorHAnsi" w:eastAsia="Times New Roman" w:hAnsiTheme="majorHAnsi" w:cstheme="majorHAnsi"/>
          <w:sz w:val="20"/>
          <w:szCs w:val="20"/>
          <w:lang w:val="ro-MD"/>
        </w:rPr>
        <w:t xml:space="preserve"> „veniturile colectate se constituie din: a) venituri de la efectuarea lucrărilor şi prestarea serviciilor contra plată; b) chiria sau darea în arendă a patrimoniului public; c) </w:t>
      </w:r>
      <w:proofErr w:type="spellStart"/>
      <w:r w:rsidRPr="0098103F">
        <w:rPr>
          <w:rFonts w:asciiTheme="majorHAnsi" w:eastAsia="Times New Roman" w:hAnsiTheme="majorHAnsi" w:cstheme="majorHAnsi"/>
          <w:sz w:val="20"/>
          <w:szCs w:val="20"/>
          <w:lang w:val="ro-MD"/>
        </w:rPr>
        <w:t>donaţii</w:t>
      </w:r>
      <w:proofErr w:type="spellEnd"/>
      <w:r w:rsidRPr="0098103F">
        <w:rPr>
          <w:rFonts w:asciiTheme="majorHAnsi" w:eastAsia="Times New Roman" w:hAnsiTheme="majorHAnsi" w:cstheme="majorHAnsi"/>
          <w:sz w:val="20"/>
          <w:szCs w:val="20"/>
          <w:lang w:val="ro-MD"/>
        </w:rPr>
        <w:t xml:space="preserve">, sponsorizări </w:t>
      </w:r>
      <w:proofErr w:type="spellStart"/>
      <w:r w:rsidRPr="0098103F">
        <w:rPr>
          <w:rFonts w:asciiTheme="majorHAnsi" w:eastAsia="Times New Roman" w:hAnsiTheme="majorHAnsi" w:cstheme="majorHAnsi"/>
          <w:sz w:val="20"/>
          <w:szCs w:val="20"/>
          <w:lang w:val="ro-MD"/>
        </w:rPr>
        <w:t>şi</w:t>
      </w:r>
      <w:proofErr w:type="spellEnd"/>
      <w:r w:rsidRPr="0098103F">
        <w:rPr>
          <w:rFonts w:asciiTheme="majorHAnsi" w:eastAsia="Times New Roman" w:hAnsiTheme="majorHAnsi" w:cstheme="majorHAnsi"/>
          <w:sz w:val="20"/>
          <w:szCs w:val="20"/>
          <w:lang w:val="ro-MD"/>
        </w:rPr>
        <w:t xml:space="preserve"> alte mijloace băneşti intrate legal în posesia </w:t>
      </w:r>
      <w:proofErr w:type="spellStart"/>
      <w:r w:rsidRPr="0098103F">
        <w:rPr>
          <w:rFonts w:asciiTheme="majorHAnsi" w:eastAsia="Times New Roman" w:hAnsiTheme="majorHAnsi" w:cstheme="majorHAnsi"/>
          <w:sz w:val="20"/>
          <w:szCs w:val="20"/>
          <w:lang w:val="ro-MD"/>
        </w:rPr>
        <w:t>autorităţilor</w:t>
      </w:r>
      <w:proofErr w:type="spellEnd"/>
      <w:r w:rsidRPr="0098103F">
        <w:rPr>
          <w:rFonts w:asciiTheme="majorHAnsi" w:eastAsia="Times New Roman" w:hAnsiTheme="majorHAnsi" w:cstheme="majorHAnsi"/>
          <w:sz w:val="20"/>
          <w:szCs w:val="20"/>
          <w:lang w:val="ro-MD"/>
        </w:rPr>
        <w:t>/</w:t>
      </w:r>
      <w:proofErr w:type="spellStart"/>
      <w:r w:rsidRPr="0098103F">
        <w:rPr>
          <w:rFonts w:asciiTheme="majorHAnsi" w:eastAsia="Times New Roman" w:hAnsiTheme="majorHAnsi" w:cstheme="majorHAnsi"/>
          <w:sz w:val="20"/>
          <w:szCs w:val="20"/>
          <w:lang w:val="ro-MD"/>
        </w:rPr>
        <w:t>instituţiilor</w:t>
      </w:r>
      <w:proofErr w:type="spellEnd"/>
      <w:r w:rsidRPr="0098103F">
        <w:rPr>
          <w:rFonts w:asciiTheme="majorHAnsi" w:eastAsia="Times New Roman" w:hAnsiTheme="majorHAnsi" w:cstheme="majorHAnsi"/>
          <w:sz w:val="20"/>
          <w:szCs w:val="20"/>
          <w:lang w:val="ro-MD"/>
        </w:rPr>
        <w:t xml:space="preserve"> bugetare”.</w:t>
      </w:r>
    </w:p>
  </w:footnote>
  <w:footnote w:id="27">
    <w:p w:rsidR="0065324C" w:rsidRPr="0098103F" w:rsidRDefault="0065324C" w:rsidP="002B0C1F">
      <w:pPr>
        <w:pStyle w:val="a3"/>
        <w:ind w:firstLine="0"/>
        <w:rPr>
          <w:rFonts w:asciiTheme="majorHAnsi" w:eastAsia="Times New Roman" w:hAnsiTheme="majorHAnsi" w:cstheme="majorHAnsi"/>
          <w:sz w:val="20"/>
          <w:szCs w:val="20"/>
          <w:lang w:val="ro-MD"/>
        </w:rPr>
      </w:pPr>
      <w:r w:rsidRPr="0098103F">
        <w:rPr>
          <w:rStyle w:val="ab"/>
          <w:rFonts w:asciiTheme="majorHAnsi" w:hAnsiTheme="majorHAnsi" w:cstheme="majorHAnsi"/>
          <w:sz w:val="20"/>
          <w:szCs w:val="20"/>
          <w:lang w:val="ro-MD"/>
        </w:rPr>
        <w:footnoteRef/>
      </w:r>
      <w:r w:rsidRPr="0098103F">
        <w:rPr>
          <w:rFonts w:asciiTheme="majorHAnsi" w:hAnsiTheme="majorHAnsi" w:cstheme="majorHAnsi"/>
          <w:sz w:val="20"/>
          <w:szCs w:val="20"/>
          <w:lang w:val="ro-MD"/>
        </w:rPr>
        <w:t xml:space="preserve"> </w:t>
      </w:r>
      <w:r w:rsidRPr="0098103F">
        <w:rPr>
          <w:rFonts w:asciiTheme="majorHAnsi" w:eastAsia="Times New Roman" w:hAnsiTheme="majorHAnsi" w:cstheme="majorHAnsi"/>
          <w:sz w:val="20"/>
          <w:szCs w:val="20"/>
          <w:lang w:val="ro-MD"/>
        </w:rPr>
        <w:t>Art.32</w:t>
      </w:r>
      <w:r w:rsidRPr="0098103F">
        <w:rPr>
          <w:rFonts w:asciiTheme="majorHAnsi" w:eastAsia="Times New Roman" w:hAnsiTheme="majorHAnsi" w:cstheme="majorHAnsi"/>
          <w:sz w:val="20"/>
          <w:szCs w:val="20"/>
          <w:vertAlign w:val="superscript"/>
          <w:lang w:val="ro-MD"/>
        </w:rPr>
        <w:t>3</w:t>
      </w:r>
      <w:r>
        <w:rPr>
          <w:rFonts w:asciiTheme="majorHAnsi" w:eastAsia="Times New Roman" w:hAnsiTheme="majorHAnsi" w:cstheme="majorHAnsi"/>
          <w:sz w:val="20"/>
          <w:szCs w:val="20"/>
          <w:vertAlign w:val="superscript"/>
          <w:lang w:val="ro-MD"/>
        </w:rPr>
        <w:t xml:space="preserve"> </w:t>
      </w:r>
      <w:r w:rsidRPr="0098103F">
        <w:rPr>
          <w:rFonts w:asciiTheme="majorHAnsi" w:eastAsia="Times New Roman" w:hAnsiTheme="majorHAnsi" w:cstheme="majorHAnsi"/>
          <w:sz w:val="20"/>
          <w:szCs w:val="20"/>
          <w:lang w:val="ro-MD"/>
        </w:rPr>
        <w:t xml:space="preserve">alin.(12) din Legea viei şi vinului stipulează că producătorii de produse vitivinicole vor transfera contribuțiile obligatorii la contul trezorerial al Oficiului. Mijloacele bugetare vor fi transferate la contul trezorerial al Oficiului, în condițiile alin.(3) </w:t>
      </w:r>
      <w:proofErr w:type="spellStart"/>
      <w:r w:rsidRPr="0098103F">
        <w:rPr>
          <w:rFonts w:asciiTheme="majorHAnsi" w:eastAsia="Times New Roman" w:hAnsiTheme="majorHAnsi" w:cstheme="majorHAnsi"/>
          <w:sz w:val="20"/>
          <w:szCs w:val="20"/>
          <w:lang w:val="ro-MD"/>
        </w:rPr>
        <w:t>lit.b</w:t>
      </w:r>
      <w:proofErr w:type="spellEnd"/>
      <w:r w:rsidRPr="0098103F">
        <w:rPr>
          <w:rFonts w:asciiTheme="majorHAnsi" w:eastAsia="Times New Roman" w:hAnsiTheme="majorHAnsi" w:cstheme="majorHAnsi"/>
          <w:sz w:val="20"/>
          <w:szCs w:val="20"/>
          <w:lang w:val="ro-MD"/>
        </w:rPr>
        <w:t>), în sumă egală cu suma contribuțiilor obligatorii obţinute în anul bugetar precedent.</w:t>
      </w:r>
    </w:p>
  </w:footnote>
  <w:footnote w:id="28">
    <w:p w:rsidR="0065324C" w:rsidRPr="00796EDC" w:rsidRDefault="0065324C" w:rsidP="002B0C1F">
      <w:pPr>
        <w:pStyle w:val="a5"/>
        <w:rPr>
          <w:rFonts w:asciiTheme="majorHAnsi" w:hAnsiTheme="majorHAnsi" w:cstheme="majorHAnsi"/>
        </w:rPr>
      </w:pPr>
      <w:r w:rsidRPr="00796EDC">
        <w:rPr>
          <w:rStyle w:val="ab"/>
          <w:rFonts w:asciiTheme="majorHAnsi" w:hAnsiTheme="majorHAnsi" w:cstheme="majorHAnsi"/>
        </w:rPr>
        <w:footnoteRef/>
      </w:r>
      <w:r w:rsidRPr="00796EDC">
        <w:rPr>
          <w:rFonts w:asciiTheme="majorHAnsi" w:hAnsiTheme="majorHAnsi" w:cstheme="majorHAnsi"/>
        </w:rPr>
        <w:t xml:space="preserve"> Pct.2 din HG nr.725 din 16.09.2013 </w:t>
      </w:r>
      <w:r>
        <w:rPr>
          <w:rFonts w:asciiTheme="majorHAnsi" w:hAnsiTheme="majorHAnsi" w:cstheme="majorHAnsi"/>
        </w:rPr>
        <w:t>„</w:t>
      </w:r>
      <w:r>
        <w:rPr>
          <w:rFonts w:asciiTheme="majorHAnsi" w:hAnsiTheme="majorHAnsi" w:cstheme="majorHAnsi"/>
          <w:lang w:eastAsia="en-US"/>
        </w:rPr>
        <w:t>C</w:t>
      </w:r>
      <w:r w:rsidRPr="00796EDC">
        <w:rPr>
          <w:rFonts w:asciiTheme="majorHAnsi" w:hAnsiTheme="majorHAnsi" w:cstheme="majorHAnsi"/>
          <w:lang w:eastAsia="en-US"/>
        </w:rPr>
        <w:t>u privire la Oficiul Naţional al Viei şi Vinului</w:t>
      </w:r>
      <w:r>
        <w:rPr>
          <w:rFonts w:asciiTheme="majorHAnsi" w:hAnsiTheme="majorHAnsi" w:cstheme="majorHAnsi"/>
          <w:lang w:eastAsia="en-US"/>
        </w:rPr>
        <w:t>”</w:t>
      </w:r>
      <w:r w:rsidRPr="00796EDC">
        <w:rPr>
          <w:rFonts w:asciiTheme="majorHAnsi" w:hAnsiTheme="majorHAnsi" w:cstheme="majorHAnsi"/>
          <w:lang w:eastAsia="en-US"/>
        </w:rPr>
        <w:t>.</w:t>
      </w:r>
    </w:p>
  </w:footnote>
  <w:footnote w:id="29">
    <w:p w:rsidR="0065324C" w:rsidRPr="009569C5" w:rsidRDefault="0065324C" w:rsidP="002B0C1F">
      <w:pPr>
        <w:pStyle w:val="a5"/>
      </w:pPr>
      <w:r w:rsidRPr="00796EDC">
        <w:rPr>
          <w:rStyle w:val="ab"/>
          <w:rFonts w:asciiTheme="majorHAnsi" w:hAnsiTheme="majorHAnsi" w:cstheme="majorHAnsi"/>
        </w:rPr>
        <w:footnoteRef/>
      </w:r>
      <w:r w:rsidRPr="00796EDC">
        <w:rPr>
          <w:rFonts w:asciiTheme="majorHAnsi" w:hAnsiTheme="majorHAnsi" w:cstheme="majorHAnsi"/>
        </w:rPr>
        <w:t xml:space="preserve"> Codul Org.2 – 15473 Instituţia Public</w:t>
      </w:r>
      <w:r>
        <w:rPr>
          <w:rFonts w:asciiTheme="majorHAnsi" w:hAnsiTheme="majorHAnsi" w:cstheme="majorHAnsi"/>
        </w:rPr>
        <w:t>ă</w:t>
      </w:r>
      <w:r w:rsidRPr="00796EDC">
        <w:rPr>
          <w:rFonts w:asciiTheme="majorHAnsi" w:hAnsiTheme="majorHAnsi" w:cstheme="majorHAnsi"/>
        </w:rPr>
        <w:t xml:space="preserve"> </w:t>
      </w:r>
      <w:r>
        <w:rPr>
          <w:rFonts w:asciiTheme="majorHAnsi" w:hAnsiTheme="majorHAnsi" w:cstheme="majorHAnsi"/>
        </w:rPr>
        <w:t>„</w:t>
      </w:r>
      <w:r w:rsidRPr="00796EDC">
        <w:rPr>
          <w:rFonts w:asciiTheme="majorHAnsi" w:hAnsiTheme="majorHAnsi" w:cstheme="majorHAnsi"/>
        </w:rPr>
        <w:t>Oficiul Na</w:t>
      </w:r>
      <w:r>
        <w:rPr>
          <w:rFonts w:asciiTheme="majorHAnsi" w:hAnsiTheme="majorHAnsi" w:cstheme="majorHAnsi"/>
        </w:rPr>
        <w:t>ț</w:t>
      </w:r>
      <w:r w:rsidRPr="00796EDC">
        <w:rPr>
          <w:rFonts w:asciiTheme="majorHAnsi" w:hAnsiTheme="majorHAnsi" w:cstheme="majorHAnsi"/>
        </w:rPr>
        <w:t xml:space="preserve">ional al Viei </w:t>
      </w:r>
      <w:r>
        <w:rPr>
          <w:rFonts w:asciiTheme="majorHAnsi" w:hAnsiTheme="majorHAnsi" w:cstheme="majorHAnsi"/>
        </w:rPr>
        <w:t>ș</w:t>
      </w:r>
      <w:r w:rsidRPr="00796EDC">
        <w:rPr>
          <w:rFonts w:asciiTheme="majorHAnsi" w:hAnsiTheme="majorHAnsi" w:cstheme="majorHAnsi"/>
        </w:rPr>
        <w:t>i Vinului</w:t>
      </w:r>
      <w:r>
        <w:rPr>
          <w:rFonts w:asciiTheme="majorHAnsi" w:hAnsiTheme="majorHAnsi" w:cstheme="majorHAnsi"/>
        </w:rPr>
        <w:t>”</w:t>
      </w:r>
      <w:r w:rsidRPr="00796EDC">
        <w:rPr>
          <w:rFonts w:asciiTheme="majorHAnsi" w:hAnsiTheme="majorHAnsi" w:cstheme="majorHAnsi"/>
        </w:rPr>
        <w:t>.</w:t>
      </w:r>
    </w:p>
  </w:footnote>
  <w:footnote w:id="30">
    <w:p w:rsidR="0065324C" w:rsidRPr="003A1EFC" w:rsidRDefault="0065324C" w:rsidP="002B0C1F">
      <w:pPr>
        <w:pStyle w:val="a5"/>
        <w:rPr>
          <w:rFonts w:asciiTheme="majorHAnsi" w:hAnsiTheme="majorHAnsi" w:cstheme="majorHAnsi"/>
          <w:lang w:val="ro-MD"/>
        </w:rPr>
      </w:pPr>
      <w:r w:rsidRPr="003A1EFC">
        <w:rPr>
          <w:rStyle w:val="ab"/>
          <w:rFonts w:asciiTheme="majorHAnsi" w:hAnsiTheme="majorHAnsi" w:cstheme="majorHAnsi"/>
          <w:lang w:val="ro-MD"/>
        </w:rPr>
        <w:footnoteRef/>
      </w:r>
      <w:r w:rsidRPr="003A1EFC">
        <w:rPr>
          <w:rFonts w:asciiTheme="majorHAnsi" w:hAnsiTheme="majorHAnsi" w:cstheme="majorHAnsi"/>
          <w:lang w:val="ro-MD"/>
        </w:rPr>
        <w:t xml:space="preserve"> Ziua Vinului Comrat (0,4 </w:t>
      </w:r>
      <w:proofErr w:type="spellStart"/>
      <w:r w:rsidRPr="003A1EFC">
        <w:rPr>
          <w:rFonts w:asciiTheme="majorHAnsi" w:hAnsiTheme="majorHAnsi" w:cstheme="majorHAnsi"/>
          <w:lang w:val="ro-MD"/>
        </w:rPr>
        <w:t>mil.MDL</w:t>
      </w:r>
      <w:proofErr w:type="spellEnd"/>
      <w:r w:rsidRPr="003A1EFC">
        <w:rPr>
          <w:rFonts w:asciiTheme="majorHAnsi" w:hAnsiTheme="majorHAnsi" w:cstheme="majorHAnsi"/>
          <w:lang w:val="ro-MD"/>
        </w:rPr>
        <w:t>), Festivalul „</w:t>
      </w:r>
      <w:proofErr w:type="spellStart"/>
      <w:r w:rsidRPr="003A1EFC">
        <w:rPr>
          <w:rFonts w:asciiTheme="majorHAnsi" w:hAnsiTheme="majorHAnsi" w:cstheme="majorHAnsi"/>
          <w:lang w:val="ro-MD"/>
        </w:rPr>
        <w:t>Desc</w:t>
      </w:r>
      <w:r>
        <w:rPr>
          <w:rFonts w:asciiTheme="majorHAnsi" w:hAnsiTheme="majorHAnsi" w:cstheme="majorHAnsi"/>
          <w:lang w:val="ro-MD"/>
        </w:rPr>
        <w:t>O</w:t>
      </w:r>
      <w:r w:rsidRPr="003A1EFC">
        <w:rPr>
          <w:rFonts w:asciiTheme="majorHAnsi" w:hAnsiTheme="majorHAnsi" w:cstheme="majorHAnsi"/>
          <w:lang w:val="ro-MD"/>
        </w:rPr>
        <w:t>peră</w:t>
      </w:r>
      <w:proofErr w:type="spellEnd"/>
      <w:r w:rsidRPr="003A1EFC">
        <w:rPr>
          <w:rFonts w:asciiTheme="majorHAnsi" w:hAnsiTheme="majorHAnsi" w:cstheme="majorHAnsi"/>
          <w:lang w:val="ro-MD"/>
        </w:rPr>
        <w:t xml:space="preserve">” (0,3 </w:t>
      </w:r>
      <w:proofErr w:type="spellStart"/>
      <w:r w:rsidRPr="003A1EFC">
        <w:rPr>
          <w:rFonts w:asciiTheme="majorHAnsi" w:hAnsiTheme="majorHAnsi" w:cstheme="majorHAnsi"/>
          <w:lang w:val="ro-MD"/>
        </w:rPr>
        <w:t>mil.MDL</w:t>
      </w:r>
      <w:proofErr w:type="spellEnd"/>
      <w:r w:rsidRPr="003A1EFC">
        <w:rPr>
          <w:rFonts w:asciiTheme="majorHAnsi" w:hAnsiTheme="majorHAnsi" w:cstheme="majorHAnsi"/>
          <w:lang w:val="ro-MD"/>
        </w:rPr>
        <w:t xml:space="preserve">), Ziua agricultorului (0,3 </w:t>
      </w:r>
      <w:proofErr w:type="spellStart"/>
      <w:r w:rsidRPr="003A1EFC">
        <w:rPr>
          <w:rFonts w:asciiTheme="majorHAnsi" w:hAnsiTheme="majorHAnsi" w:cstheme="majorHAnsi"/>
          <w:lang w:val="ro-MD"/>
        </w:rPr>
        <w:t>mil.MDL</w:t>
      </w:r>
      <w:proofErr w:type="spellEnd"/>
      <w:r w:rsidRPr="003A1EFC">
        <w:rPr>
          <w:rFonts w:asciiTheme="majorHAnsi" w:hAnsiTheme="majorHAnsi" w:cstheme="majorHAnsi"/>
          <w:lang w:val="ro-MD"/>
        </w:rPr>
        <w:t xml:space="preserve">) </w:t>
      </w:r>
      <w:r w:rsidRPr="003A1EFC">
        <w:rPr>
          <w:rFonts w:asciiTheme="majorHAnsi" w:hAnsiTheme="majorHAnsi" w:cstheme="majorHAnsi"/>
        </w:rPr>
        <w:t xml:space="preserve">și </w:t>
      </w:r>
      <w:proofErr w:type="spellStart"/>
      <w:r w:rsidRPr="003A1EFC">
        <w:rPr>
          <w:rFonts w:asciiTheme="majorHAnsi" w:hAnsiTheme="majorHAnsi" w:cstheme="majorHAnsi"/>
        </w:rPr>
        <w:t>Gault</w:t>
      </w:r>
      <w:proofErr w:type="spellEnd"/>
      <w:r w:rsidRPr="003A1EFC">
        <w:rPr>
          <w:rFonts w:asciiTheme="majorHAnsi" w:hAnsiTheme="majorHAnsi" w:cstheme="majorHAnsi"/>
        </w:rPr>
        <w:t xml:space="preserve"> </w:t>
      </w:r>
      <w:proofErr w:type="spellStart"/>
      <w:r w:rsidRPr="003A1EFC">
        <w:rPr>
          <w:rFonts w:asciiTheme="majorHAnsi" w:hAnsiTheme="majorHAnsi" w:cstheme="majorHAnsi"/>
        </w:rPr>
        <w:t>Mil</w:t>
      </w:r>
      <w:r>
        <w:rPr>
          <w:rFonts w:asciiTheme="majorHAnsi" w:hAnsiTheme="majorHAnsi" w:cstheme="majorHAnsi"/>
        </w:rPr>
        <w:t>l</w:t>
      </w:r>
      <w:r w:rsidRPr="003A1EFC">
        <w:rPr>
          <w:rFonts w:asciiTheme="majorHAnsi" w:hAnsiTheme="majorHAnsi" w:cstheme="majorHAnsi"/>
        </w:rPr>
        <w:t>au</w:t>
      </w:r>
      <w:proofErr w:type="spellEnd"/>
      <w:r w:rsidRPr="003A1EFC">
        <w:rPr>
          <w:rFonts w:asciiTheme="majorHAnsi" w:hAnsiTheme="majorHAnsi" w:cstheme="majorHAnsi"/>
        </w:rPr>
        <w:t xml:space="preserve"> </w:t>
      </w:r>
      <w:r w:rsidRPr="003A1EFC">
        <w:rPr>
          <w:rFonts w:asciiTheme="majorHAnsi" w:hAnsiTheme="majorHAnsi" w:cstheme="majorHAnsi"/>
          <w:lang w:val="ro-MD"/>
        </w:rPr>
        <w:t xml:space="preserve">– Polonia (0,7 </w:t>
      </w:r>
      <w:proofErr w:type="spellStart"/>
      <w:r w:rsidRPr="003A1EFC">
        <w:rPr>
          <w:rFonts w:asciiTheme="majorHAnsi" w:hAnsiTheme="majorHAnsi" w:cstheme="majorHAnsi"/>
          <w:lang w:val="ro-MD"/>
        </w:rPr>
        <w:t>mil.MDL</w:t>
      </w:r>
      <w:proofErr w:type="spellEnd"/>
      <w:r w:rsidRPr="003A1EFC">
        <w:rPr>
          <w:rFonts w:asciiTheme="majorHAnsi" w:hAnsiTheme="majorHAnsi" w:cstheme="majorHAnsi"/>
          <w:lang w:val="ro-MD"/>
        </w:rPr>
        <w:t>).</w:t>
      </w:r>
    </w:p>
  </w:footnote>
  <w:footnote w:id="31">
    <w:p w:rsidR="0065324C" w:rsidRPr="003A1EFC" w:rsidRDefault="0065324C" w:rsidP="002B0C1F">
      <w:pPr>
        <w:pStyle w:val="a5"/>
        <w:rPr>
          <w:rFonts w:asciiTheme="majorHAnsi" w:hAnsiTheme="majorHAnsi" w:cstheme="majorHAnsi"/>
          <w:lang w:val="ro-MD"/>
        </w:rPr>
      </w:pPr>
      <w:r w:rsidRPr="003A1EFC">
        <w:rPr>
          <w:rStyle w:val="ab"/>
          <w:rFonts w:asciiTheme="majorHAnsi" w:hAnsiTheme="majorHAnsi" w:cstheme="majorHAnsi"/>
          <w:lang w:val="ro-MD"/>
        </w:rPr>
        <w:footnoteRef/>
      </w:r>
      <w:r w:rsidRPr="003A1EFC">
        <w:rPr>
          <w:rFonts w:asciiTheme="majorHAnsi" w:hAnsiTheme="majorHAnsi" w:cstheme="majorHAnsi"/>
          <w:lang w:val="ro-MD"/>
        </w:rPr>
        <w:t xml:space="preserve"> Ziua Vinului Comrat – cu 1,1 mii MDL</w:t>
      </w:r>
      <w:r>
        <w:rPr>
          <w:rFonts w:asciiTheme="majorHAnsi" w:hAnsiTheme="majorHAnsi" w:cstheme="majorHAnsi"/>
          <w:lang w:val="ro-MD"/>
        </w:rPr>
        <w:t>,</w:t>
      </w:r>
      <w:r w:rsidRPr="003A1EFC">
        <w:rPr>
          <w:rFonts w:asciiTheme="majorHAnsi" w:hAnsiTheme="majorHAnsi" w:cstheme="majorHAnsi"/>
          <w:lang w:val="ro-MD"/>
        </w:rPr>
        <w:t xml:space="preserve"> și </w:t>
      </w:r>
      <w:proofErr w:type="spellStart"/>
      <w:r w:rsidRPr="003A1EFC">
        <w:rPr>
          <w:rFonts w:asciiTheme="majorHAnsi" w:hAnsiTheme="majorHAnsi" w:cstheme="majorHAnsi"/>
          <w:lang w:val="ro-MD"/>
        </w:rPr>
        <w:t>Gault</w:t>
      </w:r>
      <w:r>
        <w:rPr>
          <w:rFonts w:asciiTheme="majorHAnsi" w:hAnsiTheme="majorHAnsi" w:cstheme="majorHAnsi"/>
          <w:lang w:val="ro-MD"/>
        </w:rPr>
        <w:t>&amp;</w:t>
      </w:r>
      <w:r w:rsidRPr="003A1EFC">
        <w:rPr>
          <w:rFonts w:asciiTheme="majorHAnsi" w:hAnsiTheme="majorHAnsi" w:cstheme="majorHAnsi"/>
          <w:lang w:val="ro-MD"/>
        </w:rPr>
        <w:t>Milau</w:t>
      </w:r>
      <w:proofErr w:type="spellEnd"/>
      <w:r>
        <w:rPr>
          <w:rFonts w:asciiTheme="majorHAnsi" w:hAnsiTheme="majorHAnsi" w:cstheme="majorHAnsi"/>
          <w:lang w:val="ro-MD"/>
        </w:rPr>
        <w:t>,</w:t>
      </w:r>
      <w:r w:rsidRPr="003A1EFC">
        <w:rPr>
          <w:rFonts w:asciiTheme="majorHAnsi" w:hAnsiTheme="majorHAnsi" w:cstheme="majorHAnsi"/>
          <w:lang w:val="ro-MD"/>
        </w:rPr>
        <w:t xml:space="preserve"> Polonia – cu 49,1 mii MDL.</w:t>
      </w:r>
    </w:p>
  </w:footnote>
  <w:footnote w:id="32">
    <w:p w:rsidR="0065324C" w:rsidRPr="003A1EFC" w:rsidRDefault="0065324C" w:rsidP="002B0C1F">
      <w:pPr>
        <w:pStyle w:val="a5"/>
        <w:rPr>
          <w:rFonts w:asciiTheme="majorHAnsi" w:hAnsiTheme="majorHAnsi" w:cstheme="majorHAnsi"/>
          <w:lang w:val="ro-MD"/>
        </w:rPr>
      </w:pPr>
      <w:r w:rsidRPr="003A1EFC">
        <w:rPr>
          <w:rStyle w:val="ab"/>
          <w:rFonts w:asciiTheme="majorHAnsi" w:hAnsiTheme="majorHAnsi" w:cstheme="majorHAnsi"/>
          <w:lang w:val="ro-MD"/>
        </w:rPr>
        <w:footnoteRef/>
      </w:r>
      <w:r w:rsidRPr="003A1EFC">
        <w:rPr>
          <w:rFonts w:asciiTheme="majorHAnsi" w:hAnsiTheme="majorHAnsi" w:cstheme="majorHAnsi"/>
          <w:lang w:val="ro-MD"/>
        </w:rPr>
        <w:t xml:space="preserve"> Include 36 </w:t>
      </w:r>
      <w:r>
        <w:rPr>
          <w:rFonts w:asciiTheme="majorHAnsi" w:hAnsiTheme="majorHAnsi" w:cstheme="majorHAnsi"/>
          <w:lang w:val="ro-MD"/>
        </w:rPr>
        <w:t xml:space="preserve">de </w:t>
      </w:r>
      <w:r w:rsidRPr="003A1EFC">
        <w:rPr>
          <w:rFonts w:asciiTheme="majorHAnsi" w:hAnsiTheme="majorHAnsi" w:cstheme="majorHAnsi"/>
          <w:lang w:val="ro-MD"/>
        </w:rPr>
        <w:t>submăsuri.</w:t>
      </w:r>
    </w:p>
  </w:footnote>
  <w:footnote w:id="33">
    <w:p w:rsidR="0065324C" w:rsidRPr="003A1EFC" w:rsidRDefault="0065324C" w:rsidP="002B0C1F">
      <w:pPr>
        <w:pStyle w:val="a5"/>
        <w:rPr>
          <w:rFonts w:asciiTheme="majorHAnsi" w:hAnsiTheme="majorHAnsi" w:cstheme="majorHAnsi"/>
          <w:lang w:val="ro-MD"/>
        </w:rPr>
      </w:pPr>
      <w:r w:rsidRPr="003A1EFC">
        <w:rPr>
          <w:rStyle w:val="ab"/>
          <w:rFonts w:asciiTheme="majorHAnsi" w:hAnsiTheme="majorHAnsi" w:cstheme="majorHAnsi"/>
          <w:lang w:val="ro-MD"/>
        </w:rPr>
        <w:footnoteRef/>
      </w:r>
      <w:r w:rsidRPr="003A1EFC">
        <w:rPr>
          <w:rFonts w:asciiTheme="majorHAnsi" w:hAnsiTheme="majorHAnsi" w:cstheme="majorHAnsi"/>
          <w:lang w:val="ro-MD"/>
        </w:rPr>
        <w:t xml:space="preserve"> Include 42 </w:t>
      </w:r>
      <w:r>
        <w:rPr>
          <w:rFonts w:asciiTheme="majorHAnsi" w:hAnsiTheme="majorHAnsi" w:cstheme="majorHAnsi"/>
          <w:lang w:val="ro-MD"/>
        </w:rPr>
        <w:t xml:space="preserve">de </w:t>
      </w:r>
      <w:r w:rsidRPr="003A1EFC">
        <w:rPr>
          <w:rFonts w:asciiTheme="majorHAnsi" w:hAnsiTheme="majorHAnsi" w:cstheme="majorHAnsi"/>
          <w:lang w:val="ro-MD"/>
        </w:rPr>
        <w:t>submăsuri.</w:t>
      </w:r>
    </w:p>
  </w:footnote>
  <w:footnote w:id="34">
    <w:p w:rsidR="0065324C" w:rsidRPr="003A1EFC" w:rsidRDefault="0065324C" w:rsidP="002B0C1F">
      <w:pPr>
        <w:pStyle w:val="a5"/>
        <w:rPr>
          <w:lang w:val="ro-MD"/>
        </w:rPr>
      </w:pPr>
      <w:r w:rsidRPr="003A1EFC">
        <w:rPr>
          <w:rStyle w:val="ab"/>
          <w:rFonts w:asciiTheme="majorHAnsi" w:hAnsiTheme="majorHAnsi" w:cstheme="majorHAnsi"/>
          <w:lang w:val="ro-MD"/>
        </w:rPr>
        <w:footnoteRef/>
      </w:r>
      <w:r w:rsidRPr="003A1EFC">
        <w:rPr>
          <w:rFonts w:asciiTheme="majorHAnsi" w:hAnsiTheme="majorHAnsi" w:cstheme="majorHAnsi"/>
          <w:lang w:val="ro-MD"/>
        </w:rPr>
        <w:t xml:space="preserve"> Include 49 </w:t>
      </w:r>
      <w:r>
        <w:rPr>
          <w:rFonts w:asciiTheme="majorHAnsi" w:hAnsiTheme="majorHAnsi" w:cstheme="majorHAnsi"/>
          <w:lang w:val="ro-MD"/>
        </w:rPr>
        <w:t xml:space="preserve">de </w:t>
      </w:r>
      <w:r w:rsidRPr="003A1EFC">
        <w:rPr>
          <w:rFonts w:asciiTheme="majorHAnsi" w:hAnsiTheme="majorHAnsi" w:cstheme="majorHAnsi"/>
          <w:lang w:val="ro-MD"/>
        </w:rPr>
        <w:t>submăsuri.</w:t>
      </w:r>
    </w:p>
  </w:footnote>
  <w:footnote w:id="35">
    <w:p w:rsidR="0065324C" w:rsidRPr="004E5DD3" w:rsidRDefault="0065324C">
      <w:pPr>
        <w:pStyle w:val="a5"/>
        <w:rPr>
          <w:rFonts w:asciiTheme="majorHAnsi" w:hAnsiTheme="majorHAnsi" w:cstheme="majorHAnsi"/>
        </w:rPr>
      </w:pPr>
      <w:r w:rsidRPr="004E5DD3">
        <w:rPr>
          <w:rStyle w:val="ab"/>
          <w:rFonts w:asciiTheme="majorHAnsi" w:hAnsiTheme="majorHAnsi" w:cstheme="majorHAnsi"/>
        </w:rPr>
        <w:footnoteRef/>
      </w:r>
      <w:r w:rsidRPr="004E5DD3">
        <w:rPr>
          <w:rFonts w:asciiTheme="majorHAnsi" w:hAnsiTheme="majorHAnsi" w:cstheme="majorHAnsi"/>
        </w:rPr>
        <w:t xml:space="preserve"> Îngălbenirea aurie şi lemnul negru.</w:t>
      </w:r>
    </w:p>
  </w:footnote>
  <w:footnote w:id="36">
    <w:p w:rsidR="0065324C" w:rsidRPr="00D139F8" w:rsidRDefault="0065324C" w:rsidP="002B0C1F">
      <w:pPr>
        <w:pStyle w:val="a5"/>
        <w:rPr>
          <w:rFonts w:asciiTheme="majorHAnsi" w:hAnsiTheme="majorHAnsi" w:cstheme="majorHAnsi"/>
        </w:rPr>
      </w:pPr>
      <w:r w:rsidRPr="00D139F8">
        <w:rPr>
          <w:rStyle w:val="ab"/>
          <w:rFonts w:asciiTheme="majorHAnsi" w:hAnsiTheme="majorHAnsi" w:cstheme="majorHAnsi"/>
        </w:rPr>
        <w:footnoteRef/>
      </w:r>
      <w:r w:rsidRPr="00D139F8">
        <w:rPr>
          <w:rFonts w:asciiTheme="majorHAnsi" w:hAnsiTheme="majorHAnsi" w:cstheme="majorHAnsi"/>
        </w:rPr>
        <w:t xml:space="preserve"> </w:t>
      </w:r>
      <w:proofErr w:type="spellStart"/>
      <w:r>
        <w:rPr>
          <w:rFonts w:asciiTheme="majorHAnsi" w:hAnsiTheme="majorHAnsi" w:cstheme="majorHAnsi"/>
        </w:rPr>
        <w:t>Wine&amp;Food</w:t>
      </w:r>
      <w:proofErr w:type="spellEnd"/>
      <w:r>
        <w:rPr>
          <w:rFonts w:asciiTheme="majorHAnsi" w:hAnsiTheme="majorHAnsi" w:cstheme="majorHAnsi"/>
        </w:rPr>
        <w:t xml:space="preserve"> </w:t>
      </w:r>
      <w:proofErr w:type="spellStart"/>
      <w:r>
        <w:rPr>
          <w:rFonts w:asciiTheme="majorHAnsi" w:hAnsiTheme="majorHAnsi" w:cstheme="majorHAnsi"/>
        </w:rPr>
        <w:t>pairing</w:t>
      </w:r>
      <w:proofErr w:type="spellEnd"/>
      <w:r>
        <w:rPr>
          <w:rFonts w:asciiTheme="majorHAnsi" w:hAnsiTheme="majorHAnsi" w:cstheme="majorHAnsi"/>
        </w:rPr>
        <w:t xml:space="preserve"> </w:t>
      </w:r>
      <w:r w:rsidRPr="00D139F8">
        <w:rPr>
          <w:rFonts w:asciiTheme="majorHAnsi" w:hAnsiTheme="majorHAnsi" w:cstheme="majorHAnsi"/>
        </w:rPr>
        <w:t xml:space="preserve">(545,4 mii </w:t>
      </w:r>
      <w:r>
        <w:rPr>
          <w:rFonts w:asciiTheme="majorHAnsi" w:hAnsiTheme="majorHAnsi" w:cstheme="majorHAnsi"/>
        </w:rPr>
        <w:t>MDL</w:t>
      </w:r>
      <w:r w:rsidRPr="00D139F8">
        <w:rPr>
          <w:rFonts w:asciiTheme="majorHAnsi" w:hAnsiTheme="majorHAnsi" w:cstheme="majorHAnsi"/>
        </w:rPr>
        <w:t xml:space="preserve">), Conferința </w:t>
      </w:r>
      <w:r>
        <w:rPr>
          <w:rFonts w:asciiTheme="majorHAnsi" w:hAnsiTheme="majorHAnsi" w:cstheme="majorHAnsi"/>
        </w:rPr>
        <w:t>Globală a Turismului Vitivinicol (</w:t>
      </w:r>
      <w:r w:rsidRPr="00D139F8">
        <w:rPr>
          <w:rFonts w:asciiTheme="majorHAnsi" w:hAnsiTheme="majorHAnsi" w:cstheme="majorHAnsi"/>
        </w:rPr>
        <w:t xml:space="preserve">450,8 mii </w:t>
      </w:r>
      <w:r>
        <w:rPr>
          <w:rFonts w:asciiTheme="majorHAnsi" w:hAnsiTheme="majorHAnsi" w:cstheme="majorHAnsi"/>
        </w:rPr>
        <w:t>MDL</w:t>
      </w:r>
      <w:r w:rsidRPr="00D139F8">
        <w:rPr>
          <w:rFonts w:asciiTheme="majorHAnsi" w:hAnsiTheme="majorHAnsi" w:cstheme="majorHAnsi"/>
        </w:rPr>
        <w:t>).</w:t>
      </w:r>
    </w:p>
  </w:footnote>
  <w:footnote w:id="37">
    <w:p w:rsidR="0065324C" w:rsidRPr="00D139F8" w:rsidRDefault="0065324C" w:rsidP="002B0C1F">
      <w:pPr>
        <w:pStyle w:val="a5"/>
        <w:rPr>
          <w:rFonts w:asciiTheme="majorHAnsi" w:hAnsiTheme="majorHAnsi" w:cstheme="majorHAnsi"/>
        </w:rPr>
      </w:pPr>
      <w:r w:rsidRPr="00D139F8">
        <w:rPr>
          <w:rStyle w:val="ab"/>
          <w:rFonts w:asciiTheme="majorHAnsi" w:hAnsiTheme="majorHAnsi" w:cstheme="majorHAnsi"/>
        </w:rPr>
        <w:footnoteRef/>
      </w:r>
      <w:r w:rsidRPr="00D139F8">
        <w:rPr>
          <w:rFonts w:asciiTheme="majorHAnsi" w:hAnsiTheme="majorHAnsi" w:cstheme="majorHAnsi"/>
        </w:rPr>
        <w:t xml:space="preserve"> 3 m</w:t>
      </w:r>
      <w:r>
        <w:rPr>
          <w:rFonts w:asciiTheme="majorHAnsi" w:hAnsiTheme="majorHAnsi" w:cstheme="majorHAnsi"/>
        </w:rPr>
        <w:t>ă</w:t>
      </w:r>
      <w:r w:rsidRPr="00D139F8">
        <w:rPr>
          <w:rFonts w:asciiTheme="majorHAnsi" w:hAnsiTheme="majorHAnsi" w:cstheme="majorHAnsi"/>
        </w:rPr>
        <w:t>suri aprobate de C</w:t>
      </w:r>
      <w:r>
        <w:rPr>
          <w:rFonts w:asciiTheme="majorHAnsi" w:hAnsiTheme="majorHAnsi" w:cstheme="majorHAnsi"/>
        </w:rPr>
        <w:t>C</w:t>
      </w:r>
      <w:r w:rsidRPr="00D139F8">
        <w:rPr>
          <w:rFonts w:asciiTheme="majorHAnsi" w:hAnsiTheme="majorHAnsi" w:cstheme="majorHAnsi"/>
        </w:rPr>
        <w:t xml:space="preserve"> fără identificarea surselor de acoperire: Ziua </w:t>
      </w:r>
      <w:r>
        <w:rPr>
          <w:rFonts w:asciiTheme="majorHAnsi" w:hAnsiTheme="majorHAnsi" w:cstheme="majorHAnsi"/>
        </w:rPr>
        <w:t>V</w:t>
      </w:r>
      <w:r w:rsidRPr="00D139F8">
        <w:rPr>
          <w:rFonts w:asciiTheme="majorHAnsi" w:hAnsiTheme="majorHAnsi" w:cstheme="majorHAnsi"/>
        </w:rPr>
        <w:t xml:space="preserve">inului Comrat – 0,4 mii </w:t>
      </w:r>
      <w:r>
        <w:rPr>
          <w:rFonts w:asciiTheme="majorHAnsi" w:hAnsiTheme="majorHAnsi" w:cstheme="majorHAnsi"/>
        </w:rPr>
        <w:t>MDL</w:t>
      </w:r>
      <w:r w:rsidRPr="00D139F8">
        <w:rPr>
          <w:rFonts w:asciiTheme="majorHAnsi" w:hAnsiTheme="majorHAnsi" w:cstheme="majorHAnsi"/>
        </w:rPr>
        <w:t xml:space="preserve">, </w:t>
      </w:r>
      <w:r w:rsidRPr="003A1EFC">
        <w:rPr>
          <w:rFonts w:asciiTheme="majorHAnsi" w:hAnsiTheme="majorHAnsi" w:cstheme="majorHAnsi"/>
        </w:rPr>
        <w:t>Festivalul „</w:t>
      </w:r>
      <w:proofErr w:type="spellStart"/>
      <w:r w:rsidRPr="003A1EFC">
        <w:rPr>
          <w:rFonts w:asciiTheme="majorHAnsi" w:hAnsiTheme="majorHAnsi" w:cstheme="majorHAnsi"/>
        </w:rPr>
        <w:t>Des</w:t>
      </w:r>
      <w:r>
        <w:rPr>
          <w:rFonts w:asciiTheme="majorHAnsi" w:hAnsiTheme="majorHAnsi" w:cstheme="majorHAnsi"/>
        </w:rPr>
        <w:t>cO</w:t>
      </w:r>
      <w:r w:rsidRPr="003A1EFC">
        <w:rPr>
          <w:rFonts w:asciiTheme="majorHAnsi" w:hAnsiTheme="majorHAnsi" w:cstheme="majorHAnsi"/>
        </w:rPr>
        <w:t>peră</w:t>
      </w:r>
      <w:proofErr w:type="spellEnd"/>
      <w:r w:rsidRPr="003A1EFC">
        <w:rPr>
          <w:rFonts w:asciiTheme="majorHAnsi" w:hAnsiTheme="majorHAnsi" w:cstheme="majorHAnsi"/>
        </w:rPr>
        <w:t>”</w:t>
      </w:r>
      <w:r w:rsidRPr="00D139F8">
        <w:rPr>
          <w:rFonts w:asciiTheme="majorHAnsi" w:hAnsiTheme="majorHAnsi" w:cstheme="majorHAnsi"/>
        </w:rPr>
        <w:t xml:space="preserve"> – 0,3 </w:t>
      </w:r>
      <w:proofErr w:type="spellStart"/>
      <w:r w:rsidRPr="00D139F8">
        <w:rPr>
          <w:rFonts w:asciiTheme="majorHAnsi" w:hAnsiTheme="majorHAnsi" w:cstheme="majorHAnsi"/>
        </w:rPr>
        <w:t>mil.</w:t>
      </w:r>
      <w:r>
        <w:rPr>
          <w:rFonts w:asciiTheme="majorHAnsi" w:hAnsiTheme="majorHAnsi" w:cstheme="majorHAnsi"/>
        </w:rPr>
        <w:t>MDL</w:t>
      </w:r>
      <w:proofErr w:type="spellEnd"/>
      <w:r w:rsidRPr="00D139F8">
        <w:rPr>
          <w:rFonts w:asciiTheme="majorHAnsi" w:hAnsiTheme="majorHAnsi" w:cstheme="majorHAnsi"/>
        </w:rPr>
        <w:t xml:space="preserve">, Ziua agricultorului – 0,3 </w:t>
      </w:r>
      <w:proofErr w:type="spellStart"/>
      <w:r w:rsidRPr="00D139F8">
        <w:rPr>
          <w:rFonts w:asciiTheme="majorHAnsi" w:hAnsiTheme="majorHAnsi" w:cstheme="majorHAnsi"/>
        </w:rPr>
        <w:t>mil.</w:t>
      </w:r>
      <w:r>
        <w:rPr>
          <w:rFonts w:asciiTheme="majorHAnsi" w:hAnsiTheme="majorHAnsi" w:cstheme="majorHAnsi"/>
        </w:rPr>
        <w:t>MDL</w:t>
      </w:r>
      <w:proofErr w:type="spellEnd"/>
      <w:r w:rsidRPr="00D139F8">
        <w:rPr>
          <w:rFonts w:asciiTheme="majorHAnsi" w:hAnsiTheme="majorHAnsi" w:cstheme="majorHAnsi"/>
        </w:rPr>
        <w:t>.</w:t>
      </w:r>
    </w:p>
  </w:footnote>
  <w:footnote w:id="38">
    <w:p w:rsidR="0065324C" w:rsidRPr="007E36BF" w:rsidRDefault="0065324C" w:rsidP="002B0C1F">
      <w:pPr>
        <w:pStyle w:val="a5"/>
        <w:rPr>
          <w:rFonts w:asciiTheme="majorHAnsi" w:hAnsiTheme="majorHAnsi" w:cstheme="majorHAnsi"/>
        </w:rPr>
      </w:pPr>
      <w:r w:rsidRPr="00D139F8">
        <w:rPr>
          <w:rStyle w:val="ab"/>
          <w:rFonts w:asciiTheme="majorHAnsi" w:hAnsiTheme="majorHAnsi" w:cstheme="majorHAnsi"/>
        </w:rPr>
        <w:footnoteRef/>
      </w:r>
      <w:r w:rsidRPr="00D139F8">
        <w:rPr>
          <w:rFonts w:asciiTheme="majorHAnsi" w:hAnsiTheme="majorHAnsi" w:cstheme="majorHAnsi"/>
        </w:rPr>
        <w:t xml:space="preserve"> 2 m</w:t>
      </w:r>
      <w:r>
        <w:rPr>
          <w:rFonts w:asciiTheme="majorHAnsi" w:hAnsiTheme="majorHAnsi" w:cstheme="majorHAnsi"/>
        </w:rPr>
        <w:t>ă</w:t>
      </w:r>
      <w:r w:rsidRPr="00D139F8">
        <w:rPr>
          <w:rFonts w:asciiTheme="majorHAnsi" w:hAnsiTheme="majorHAnsi" w:cstheme="majorHAnsi"/>
        </w:rPr>
        <w:t xml:space="preserve">suri suplimentare, din care </w:t>
      </w:r>
      <w:r>
        <w:rPr>
          <w:rFonts w:asciiTheme="majorHAnsi" w:hAnsiTheme="majorHAnsi" w:cstheme="majorHAnsi"/>
        </w:rPr>
        <w:t>una</w:t>
      </w:r>
      <w:r w:rsidRPr="00D139F8">
        <w:rPr>
          <w:rFonts w:asciiTheme="majorHAnsi" w:hAnsiTheme="majorHAnsi" w:cstheme="majorHAnsi"/>
        </w:rPr>
        <w:t xml:space="preserve"> aprobată de C</w:t>
      </w:r>
      <w:r>
        <w:rPr>
          <w:rFonts w:asciiTheme="majorHAnsi" w:hAnsiTheme="majorHAnsi" w:cstheme="majorHAnsi"/>
        </w:rPr>
        <w:t>C</w:t>
      </w:r>
      <w:r w:rsidRPr="00D139F8">
        <w:rPr>
          <w:rFonts w:asciiTheme="majorHAnsi" w:hAnsiTheme="majorHAnsi" w:cstheme="majorHAnsi"/>
        </w:rPr>
        <w:t xml:space="preserve"> fără surse de acoperire (</w:t>
      </w:r>
      <w:proofErr w:type="spellStart"/>
      <w:r w:rsidRPr="00D139F8">
        <w:rPr>
          <w:rFonts w:asciiTheme="majorHAnsi" w:hAnsiTheme="majorHAnsi" w:cstheme="majorHAnsi"/>
        </w:rPr>
        <w:t>Gaut</w:t>
      </w:r>
      <w:r>
        <w:rPr>
          <w:rFonts w:asciiTheme="majorHAnsi" w:hAnsiTheme="majorHAnsi" w:cstheme="majorHAnsi"/>
        </w:rPr>
        <w:t>&amp;</w:t>
      </w:r>
      <w:r w:rsidRPr="00D139F8">
        <w:rPr>
          <w:rFonts w:asciiTheme="majorHAnsi" w:hAnsiTheme="majorHAnsi" w:cstheme="majorHAnsi"/>
        </w:rPr>
        <w:t>Millau</w:t>
      </w:r>
      <w:proofErr w:type="spellEnd"/>
      <w:r w:rsidRPr="00D139F8">
        <w:rPr>
          <w:rFonts w:asciiTheme="majorHAnsi" w:hAnsiTheme="majorHAnsi" w:cstheme="majorHAnsi"/>
        </w:rPr>
        <w:t xml:space="preserve"> – 0,7 </w:t>
      </w:r>
      <w:proofErr w:type="spellStart"/>
      <w:r w:rsidRPr="00D139F8">
        <w:rPr>
          <w:rFonts w:asciiTheme="majorHAnsi" w:hAnsiTheme="majorHAnsi" w:cstheme="majorHAnsi"/>
        </w:rPr>
        <w:t>mil.</w:t>
      </w:r>
      <w:r>
        <w:rPr>
          <w:rFonts w:asciiTheme="majorHAnsi" w:hAnsiTheme="majorHAnsi" w:cstheme="majorHAnsi"/>
        </w:rPr>
        <w:t>MDL</w:t>
      </w:r>
      <w:proofErr w:type="spellEnd"/>
      <w:r w:rsidRPr="00D139F8">
        <w:rPr>
          <w:rFonts w:asciiTheme="majorHAnsi" w:hAnsiTheme="majorHAnsi" w:cstheme="majorHAnsi"/>
        </w:rPr>
        <w:t>) și o măsură tra</w:t>
      </w:r>
      <w:r>
        <w:rPr>
          <w:rFonts w:asciiTheme="majorHAnsi" w:hAnsiTheme="majorHAnsi" w:cstheme="majorHAnsi"/>
        </w:rPr>
        <w:t>nzitorie din 2017 (</w:t>
      </w:r>
      <w:proofErr w:type="spellStart"/>
      <w:r>
        <w:rPr>
          <w:rFonts w:asciiTheme="majorHAnsi" w:hAnsiTheme="majorHAnsi" w:cstheme="majorHAnsi"/>
        </w:rPr>
        <w:t>Wine&amp;Food</w:t>
      </w:r>
      <w:proofErr w:type="spellEnd"/>
      <w:r>
        <w:rPr>
          <w:rFonts w:asciiTheme="majorHAnsi" w:hAnsiTheme="majorHAnsi" w:cstheme="majorHAnsi"/>
        </w:rPr>
        <w:t xml:space="preserve"> </w:t>
      </w:r>
      <w:proofErr w:type="spellStart"/>
      <w:r>
        <w:rPr>
          <w:rFonts w:asciiTheme="majorHAnsi" w:hAnsiTheme="majorHAnsi" w:cstheme="majorHAnsi"/>
        </w:rPr>
        <w:t>pai</w:t>
      </w:r>
      <w:r w:rsidRPr="00D139F8">
        <w:rPr>
          <w:rFonts w:asciiTheme="majorHAnsi" w:hAnsiTheme="majorHAnsi" w:cstheme="majorHAnsi"/>
        </w:rPr>
        <w:t>ring</w:t>
      </w:r>
      <w:proofErr w:type="spellEnd"/>
      <w:r w:rsidRPr="00D139F8">
        <w:rPr>
          <w:rFonts w:asciiTheme="majorHAnsi" w:hAnsiTheme="majorHAnsi" w:cstheme="majorHAnsi"/>
        </w:rPr>
        <w:t xml:space="preserve"> – 0,5 </w:t>
      </w:r>
      <w:proofErr w:type="spellStart"/>
      <w:r w:rsidRPr="00D139F8">
        <w:rPr>
          <w:rFonts w:asciiTheme="majorHAnsi" w:hAnsiTheme="majorHAnsi" w:cstheme="majorHAnsi"/>
        </w:rPr>
        <w:t>mil.</w:t>
      </w:r>
      <w:r>
        <w:rPr>
          <w:rFonts w:asciiTheme="majorHAnsi" w:hAnsiTheme="majorHAnsi" w:cstheme="majorHAnsi"/>
        </w:rPr>
        <w:t>MDL</w:t>
      </w:r>
      <w:proofErr w:type="spellEnd"/>
      <w:r w:rsidRPr="00D139F8">
        <w:rPr>
          <w:rFonts w:asciiTheme="majorHAnsi" w:hAnsiTheme="majorHAnsi" w:cstheme="majorHAnsi"/>
        </w:rPr>
        <w:t>) care nu a fost aprobată de C</w:t>
      </w:r>
      <w:r>
        <w:rPr>
          <w:rFonts w:asciiTheme="majorHAnsi" w:hAnsiTheme="majorHAnsi" w:cstheme="majorHAnsi"/>
        </w:rPr>
        <w:t>C</w:t>
      </w:r>
      <w:r w:rsidRPr="00D139F8">
        <w:rPr>
          <w:rFonts w:asciiTheme="majorHAnsi" w:hAnsiTheme="majorHAnsi" w:cstheme="majorHAnsi"/>
        </w:rPr>
        <w:t xml:space="preserve"> și nu au fost identificate sursele de acoperire.</w:t>
      </w:r>
    </w:p>
  </w:footnote>
  <w:footnote w:id="39">
    <w:p w:rsidR="0065324C" w:rsidRPr="007E36BF" w:rsidRDefault="0065324C" w:rsidP="002B0C1F">
      <w:pPr>
        <w:pStyle w:val="a5"/>
        <w:rPr>
          <w:rFonts w:asciiTheme="majorHAnsi" w:hAnsiTheme="majorHAnsi" w:cstheme="majorHAnsi"/>
        </w:rPr>
      </w:pPr>
      <w:r w:rsidRPr="007E36BF">
        <w:rPr>
          <w:rStyle w:val="ab"/>
          <w:rFonts w:asciiTheme="majorHAnsi" w:hAnsiTheme="majorHAnsi" w:cstheme="majorHAnsi"/>
        </w:rPr>
        <w:footnoteRef/>
      </w:r>
      <w:r w:rsidRPr="007E36BF">
        <w:rPr>
          <w:rFonts w:asciiTheme="majorHAnsi" w:hAnsiTheme="majorHAnsi" w:cstheme="majorHAnsi"/>
        </w:rPr>
        <w:t xml:space="preserve"> 2 m</w:t>
      </w:r>
      <w:r>
        <w:rPr>
          <w:rFonts w:asciiTheme="majorHAnsi" w:hAnsiTheme="majorHAnsi" w:cstheme="majorHAnsi"/>
        </w:rPr>
        <w:t>ă</w:t>
      </w:r>
      <w:r w:rsidRPr="007E36BF">
        <w:rPr>
          <w:rFonts w:asciiTheme="majorHAnsi" w:hAnsiTheme="majorHAnsi" w:cstheme="majorHAnsi"/>
        </w:rPr>
        <w:t>suri suplimentare care nu au fost aprobate de C</w:t>
      </w:r>
      <w:r>
        <w:rPr>
          <w:rFonts w:asciiTheme="majorHAnsi" w:hAnsiTheme="majorHAnsi" w:cstheme="majorHAnsi"/>
        </w:rPr>
        <w:t>C (</w:t>
      </w:r>
      <w:proofErr w:type="spellStart"/>
      <w:r>
        <w:rPr>
          <w:rFonts w:asciiTheme="majorHAnsi" w:hAnsiTheme="majorHAnsi" w:cstheme="majorHAnsi"/>
        </w:rPr>
        <w:t>Road</w:t>
      </w:r>
      <w:proofErr w:type="spellEnd"/>
      <w:r>
        <w:rPr>
          <w:rFonts w:asciiTheme="majorHAnsi" w:hAnsiTheme="majorHAnsi" w:cstheme="majorHAnsi"/>
        </w:rPr>
        <w:t xml:space="preserve"> sh</w:t>
      </w:r>
      <w:r w:rsidRPr="007E36BF">
        <w:rPr>
          <w:rFonts w:asciiTheme="majorHAnsi" w:hAnsiTheme="majorHAnsi" w:cstheme="majorHAnsi"/>
        </w:rPr>
        <w:t>ow (</w:t>
      </w:r>
      <w:r>
        <w:rPr>
          <w:rFonts w:asciiTheme="majorHAnsi" w:hAnsiTheme="majorHAnsi" w:cstheme="majorHAnsi"/>
        </w:rPr>
        <w:t>Ță</w:t>
      </w:r>
      <w:r w:rsidRPr="007E36BF">
        <w:rPr>
          <w:rFonts w:asciiTheme="majorHAnsi" w:hAnsiTheme="majorHAnsi" w:cstheme="majorHAnsi"/>
        </w:rPr>
        <w:t>rile Baltice</w:t>
      </w:r>
      <w:r>
        <w:rPr>
          <w:rFonts w:asciiTheme="majorHAnsi" w:hAnsiTheme="majorHAnsi" w:cstheme="majorHAnsi"/>
        </w:rPr>
        <w:t>)</w:t>
      </w:r>
      <w:r w:rsidRPr="007E36BF">
        <w:rPr>
          <w:rFonts w:asciiTheme="majorHAnsi" w:hAnsiTheme="majorHAnsi" w:cstheme="majorHAnsi"/>
        </w:rPr>
        <w:t xml:space="preserve"> – 0,07 </w:t>
      </w:r>
      <w:proofErr w:type="spellStart"/>
      <w:r w:rsidRPr="007E36BF">
        <w:rPr>
          <w:rFonts w:asciiTheme="majorHAnsi" w:hAnsiTheme="majorHAnsi" w:cstheme="majorHAnsi"/>
        </w:rPr>
        <w:t>mil.</w:t>
      </w:r>
      <w:r>
        <w:rPr>
          <w:rFonts w:asciiTheme="majorHAnsi" w:hAnsiTheme="majorHAnsi" w:cstheme="majorHAnsi"/>
        </w:rPr>
        <w:t>MDL</w:t>
      </w:r>
      <w:proofErr w:type="spellEnd"/>
      <w:r w:rsidRPr="007E36BF">
        <w:rPr>
          <w:rFonts w:asciiTheme="majorHAnsi" w:hAnsiTheme="majorHAnsi" w:cstheme="majorHAnsi"/>
        </w:rPr>
        <w:t xml:space="preserve">, </w:t>
      </w:r>
      <w:proofErr w:type="spellStart"/>
      <w:r w:rsidRPr="007E36BF">
        <w:rPr>
          <w:rFonts w:asciiTheme="majorHAnsi" w:hAnsiTheme="majorHAnsi" w:cstheme="majorHAnsi"/>
        </w:rPr>
        <w:t>Deajon</w:t>
      </w:r>
      <w:proofErr w:type="spellEnd"/>
      <w:r w:rsidRPr="007E36BF">
        <w:rPr>
          <w:rFonts w:asciiTheme="majorHAnsi" w:hAnsiTheme="majorHAnsi" w:cstheme="majorHAnsi"/>
        </w:rPr>
        <w:t xml:space="preserve"> </w:t>
      </w:r>
      <w:proofErr w:type="spellStart"/>
      <w:r w:rsidRPr="007E36BF">
        <w:rPr>
          <w:rFonts w:asciiTheme="majorHAnsi" w:hAnsiTheme="majorHAnsi" w:cstheme="majorHAnsi"/>
        </w:rPr>
        <w:t>Inrentational</w:t>
      </w:r>
      <w:proofErr w:type="spellEnd"/>
      <w:r w:rsidRPr="007E36BF">
        <w:rPr>
          <w:rFonts w:asciiTheme="majorHAnsi" w:hAnsiTheme="majorHAnsi" w:cstheme="majorHAnsi"/>
        </w:rPr>
        <w:t xml:space="preserve"> </w:t>
      </w:r>
      <w:proofErr w:type="spellStart"/>
      <w:r w:rsidRPr="007E36BF">
        <w:rPr>
          <w:rFonts w:asciiTheme="majorHAnsi" w:hAnsiTheme="majorHAnsi" w:cstheme="majorHAnsi"/>
        </w:rPr>
        <w:t>Wine</w:t>
      </w:r>
      <w:proofErr w:type="spellEnd"/>
      <w:r w:rsidRPr="007E36BF">
        <w:rPr>
          <w:rFonts w:asciiTheme="majorHAnsi" w:hAnsiTheme="majorHAnsi" w:cstheme="majorHAnsi"/>
        </w:rPr>
        <w:t xml:space="preserve"> Fai</w:t>
      </w:r>
      <w:r>
        <w:rPr>
          <w:rFonts w:asciiTheme="majorHAnsi" w:hAnsiTheme="majorHAnsi" w:cstheme="majorHAnsi"/>
        </w:rPr>
        <w:t xml:space="preserve">r – 0,05 </w:t>
      </w:r>
      <w:proofErr w:type="spellStart"/>
      <w:r>
        <w:rPr>
          <w:rFonts w:asciiTheme="majorHAnsi" w:hAnsiTheme="majorHAnsi" w:cstheme="majorHAnsi"/>
        </w:rPr>
        <w:t>mil.MDL</w:t>
      </w:r>
      <w:proofErr w:type="spellEnd"/>
      <w:r w:rsidRPr="007E36BF">
        <w:rPr>
          <w:rFonts w:asciiTheme="majorHAnsi" w:hAnsiTheme="majorHAnsi" w:cstheme="majorHAnsi"/>
        </w:rPr>
        <w:t>) fără identificarea surselor de acoperire.</w:t>
      </w:r>
    </w:p>
  </w:footnote>
  <w:footnote w:id="40">
    <w:p w:rsidR="0065324C" w:rsidRPr="007E36BF" w:rsidRDefault="0065324C" w:rsidP="002B0C1F">
      <w:pPr>
        <w:pStyle w:val="a5"/>
        <w:rPr>
          <w:rFonts w:asciiTheme="majorHAnsi" w:hAnsiTheme="majorHAnsi" w:cstheme="majorHAnsi"/>
        </w:rPr>
      </w:pPr>
      <w:r w:rsidRPr="007E36BF">
        <w:rPr>
          <w:rStyle w:val="ab"/>
          <w:rFonts w:asciiTheme="majorHAnsi" w:hAnsiTheme="majorHAnsi" w:cstheme="majorHAnsi"/>
        </w:rPr>
        <w:footnoteRef/>
      </w:r>
      <w:r w:rsidRPr="007E36BF">
        <w:rPr>
          <w:rFonts w:asciiTheme="majorHAnsi" w:hAnsiTheme="majorHAnsi" w:cstheme="majorHAnsi"/>
        </w:rPr>
        <w:t xml:space="preserve"> Conferința </w:t>
      </w:r>
      <w:r>
        <w:rPr>
          <w:rFonts w:asciiTheme="majorHAnsi" w:hAnsiTheme="majorHAnsi" w:cstheme="majorHAnsi"/>
        </w:rPr>
        <w:t xml:space="preserve">Globală a Turismului Vitivinicol – 0,5 </w:t>
      </w:r>
      <w:proofErr w:type="spellStart"/>
      <w:r>
        <w:rPr>
          <w:rFonts w:asciiTheme="majorHAnsi" w:hAnsiTheme="majorHAnsi" w:cstheme="majorHAnsi"/>
        </w:rPr>
        <w:t>mil.MDL</w:t>
      </w:r>
      <w:proofErr w:type="spellEnd"/>
      <w:r>
        <w:rPr>
          <w:rFonts w:asciiTheme="majorHAnsi" w:hAnsiTheme="majorHAnsi" w:cstheme="majorHAnsi"/>
        </w:rPr>
        <w:t>,</w:t>
      </w:r>
      <w:r w:rsidRPr="007E36BF">
        <w:rPr>
          <w:rFonts w:asciiTheme="majorHAnsi" w:hAnsiTheme="majorHAnsi" w:cstheme="majorHAnsi"/>
        </w:rPr>
        <w:t xml:space="preserve"> și Catalog</w:t>
      </w:r>
      <w:r>
        <w:rPr>
          <w:rFonts w:asciiTheme="majorHAnsi" w:hAnsiTheme="majorHAnsi" w:cstheme="majorHAnsi"/>
        </w:rPr>
        <w:t>ul</w:t>
      </w:r>
      <w:r w:rsidRPr="007E36BF">
        <w:rPr>
          <w:rFonts w:asciiTheme="majorHAnsi" w:hAnsiTheme="majorHAnsi" w:cstheme="majorHAnsi"/>
        </w:rPr>
        <w:t xml:space="preserve"> </w:t>
      </w:r>
      <w:proofErr w:type="spellStart"/>
      <w:r w:rsidRPr="007E36BF">
        <w:rPr>
          <w:rFonts w:asciiTheme="majorHAnsi" w:hAnsiTheme="majorHAnsi" w:cstheme="majorHAnsi"/>
        </w:rPr>
        <w:t>Oenoturism</w:t>
      </w:r>
      <w:proofErr w:type="spellEnd"/>
      <w:r w:rsidRPr="007E36BF">
        <w:rPr>
          <w:rFonts w:asciiTheme="majorHAnsi" w:hAnsiTheme="majorHAnsi" w:cstheme="majorHAnsi"/>
        </w:rPr>
        <w:t xml:space="preserve"> – 0,03 </w:t>
      </w:r>
      <w:proofErr w:type="spellStart"/>
      <w:r w:rsidRPr="007E36BF">
        <w:rPr>
          <w:rFonts w:asciiTheme="majorHAnsi" w:hAnsiTheme="majorHAnsi" w:cstheme="majorHAnsi"/>
        </w:rPr>
        <w:t>mil.</w:t>
      </w:r>
      <w:r>
        <w:rPr>
          <w:rFonts w:asciiTheme="majorHAnsi" w:hAnsiTheme="majorHAnsi" w:cstheme="majorHAnsi"/>
        </w:rPr>
        <w:t>MDL</w:t>
      </w:r>
      <w:proofErr w:type="spellEnd"/>
      <w:r>
        <w:rPr>
          <w:rFonts w:asciiTheme="majorHAnsi" w:hAnsiTheme="majorHAnsi" w:cstheme="majorHAnsi"/>
        </w:rPr>
        <w:t>,</w:t>
      </w:r>
      <w:r w:rsidRPr="007E36BF">
        <w:rPr>
          <w:rFonts w:asciiTheme="majorHAnsi" w:hAnsiTheme="majorHAnsi" w:cstheme="majorHAnsi"/>
        </w:rPr>
        <w:t xml:space="preserve"> au fost realizate fără plan.</w:t>
      </w:r>
    </w:p>
  </w:footnote>
  <w:footnote w:id="41">
    <w:p w:rsidR="0065324C" w:rsidRPr="00B91062" w:rsidRDefault="0065324C" w:rsidP="002B0C1F">
      <w:pPr>
        <w:pStyle w:val="a5"/>
        <w:rPr>
          <w:rFonts w:asciiTheme="majorHAnsi" w:hAnsiTheme="majorHAnsi" w:cstheme="majorHAnsi"/>
        </w:rPr>
      </w:pPr>
      <w:r w:rsidRPr="00B91062">
        <w:rPr>
          <w:rStyle w:val="ab"/>
          <w:rFonts w:asciiTheme="majorHAnsi" w:eastAsiaTheme="majorEastAsia" w:hAnsiTheme="majorHAnsi" w:cstheme="majorHAnsi"/>
        </w:rPr>
        <w:footnoteRef/>
      </w:r>
      <w:r w:rsidRPr="00B91062">
        <w:rPr>
          <w:rFonts w:asciiTheme="majorHAnsi" w:hAnsiTheme="majorHAnsi" w:cstheme="majorHAnsi"/>
        </w:rPr>
        <w:t xml:space="preserve"> Pct.19 din HG nr.725 din 16.09.2013.</w:t>
      </w:r>
    </w:p>
  </w:footnote>
  <w:footnote w:id="42">
    <w:p w:rsidR="0065324C" w:rsidRPr="00B91062" w:rsidRDefault="0065324C" w:rsidP="002B0C1F">
      <w:pPr>
        <w:pStyle w:val="a5"/>
        <w:rPr>
          <w:rFonts w:asciiTheme="majorHAnsi" w:hAnsiTheme="majorHAnsi" w:cstheme="majorHAnsi"/>
        </w:rPr>
      </w:pPr>
      <w:r w:rsidRPr="00B91062">
        <w:rPr>
          <w:rStyle w:val="ab"/>
          <w:rFonts w:asciiTheme="majorHAnsi" w:hAnsiTheme="majorHAnsi" w:cstheme="majorHAnsi"/>
        </w:rPr>
        <w:footnoteRef/>
      </w:r>
      <w:r w:rsidRPr="00B91062">
        <w:rPr>
          <w:rFonts w:asciiTheme="majorHAnsi" w:hAnsiTheme="majorHAnsi" w:cstheme="majorHAnsi"/>
        </w:rPr>
        <w:t xml:space="preserve"> China </w:t>
      </w:r>
      <w:proofErr w:type="spellStart"/>
      <w:r w:rsidRPr="00B91062">
        <w:rPr>
          <w:rFonts w:asciiTheme="majorHAnsi" w:hAnsiTheme="majorHAnsi" w:cstheme="majorHAnsi"/>
        </w:rPr>
        <w:t>Food</w:t>
      </w:r>
      <w:proofErr w:type="spellEnd"/>
      <w:r w:rsidRPr="00B91062">
        <w:rPr>
          <w:rFonts w:asciiTheme="majorHAnsi" w:hAnsiTheme="majorHAnsi" w:cstheme="majorHAnsi"/>
        </w:rPr>
        <w:t xml:space="preserve"> </w:t>
      </w:r>
      <w:r>
        <w:rPr>
          <w:rFonts w:asciiTheme="majorHAnsi" w:hAnsiTheme="majorHAnsi" w:cstheme="majorHAnsi"/>
        </w:rPr>
        <w:t>&amp;</w:t>
      </w:r>
      <w:r w:rsidRPr="00B91062">
        <w:rPr>
          <w:rFonts w:asciiTheme="majorHAnsi" w:hAnsiTheme="majorHAnsi" w:cstheme="majorHAnsi"/>
        </w:rPr>
        <w:t xml:space="preserve"> </w:t>
      </w:r>
      <w:proofErr w:type="spellStart"/>
      <w:r w:rsidRPr="00B91062">
        <w:rPr>
          <w:rFonts w:asciiTheme="majorHAnsi" w:hAnsiTheme="majorHAnsi" w:cstheme="majorHAnsi"/>
        </w:rPr>
        <w:t>Drink</w:t>
      </w:r>
      <w:proofErr w:type="spellEnd"/>
      <w:r w:rsidRPr="00B91062">
        <w:rPr>
          <w:rFonts w:asciiTheme="majorHAnsi" w:hAnsiTheme="majorHAnsi" w:cstheme="majorHAnsi"/>
        </w:rPr>
        <w:t xml:space="preserve"> Fair, </w:t>
      </w:r>
      <w:proofErr w:type="spellStart"/>
      <w:r w:rsidRPr="00B91062">
        <w:rPr>
          <w:rFonts w:asciiTheme="majorHAnsi" w:hAnsiTheme="majorHAnsi" w:cstheme="majorHAnsi"/>
        </w:rPr>
        <w:t>Prowein</w:t>
      </w:r>
      <w:proofErr w:type="spellEnd"/>
      <w:r w:rsidRPr="00B91062">
        <w:rPr>
          <w:rFonts w:asciiTheme="majorHAnsi" w:hAnsiTheme="majorHAnsi" w:cstheme="majorHAnsi"/>
        </w:rPr>
        <w:t xml:space="preserve"> 2018, </w:t>
      </w:r>
      <w:proofErr w:type="spellStart"/>
      <w:r w:rsidRPr="00B91062">
        <w:rPr>
          <w:rFonts w:asciiTheme="majorHAnsi" w:hAnsiTheme="majorHAnsi" w:cstheme="majorHAnsi"/>
        </w:rPr>
        <w:t>Vinexpo</w:t>
      </w:r>
      <w:proofErr w:type="spellEnd"/>
      <w:r w:rsidRPr="00B91062">
        <w:rPr>
          <w:rFonts w:asciiTheme="majorHAnsi" w:hAnsiTheme="majorHAnsi" w:cstheme="majorHAnsi"/>
        </w:rPr>
        <w:t xml:space="preserve"> </w:t>
      </w:r>
      <w:proofErr w:type="spellStart"/>
      <w:r w:rsidRPr="00B91062">
        <w:rPr>
          <w:rFonts w:asciiTheme="majorHAnsi" w:hAnsiTheme="majorHAnsi" w:cstheme="majorHAnsi"/>
        </w:rPr>
        <w:t>şi</w:t>
      </w:r>
      <w:proofErr w:type="spellEnd"/>
      <w:r w:rsidRPr="00B91062">
        <w:rPr>
          <w:rFonts w:asciiTheme="majorHAnsi" w:hAnsiTheme="majorHAnsi" w:cstheme="majorHAnsi"/>
        </w:rPr>
        <w:t xml:space="preserve"> </w:t>
      </w:r>
      <w:proofErr w:type="spellStart"/>
      <w:r w:rsidRPr="00B91062">
        <w:rPr>
          <w:rFonts w:asciiTheme="majorHAnsi" w:hAnsiTheme="majorHAnsi" w:cstheme="majorHAnsi"/>
        </w:rPr>
        <w:t>Arvinis</w:t>
      </w:r>
      <w:proofErr w:type="spellEnd"/>
      <w:r w:rsidRPr="00B91062">
        <w:rPr>
          <w:rFonts w:asciiTheme="majorHAnsi" w:hAnsiTheme="majorHAnsi" w:cstheme="majorHAnsi"/>
        </w:rPr>
        <w:t>.</w:t>
      </w:r>
    </w:p>
  </w:footnote>
  <w:footnote w:id="43">
    <w:p w:rsidR="0065324C" w:rsidRPr="00047091" w:rsidRDefault="0065324C" w:rsidP="002B0C1F">
      <w:pPr>
        <w:pStyle w:val="a5"/>
      </w:pPr>
      <w:r w:rsidRPr="00B91062">
        <w:rPr>
          <w:rStyle w:val="ab"/>
          <w:rFonts w:asciiTheme="majorHAnsi" w:hAnsiTheme="majorHAnsi" w:cstheme="majorHAnsi"/>
        </w:rPr>
        <w:footnoteRef/>
      </w:r>
      <w:r w:rsidRPr="00B91062">
        <w:rPr>
          <w:rFonts w:asciiTheme="majorHAnsi" w:hAnsiTheme="majorHAnsi" w:cstheme="majorHAnsi"/>
        </w:rPr>
        <w:t xml:space="preserve"> Art.32</w:t>
      </w:r>
      <w:r w:rsidRPr="00B91062">
        <w:rPr>
          <w:rFonts w:asciiTheme="majorHAnsi" w:hAnsiTheme="majorHAnsi" w:cstheme="majorHAnsi"/>
          <w:vertAlign w:val="superscript"/>
        </w:rPr>
        <w:t>2</w:t>
      </w:r>
      <w:r w:rsidRPr="00B91062">
        <w:rPr>
          <w:rFonts w:asciiTheme="majorHAnsi" w:hAnsiTheme="majorHAnsi" w:cstheme="majorHAnsi"/>
        </w:rPr>
        <w:t xml:space="preserve"> alin.(3) din Legea viei şi vinului și pct.12 din Statutul ONVV</w:t>
      </w:r>
      <w:r>
        <w:rPr>
          <w:rFonts w:asciiTheme="majorHAnsi" w:hAnsiTheme="majorHAnsi" w:cstheme="majorHAnsi"/>
        </w:rPr>
        <w:t>,</w:t>
      </w:r>
      <w:r w:rsidRPr="00B91062">
        <w:rPr>
          <w:rFonts w:asciiTheme="majorHAnsi" w:hAnsiTheme="majorHAnsi" w:cstheme="majorHAnsi"/>
        </w:rPr>
        <w:t xml:space="preserve"> aprobat prin HG nr.725 din 16.09.2013.</w:t>
      </w:r>
    </w:p>
  </w:footnote>
  <w:footnote w:id="44">
    <w:p w:rsidR="0065324C" w:rsidRPr="00DC4C8F" w:rsidRDefault="0065324C" w:rsidP="002B0C1F">
      <w:pPr>
        <w:pStyle w:val="a5"/>
        <w:rPr>
          <w:rFonts w:asciiTheme="majorHAnsi" w:hAnsiTheme="majorHAnsi" w:cstheme="majorHAnsi"/>
        </w:rPr>
      </w:pPr>
      <w:r w:rsidRPr="00DC4C8F">
        <w:rPr>
          <w:rStyle w:val="ab"/>
          <w:rFonts w:asciiTheme="majorHAnsi" w:hAnsiTheme="majorHAnsi" w:cstheme="majorHAnsi"/>
        </w:rPr>
        <w:footnoteRef/>
      </w:r>
      <w:r w:rsidRPr="00DC4C8F">
        <w:rPr>
          <w:rFonts w:asciiTheme="majorHAnsi" w:hAnsiTheme="majorHAnsi" w:cstheme="majorHAnsi"/>
        </w:rPr>
        <w:t xml:space="preserve"> Statutul ONVV aprobat prin HG nr.725 din 16.09.2013.</w:t>
      </w:r>
    </w:p>
  </w:footnote>
  <w:footnote w:id="45">
    <w:p w:rsidR="0065324C" w:rsidRPr="00DC4C8F" w:rsidRDefault="0065324C" w:rsidP="002B0C1F">
      <w:pPr>
        <w:pStyle w:val="a5"/>
        <w:rPr>
          <w:rFonts w:asciiTheme="majorHAnsi" w:hAnsiTheme="majorHAnsi" w:cstheme="majorHAnsi"/>
        </w:rPr>
      </w:pPr>
      <w:r w:rsidRPr="00DC4C8F">
        <w:rPr>
          <w:rStyle w:val="ab"/>
          <w:rFonts w:asciiTheme="majorHAnsi" w:hAnsiTheme="majorHAnsi" w:cstheme="majorHAnsi"/>
        </w:rPr>
        <w:footnoteRef/>
      </w:r>
      <w:r w:rsidRPr="00DC4C8F">
        <w:rPr>
          <w:rFonts w:asciiTheme="majorHAnsi" w:hAnsiTheme="majorHAnsi" w:cstheme="majorHAnsi"/>
        </w:rPr>
        <w:t xml:space="preserve"> Procesele</w:t>
      </w:r>
      <w:r>
        <w:rPr>
          <w:rFonts w:asciiTheme="majorHAnsi" w:hAnsiTheme="majorHAnsi" w:cstheme="majorHAnsi"/>
        </w:rPr>
        <w:t>-</w:t>
      </w:r>
      <w:r w:rsidRPr="00DC4C8F">
        <w:rPr>
          <w:rFonts w:asciiTheme="majorHAnsi" w:hAnsiTheme="majorHAnsi" w:cstheme="majorHAnsi"/>
        </w:rPr>
        <w:t>verbale nr.01/CC din 29.01.2018 și nr.01/CC din 24.01.2017.</w:t>
      </w:r>
    </w:p>
  </w:footnote>
  <w:footnote w:id="46">
    <w:p w:rsidR="0065324C" w:rsidRPr="00DC4C8F" w:rsidRDefault="0065324C" w:rsidP="002B0C1F">
      <w:pPr>
        <w:pStyle w:val="a5"/>
        <w:rPr>
          <w:rFonts w:asciiTheme="majorHAnsi" w:hAnsiTheme="majorHAnsi" w:cstheme="majorHAnsi"/>
        </w:rPr>
      </w:pPr>
      <w:r w:rsidRPr="00DC4C8F">
        <w:rPr>
          <w:rStyle w:val="ab"/>
          <w:rFonts w:asciiTheme="majorHAnsi" w:hAnsiTheme="majorHAnsi" w:cstheme="majorHAnsi"/>
        </w:rPr>
        <w:footnoteRef/>
      </w:r>
      <w:r w:rsidRPr="00DC4C8F">
        <w:rPr>
          <w:rFonts w:asciiTheme="majorHAnsi" w:hAnsiTheme="majorHAnsi" w:cstheme="majorHAnsi"/>
        </w:rPr>
        <w:t xml:space="preserve"> Responsabilitatea îi revenea fostului Minister al Agriculturii şi Industriei Alimentare.</w:t>
      </w:r>
    </w:p>
  </w:footnote>
  <w:footnote w:id="47">
    <w:p w:rsidR="0065324C" w:rsidRPr="00DC4C8F" w:rsidRDefault="0065324C" w:rsidP="002B0C1F">
      <w:pPr>
        <w:pStyle w:val="a5"/>
        <w:rPr>
          <w:rFonts w:asciiTheme="majorHAnsi" w:hAnsiTheme="majorHAnsi" w:cstheme="majorHAnsi"/>
        </w:rPr>
      </w:pPr>
      <w:r w:rsidRPr="00DC4C8F">
        <w:rPr>
          <w:rStyle w:val="ab"/>
          <w:rFonts w:asciiTheme="majorHAnsi" w:hAnsiTheme="majorHAnsi" w:cstheme="majorHAnsi"/>
        </w:rPr>
        <w:footnoteRef/>
      </w:r>
      <w:r w:rsidRPr="00DC4C8F">
        <w:rPr>
          <w:rFonts w:asciiTheme="majorHAnsi" w:hAnsiTheme="majorHAnsi" w:cstheme="majorHAnsi"/>
        </w:rPr>
        <w:t xml:space="preserve"> Schema de încadrare este semnată de ministru, </w:t>
      </w:r>
      <w:r>
        <w:rPr>
          <w:rFonts w:asciiTheme="majorHAnsi" w:hAnsiTheme="majorHAnsi" w:cstheme="majorHAnsi"/>
        </w:rPr>
        <w:t>are aplicată</w:t>
      </w:r>
      <w:r w:rsidRPr="00DC4C8F">
        <w:rPr>
          <w:rFonts w:asciiTheme="majorHAnsi" w:hAnsiTheme="majorHAnsi" w:cstheme="majorHAnsi"/>
        </w:rPr>
        <w:t xml:space="preserve"> ștampila, dar lipsește data aprobării.</w:t>
      </w:r>
    </w:p>
    <w:p w:rsidR="0065324C" w:rsidRPr="00DB21F4" w:rsidRDefault="0065324C" w:rsidP="002B0C1F">
      <w:pPr>
        <w:pStyle w:val="a5"/>
      </w:pPr>
    </w:p>
  </w:footnote>
  <w:footnote w:id="48">
    <w:p w:rsidR="0065324C" w:rsidRPr="00CB40BF" w:rsidRDefault="0065324C" w:rsidP="002B0C1F">
      <w:pPr>
        <w:pStyle w:val="a5"/>
        <w:rPr>
          <w:rFonts w:asciiTheme="majorHAnsi" w:hAnsiTheme="majorHAnsi" w:cstheme="majorHAnsi"/>
        </w:rPr>
      </w:pPr>
      <w:r w:rsidRPr="00CB40BF">
        <w:rPr>
          <w:rStyle w:val="ab"/>
          <w:rFonts w:asciiTheme="majorHAnsi" w:hAnsiTheme="majorHAnsi" w:cstheme="majorHAnsi"/>
        </w:rPr>
        <w:footnoteRef/>
      </w:r>
      <w:r w:rsidRPr="00CB40BF">
        <w:rPr>
          <w:rFonts w:asciiTheme="majorHAnsi" w:hAnsiTheme="majorHAnsi" w:cstheme="majorHAnsi"/>
        </w:rPr>
        <w:t xml:space="preserve"> Pct.11 din Regulamentul FVV</w:t>
      </w:r>
      <w:r w:rsidRPr="007D2CA3">
        <w:rPr>
          <w:rFonts w:asciiTheme="majorHAnsi" w:hAnsiTheme="majorHAnsi" w:cstheme="majorHAnsi"/>
        </w:rPr>
        <w:t xml:space="preserve"> </w:t>
      </w:r>
      <w:r w:rsidRPr="00DC4C8F">
        <w:rPr>
          <w:rFonts w:asciiTheme="majorHAnsi" w:hAnsiTheme="majorHAnsi" w:cstheme="majorHAnsi"/>
        </w:rPr>
        <w:t>aprobat prin HG nr.72</w:t>
      </w:r>
      <w:r>
        <w:rPr>
          <w:rFonts w:asciiTheme="majorHAnsi" w:hAnsiTheme="majorHAnsi" w:cstheme="majorHAnsi"/>
        </w:rPr>
        <w:t>6</w:t>
      </w:r>
      <w:r w:rsidRPr="00DC4C8F">
        <w:rPr>
          <w:rFonts w:asciiTheme="majorHAnsi" w:hAnsiTheme="majorHAnsi" w:cstheme="majorHAnsi"/>
        </w:rPr>
        <w:t xml:space="preserve"> din 16.09.2013.</w:t>
      </w:r>
    </w:p>
  </w:footnote>
  <w:footnote w:id="49">
    <w:p w:rsidR="0065324C" w:rsidRPr="00554F6B" w:rsidRDefault="0065324C" w:rsidP="00F74A85">
      <w:pPr>
        <w:pStyle w:val="a5"/>
        <w:rPr>
          <w:rFonts w:asciiTheme="majorHAnsi" w:hAnsiTheme="majorHAnsi" w:cstheme="majorHAnsi"/>
        </w:rPr>
      </w:pPr>
      <w:r w:rsidRPr="00554F6B">
        <w:rPr>
          <w:rStyle w:val="ab"/>
          <w:rFonts w:asciiTheme="majorHAnsi" w:hAnsiTheme="majorHAnsi" w:cstheme="majorHAnsi"/>
        </w:rPr>
        <w:footnoteRef/>
      </w:r>
      <w:r w:rsidRPr="00554F6B">
        <w:rPr>
          <w:rFonts w:asciiTheme="majorHAnsi" w:hAnsiTheme="majorHAnsi" w:cstheme="majorHAnsi"/>
        </w:rPr>
        <w:t xml:space="preserve"> În conformitate cu </w:t>
      </w:r>
      <w:r>
        <w:rPr>
          <w:rFonts w:asciiTheme="majorHAnsi" w:hAnsiTheme="majorHAnsi" w:cstheme="majorHAnsi"/>
        </w:rPr>
        <w:t>O</w:t>
      </w:r>
      <w:r w:rsidRPr="00554F6B">
        <w:rPr>
          <w:rFonts w:asciiTheme="majorHAnsi" w:hAnsiTheme="majorHAnsi" w:cstheme="majorHAnsi"/>
        </w:rPr>
        <w:t>rdinul Directorului nr.04 din 23.02.2018.</w:t>
      </w:r>
    </w:p>
  </w:footnote>
  <w:footnote w:id="50">
    <w:p w:rsidR="0065324C" w:rsidRPr="00554F6B" w:rsidRDefault="0065324C" w:rsidP="002B0C1F">
      <w:pPr>
        <w:pStyle w:val="a5"/>
        <w:rPr>
          <w:rFonts w:asciiTheme="majorHAnsi" w:hAnsiTheme="majorHAnsi" w:cstheme="majorHAnsi"/>
        </w:rPr>
      </w:pPr>
      <w:r w:rsidRPr="00554F6B">
        <w:rPr>
          <w:rStyle w:val="ab"/>
          <w:rFonts w:asciiTheme="majorHAnsi" w:hAnsiTheme="majorHAnsi" w:cstheme="majorHAnsi"/>
        </w:rPr>
        <w:footnoteRef/>
      </w:r>
      <w:r w:rsidRPr="00554F6B">
        <w:rPr>
          <w:rFonts w:asciiTheme="majorHAnsi" w:hAnsiTheme="majorHAnsi" w:cstheme="majorHAnsi"/>
        </w:rPr>
        <w:t xml:space="preserve"> Criterii de evaluare: (i) competența, (ii) eficiența, (iii) calitatea muncii, (iv) disciplina muncii.</w:t>
      </w:r>
    </w:p>
  </w:footnote>
  <w:footnote w:id="51">
    <w:p w:rsidR="0065324C" w:rsidRPr="00554F6B" w:rsidRDefault="0065324C" w:rsidP="002B0C1F">
      <w:pPr>
        <w:pStyle w:val="a5"/>
        <w:rPr>
          <w:rFonts w:asciiTheme="majorHAnsi" w:hAnsiTheme="majorHAnsi" w:cstheme="majorHAnsi"/>
        </w:rPr>
      </w:pPr>
      <w:r w:rsidRPr="00554F6B">
        <w:rPr>
          <w:rStyle w:val="ab"/>
          <w:rFonts w:asciiTheme="majorHAnsi" w:hAnsiTheme="majorHAnsi" w:cstheme="majorHAnsi"/>
        </w:rPr>
        <w:footnoteRef/>
      </w:r>
      <w:r w:rsidRPr="00554F6B">
        <w:rPr>
          <w:rFonts w:asciiTheme="majorHAnsi" w:hAnsiTheme="majorHAnsi" w:cstheme="majorHAnsi"/>
        </w:rPr>
        <w:t xml:space="preserve"> Criterii de evaluare: (i) activismul și motivarea, (ii) identificarea carențelor în activitatea desfășurată și spiritul de inițiativă.</w:t>
      </w:r>
    </w:p>
  </w:footnote>
  <w:footnote w:id="52">
    <w:p w:rsidR="0065324C" w:rsidRDefault="0065324C" w:rsidP="002B0C1F">
      <w:pPr>
        <w:pStyle w:val="a5"/>
      </w:pPr>
      <w:r w:rsidRPr="00554F6B">
        <w:rPr>
          <w:rStyle w:val="ab"/>
          <w:rFonts w:asciiTheme="majorHAnsi" w:hAnsiTheme="majorHAnsi" w:cstheme="majorHAnsi"/>
        </w:rPr>
        <w:footnoteRef/>
      </w:r>
      <w:r w:rsidRPr="00554F6B">
        <w:rPr>
          <w:rFonts w:asciiTheme="majorHAnsi" w:hAnsiTheme="majorHAnsi" w:cstheme="majorHAnsi"/>
        </w:rPr>
        <w:t xml:space="preserve"> Criteriile de evaluare: (i) lucru</w:t>
      </w:r>
      <w:r>
        <w:rPr>
          <w:rFonts w:asciiTheme="majorHAnsi" w:hAnsiTheme="majorHAnsi" w:cstheme="majorHAnsi"/>
        </w:rPr>
        <w:t>l</w:t>
      </w:r>
      <w:r w:rsidRPr="00554F6B">
        <w:rPr>
          <w:rFonts w:asciiTheme="majorHAnsi" w:hAnsiTheme="majorHAnsi" w:cstheme="majorHAnsi"/>
        </w:rPr>
        <w:t xml:space="preserve"> în echipă, (ii) comunicarea.</w:t>
      </w:r>
    </w:p>
  </w:footnote>
  <w:footnote w:id="53">
    <w:p w:rsidR="0065324C" w:rsidRPr="004B77C9" w:rsidRDefault="0065324C" w:rsidP="002B0C1F">
      <w:pPr>
        <w:pStyle w:val="a5"/>
        <w:rPr>
          <w:rFonts w:asciiTheme="majorHAnsi" w:hAnsiTheme="majorHAnsi" w:cstheme="majorHAnsi"/>
        </w:rPr>
      </w:pPr>
      <w:r w:rsidRPr="004B77C9">
        <w:rPr>
          <w:rStyle w:val="ab"/>
          <w:rFonts w:asciiTheme="majorHAnsi" w:hAnsiTheme="majorHAnsi" w:cstheme="majorHAnsi"/>
        </w:rPr>
        <w:footnoteRef/>
      </w:r>
      <w:r w:rsidRPr="004B77C9">
        <w:rPr>
          <w:rFonts w:asciiTheme="majorHAnsi" w:hAnsiTheme="majorHAnsi" w:cstheme="majorHAnsi"/>
        </w:rPr>
        <w:t xml:space="preserve"> Fiecare obiectiv urmează să fie evaluat cu un punctaj de la 2 la 0, după cum urmează: pentru executarea integrală a ob</w:t>
      </w:r>
      <w:r>
        <w:rPr>
          <w:rFonts w:asciiTheme="majorHAnsi" w:hAnsiTheme="majorHAnsi" w:cstheme="majorHAnsi"/>
        </w:rPr>
        <w:t>i</w:t>
      </w:r>
      <w:r w:rsidRPr="004B77C9">
        <w:rPr>
          <w:rFonts w:asciiTheme="majorHAnsi" w:hAnsiTheme="majorHAnsi" w:cstheme="majorHAnsi"/>
        </w:rPr>
        <w:t>ectivu</w:t>
      </w:r>
      <w:r>
        <w:rPr>
          <w:rFonts w:asciiTheme="majorHAnsi" w:hAnsiTheme="majorHAnsi" w:cstheme="majorHAnsi"/>
        </w:rPr>
        <w:t>l</w:t>
      </w:r>
      <w:r w:rsidRPr="004B77C9">
        <w:rPr>
          <w:rFonts w:asciiTheme="majorHAnsi" w:hAnsiTheme="majorHAnsi" w:cstheme="majorHAnsi"/>
        </w:rPr>
        <w:t>ui se acordă 2 puncte, pentr</w:t>
      </w:r>
      <w:r>
        <w:rPr>
          <w:rFonts w:asciiTheme="majorHAnsi" w:hAnsiTheme="majorHAnsi" w:cstheme="majorHAnsi"/>
        </w:rPr>
        <w:t>u</w:t>
      </w:r>
      <w:r w:rsidRPr="004B77C9">
        <w:rPr>
          <w:rFonts w:asciiTheme="majorHAnsi" w:hAnsiTheme="majorHAnsi" w:cstheme="majorHAnsi"/>
        </w:rPr>
        <w:t xml:space="preserve"> executarea parțială – 1 punct, pentru neexecutarea obiectivului –</w:t>
      </w:r>
      <w:r>
        <w:rPr>
          <w:rFonts w:asciiTheme="majorHAnsi" w:hAnsiTheme="majorHAnsi" w:cstheme="majorHAnsi"/>
        </w:rPr>
        <w:t xml:space="preserve"> </w:t>
      </w:r>
      <w:r w:rsidRPr="004B77C9">
        <w:rPr>
          <w:rFonts w:asciiTheme="majorHAnsi" w:hAnsiTheme="majorHAnsi" w:cstheme="majorHAnsi"/>
        </w:rPr>
        <w:t>0 puncte.</w:t>
      </w:r>
    </w:p>
  </w:footnote>
  <w:footnote w:id="54">
    <w:p w:rsidR="0065324C" w:rsidRPr="004B77C9" w:rsidRDefault="0065324C" w:rsidP="002B0C1F">
      <w:pPr>
        <w:pStyle w:val="a5"/>
        <w:rPr>
          <w:rFonts w:asciiTheme="majorHAnsi" w:hAnsiTheme="majorHAnsi" w:cstheme="majorHAnsi"/>
        </w:rPr>
      </w:pPr>
      <w:r w:rsidRPr="004B77C9">
        <w:rPr>
          <w:rStyle w:val="ab"/>
          <w:rFonts w:asciiTheme="majorHAnsi" w:hAnsiTheme="majorHAnsi" w:cstheme="majorHAnsi"/>
        </w:rPr>
        <w:footnoteRef/>
      </w:r>
      <w:r w:rsidRPr="004B77C9">
        <w:rPr>
          <w:rFonts w:asciiTheme="majorHAnsi" w:hAnsiTheme="majorHAnsi" w:cstheme="majorHAnsi"/>
        </w:rPr>
        <w:t xml:space="preserve"> Asigurarea unei ati</w:t>
      </w:r>
      <w:r>
        <w:rPr>
          <w:rFonts w:asciiTheme="majorHAnsi" w:hAnsiTheme="majorHAnsi" w:cstheme="majorHAnsi"/>
        </w:rPr>
        <w:t>t</w:t>
      </w:r>
      <w:r w:rsidRPr="004B77C9">
        <w:rPr>
          <w:rFonts w:asciiTheme="majorHAnsi" w:hAnsiTheme="majorHAnsi" w:cstheme="majorHAnsi"/>
        </w:rPr>
        <w:t xml:space="preserve">udini </w:t>
      </w:r>
      <w:proofErr w:type="spellStart"/>
      <w:r w:rsidRPr="004B77C9">
        <w:rPr>
          <w:rFonts w:asciiTheme="majorHAnsi" w:hAnsiTheme="majorHAnsi" w:cstheme="majorHAnsi"/>
        </w:rPr>
        <w:t>proactive</w:t>
      </w:r>
      <w:proofErr w:type="spellEnd"/>
      <w:r w:rsidRPr="004B77C9">
        <w:rPr>
          <w:rFonts w:asciiTheme="majorHAnsi" w:hAnsiTheme="majorHAnsi" w:cstheme="majorHAnsi"/>
        </w:rPr>
        <w:t xml:space="preserve"> în cadrul exercitării atribuțiilor de serviciu.</w:t>
      </w:r>
    </w:p>
  </w:footnote>
  <w:footnote w:id="55">
    <w:p w:rsidR="0065324C" w:rsidRPr="004B77C9" w:rsidRDefault="0065324C" w:rsidP="002B0C1F">
      <w:pPr>
        <w:pStyle w:val="a5"/>
        <w:rPr>
          <w:rFonts w:asciiTheme="majorHAnsi" w:hAnsiTheme="majorHAnsi" w:cstheme="majorHAnsi"/>
        </w:rPr>
      </w:pPr>
      <w:r w:rsidRPr="004B77C9">
        <w:rPr>
          <w:rStyle w:val="ab"/>
          <w:rFonts w:asciiTheme="majorHAnsi" w:hAnsiTheme="majorHAnsi" w:cstheme="majorHAnsi"/>
        </w:rPr>
        <w:footnoteRef/>
      </w:r>
      <w:r w:rsidRPr="004B77C9">
        <w:rPr>
          <w:rFonts w:asciiTheme="majorHAnsi" w:hAnsiTheme="majorHAnsi" w:cstheme="majorHAnsi"/>
        </w:rPr>
        <w:t xml:space="preserve"> Pct.38 subpct.9) din </w:t>
      </w:r>
      <w:r w:rsidRPr="00CD0BF4">
        <w:rPr>
          <w:rFonts w:asciiTheme="majorHAnsi" w:hAnsiTheme="majorHAnsi" w:cstheme="majorHAnsi"/>
        </w:rPr>
        <w:t>HG nr.725</w:t>
      </w:r>
      <w:r>
        <w:rPr>
          <w:rFonts w:asciiTheme="majorHAnsi" w:hAnsiTheme="majorHAnsi" w:cstheme="majorHAnsi"/>
        </w:rPr>
        <w:t xml:space="preserve"> din </w:t>
      </w:r>
      <w:r w:rsidRPr="00CD0BF4">
        <w:rPr>
          <w:rFonts w:asciiTheme="majorHAnsi" w:hAnsiTheme="majorHAnsi" w:cstheme="majorHAnsi"/>
        </w:rPr>
        <w:t>16.09.2013.</w:t>
      </w:r>
    </w:p>
  </w:footnote>
  <w:footnote w:id="56">
    <w:p w:rsidR="0065324C" w:rsidRPr="004B77C9" w:rsidRDefault="0065324C" w:rsidP="002B0C1F">
      <w:pPr>
        <w:pStyle w:val="a5"/>
      </w:pPr>
      <w:r w:rsidRPr="004B77C9">
        <w:rPr>
          <w:rStyle w:val="ab"/>
          <w:rFonts w:asciiTheme="majorHAnsi" w:hAnsiTheme="majorHAnsi" w:cstheme="majorHAnsi"/>
        </w:rPr>
        <w:footnoteRef/>
      </w:r>
      <w:r w:rsidRPr="004B77C9">
        <w:rPr>
          <w:rFonts w:asciiTheme="majorHAnsi" w:hAnsiTheme="majorHAnsi" w:cstheme="majorHAnsi"/>
        </w:rPr>
        <w:t xml:space="preserve"> Ordinul nr.01-SS din 30.01.2018 (15% la salariul de bază).</w:t>
      </w:r>
    </w:p>
  </w:footnote>
  <w:footnote w:id="57">
    <w:p w:rsidR="0065324C" w:rsidRPr="004B77C9" w:rsidRDefault="0065324C">
      <w:pPr>
        <w:pStyle w:val="a5"/>
        <w:rPr>
          <w:rFonts w:asciiTheme="majorHAnsi" w:hAnsiTheme="majorHAnsi" w:cstheme="majorHAnsi"/>
        </w:rPr>
      </w:pPr>
      <w:r w:rsidRPr="004B77C9">
        <w:rPr>
          <w:rStyle w:val="ab"/>
          <w:rFonts w:asciiTheme="majorHAnsi" w:hAnsiTheme="majorHAnsi" w:cstheme="majorHAnsi"/>
        </w:rPr>
        <w:footnoteRef/>
      </w:r>
      <w:r w:rsidRPr="004B77C9">
        <w:rPr>
          <w:rFonts w:asciiTheme="majorHAnsi" w:hAnsiTheme="majorHAnsi" w:cstheme="majorHAnsi"/>
        </w:rPr>
        <w:t xml:space="preserve"> Ordinul MADRM nr.604p din 02.07.2018 </w:t>
      </w:r>
      <w:r>
        <w:rPr>
          <w:rFonts w:asciiTheme="majorHAnsi" w:hAnsiTheme="majorHAnsi" w:cstheme="majorHAnsi"/>
        </w:rPr>
        <w:t>„C</w:t>
      </w:r>
      <w:r w:rsidRPr="004B77C9">
        <w:rPr>
          <w:rFonts w:asciiTheme="majorHAnsi" w:hAnsiTheme="majorHAnsi" w:cstheme="majorHAnsi"/>
        </w:rPr>
        <w:t>u privire la acordarea concediului de odihnă anual directorului ONVV în perioada 23.07.-10.08.2018</w:t>
      </w:r>
      <w:r>
        <w:rPr>
          <w:rFonts w:asciiTheme="majorHAnsi" w:hAnsiTheme="majorHAnsi" w:cstheme="majorHAnsi"/>
        </w:rPr>
        <w:t>”</w:t>
      </w:r>
      <w:r w:rsidRPr="004B77C9">
        <w:rPr>
          <w:rFonts w:asciiTheme="majorHAnsi" w:hAnsiTheme="majorHAnsi" w:cstheme="majorHAnsi"/>
        </w:rPr>
        <w:t>.</w:t>
      </w:r>
    </w:p>
  </w:footnote>
  <w:footnote w:id="58">
    <w:p w:rsidR="0065324C" w:rsidRPr="00DD651F" w:rsidRDefault="0065324C" w:rsidP="002B0C1F">
      <w:pPr>
        <w:pStyle w:val="a5"/>
        <w:rPr>
          <w:rFonts w:asciiTheme="majorHAnsi" w:hAnsiTheme="majorHAnsi" w:cstheme="majorHAnsi"/>
        </w:rPr>
      </w:pPr>
      <w:r w:rsidRPr="00DD651F">
        <w:rPr>
          <w:rStyle w:val="ab"/>
          <w:rFonts w:asciiTheme="majorHAnsi" w:hAnsiTheme="majorHAnsi" w:cstheme="majorHAnsi"/>
        </w:rPr>
        <w:footnoteRef/>
      </w:r>
      <w:r w:rsidRPr="00DD651F">
        <w:rPr>
          <w:rFonts w:asciiTheme="majorHAnsi" w:hAnsiTheme="majorHAnsi" w:cstheme="majorHAnsi"/>
        </w:rPr>
        <w:t xml:space="preserve"> Pct.1 din capitolul „Angajarea și încetarea raporturilor de muncă” din Regulamentul intern al ONVV.</w:t>
      </w:r>
    </w:p>
  </w:footnote>
  <w:footnote w:id="59">
    <w:p w:rsidR="0065324C" w:rsidRPr="00DD651F" w:rsidRDefault="0065324C" w:rsidP="002B0C1F">
      <w:pPr>
        <w:pStyle w:val="a5"/>
        <w:rPr>
          <w:rFonts w:asciiTheme="majorHAnsi" w:hAnsiTheme="majorHAnsi" w:cstheme="majorHAnsi"/>
        </w:rPr>
      </w:pPr>
      <w:r w:rsidRPr="00DD651F">
        <w:rPr>
          <w:rStyle w:val="ab"/>
          <w:rFonts w:asciiTheme="majorHAnsi" w:hAnsiTheme="majorHAnsi" w:cstheme="majorHAnsi"/>
        </w:rPr>
        <w:footnoteRef/>
      </w:r>
      <w:r w:rsidRPr="00DD651F">
        <w:rPr>
          <w:rFonts w:asciiTheme="majorHAnsi" w:hAnsiTheme="majorHAnsi" w:cstheme="majorHAnsi"/>
        </w:rPr>
        <w:t xml:space="preserve"> </w:t>
      </w:r>
      <w:r>
        <w:rPr>
          <w:rFonts w:asciiTheme="majorHAnsi" w:hAnsiTheme="majorHAnsi" w:cstheme="majorHAnsi"/>
        </w:rPr>
        <w:t>„</w:t>
      </w:r>
      <w:r w:rsidRPr="00433A20">
        <w:rPr>
          <w:rFonts w:asciiTheme="majorHAnsi" w:hAnsiTheme="majorHAnsi" w:cstheme="majorHAnsi"/>
        </w:rPr>
        <w:t xml:space="preserve">Best </w:t>
      </w:r>
      <w:proofErr w:type="spellStart"/>
      <w:r w:rsidRPr="00433A20">
        <w:rPr>
          <w:rFonts w:asciiTheme="majorHAnsi" w:hAnsiTheme="majorHAnsi" w:cstheme="majorHAnsi"/>
        </w:rPr>
        <w:t>People</w:t>
      </w:r>
      <w:proofErr w:type="spellEnd"/>
      <w:r>
        <w:rPr>
          <w:rFonts w:asciiTheme="majorHAnsi" w:hAnsiTheme="majorHAnsi" w:cstheme="majorHAnsi"/>
        </w:rPr>
        <w:t>”</w:t>
      </w:r>
      <w:r w:rsidRPr="00433A20">
        <w:rPr>
          <w:rFonts w:asciiTheme="majorHAnsi" w:hAnsiTheme="majorHAnsi" w:cstheme="majorHAnsi"/>
        </w:rPr>
        <w:t xml:space="preserve"> SRL.</w:t>
      </w:r>
    </w:p>
  </w:footnote>
  <w:footnote w:id="60">
    <w:p w:rsidR="0065324C" w:rsidRPr="009773AA" w:rsidRDefault="0065324C" w:rsidP="008908EE">
      <w:pPr>
        <w:pStyle w:val="a5"/>
        <w:rPr>
          <w:rFonts w:asciiTheme="majorHAnsi" w:hAnsiTheme="majorHAnsi"/>
        </w:rPr>
      </w:pPr>
      <w:r w:rsidRPr="00DD651F">
        <w:rPr>
          <w:rStyle w:val="ab"/>
          <w:rFonts w:asciiTheme="majorHAnsi" w:hAnsiTheme="majorHAnsi" w:cstheme="majorHAnsi"/>
        </w:rPr>
        <w:footnoteRef/>
      </w:r>
      <w:r w:rsidRPr="00DD651F">
        <w:rPr>
          <w:rFonts w:asciiTheme="majorHAnsi" w:hAnsiTheme="majorHAnsi" w:cstheme="majorHAnsi"/>
        </w:rPr>
        <w:t xml:space="preserve"> Art.118 alin.(1) din </w:t>
      </w:r>
      <w:r w:rsidRPr="00DC303A">
        <w:rPr>
          <w:rFonts w:asciiTheme="majorHAnsi" w:hAnsiTheme="majorHAnsi" w:cstheme="majorHAnsi"/>
        </w:rPr>
        <w:t xml:space="preserve">Codul muncii </w:t>
      </w:r>
      <w:r>
        <w:rPr>
          <w:rFonts w:asciiTheme="majorHAnsi" w:hAnsiTheme="majorHAnsi" w:cstheme="majorHAnsi"/>
        </w:rPr>
        <w:t xml:space="preserve">al Republicii Moldova </w:t>
      </w:r>
      <w:r w:rsidRPr="00DC303A">
        <w:rPr>
          <w:rFonts w:asciiTheme="majorHAnsi" w:hAnsiTheme="majorHAnsi" w:cstheme="majorHAnsi"/>
        </w:rPr>
        <w:t>nr</w:t>
      </w:r>
      <w:r w:rsidRPr="00DD651F">
        <w:rPr>
          <w:rFonts w:asciiTheme="majorHAnsi" w:hAnsiTheme="majorHAnsi" w:cstheme="majorHAnsi"/>
        </w:rPr>
        <w:t>.154</w:t>
      </w:r>
      <w:r>
        <w:rPr>
          <w:rFonts w:asciiTheme="majorHAnsi" w:hAnsiTheme="majorHAnsi" w:cstheme="majorHAnsi"/>
        </w:rPr>
        <w:t>-XV</w:t>
      </w:r>
      <w:r w:rsidRPr="00DD651F">
        <w:rPr>
          <w:rFonts w:asciiTheme="majorHAnsi" w:hAnsiTheme="majorHAnsi" w:cstheme="majorHAnsi"/>
        </w:rPr>
        <w:t xml:space="preserve"> din 28.03.2003</w:t>
      </w:r>
      <w:r>
        <w:rPr>
          <w:rFonts w:asciiTheme="majorHAnsi" w:hAnsiTheme="majorHAnsi" w:cstheme="majorHAnsi"/>
        </w:rPr>
        <w:t xml:space="preserve"> (în continuare – Codul muncii)</w:t>
      </w:r>
      <w:r w:rsidRPr="00DD651F">
        <w:rPr>
          <w:rFonts w:asciiTheme="majorHAnsi" w:hAnsiTheme="majorHAnsi" w:cstheme="majorHAnsi"/>
        </w:rPr>
        <w:t>.</w:t>
      </w:r>
    </w:p>
  </w:footnote>
  <w:footnote w:id="61">
    <w:p w:rsidR="0065324C" w:rsidRPr="009773AA" w:rsidRDefault="0065324C" w:rsidP="008908EE">
      <w:pPr>
        <w:spacing w:after="0" w:line="240" w:lineRule="auto"/>
        <w:jc w:val="both"/>
        <w:rPr>
          <w:rFonts w:asciiTheme="majorHAnsi" w:hAnsiTheme="majorHAnsi"/>
          <w:sz w:val="20"/>
          <w:szCs w:val="20"/>
        </w:rPr>
      </w:pPr>
      <w:r w:rsidRPr="009773AA">
        <w:rPr>
          <w:rStyle w:val="ab"/>
          <w:rFonts w:asciiTheme="majorHAnsi" w:hAnsiTheme="majorHAnsi"/>
          <w:sz w:val="20"/>
          <w:szCs w:val="20"/>
        </w:rPr>
        <w:footnoteRef/>
      </w:r>
      <w:r w:rsidRPr="009773AA">
        <w:rPr>
          <w:rFonts w:asciiTheme="majorHAnsi" w:hAnsiTheme="majorHAnsi"/>
          <w:sz w:val="20"/>
          <w:szCs w:val="20"/>
        </w:rPr>
        <w:t xml:space="preserve"> </w:t>
      </w:r>
      <w:r w:rsidRPr="009773AA">
        <w:rPr>
          <w:rFonts w:asciiTheme="majorHAnsi" w:eastAsia="Times New Roman" w:hAnsiTheme="majorHAnsi" w:cs="Times New Roman"/>
          <w:sz w:val="20"/>
          <w:szCs w:val="20"/>
          <w:lang w:val="ro-RO" w:eastAsia="ro-RO"/>
        </w:rPr>
        <w:t>La situația din 23 august 2019.</w:t>
      </w:r>
    </w:p>
  </w:footnote>
  <w:footnote w:id="62">
    <w:p w:rsidR="0065324C" w:rsidRPr="009773AA" w:rsidRDefault="0065324C" w:rsidP="008908EE">
      <w:pPr>
        <w:pStyle w:val="a5"/>
        <w:rPr>
          <w:rFonts w:asciiTheme="majorHAnsi" w:hAnsiTheme="majorHAnsi"/>
        </w:rPr>
      </w:pPr>
      <w:r w:rsidRPr="009773AA">
        <w:rPr>
          <w:rStyle w:val="ab"/>
          <w:rFonts w:asciiTheme="majorHAnsi" w:hAnsiTheme="majorHAnsi"/>
        </w:rPr>
        <w:footnoteRef/>
      </w:r>
      <w:r w:rsidRPr="009773AA">
        <w:rPr>
          <w:rFonts w:asciiTheme="majorHAnsi" w:hAnsiTheme="majorHAnsi"/>
        </w:rPr>
        <w:t xml:space="preserve"> Legea salarizării nr.847-XV din 28.03.2003.</w:t>
      </w:r>
    </w:p>
  </w:footnote>
  <w:footnote w:id="63">
    <w:p w:rsidR="0065324C" w:rsidRPr="009773AA" w:rsidRDefault="0065324C" w:rsidP="008908EE">
      <w:pPr>
        <w:pStyle w:val="a5"/>
        <w:rPr>
          <w:rFonts w:asciiTheme="majorHAnsi" w:hAnsiTheme="majorHAnsi"/>
        </w:rPr>
      </w:pPr>
      <w:r w:rsidRPr="009773AA">
        <w:rPr>
          <w:rStyle w:val="ab"/>
          <w:rFonts w:asciiTheme="majorHAnsi" w:hAnsiTheme="majorHAnsi"/>
        </w:rPr>
        <w:footnoteRef/>
      </w:r>
      <w:r w:rsidRPr="009773AA">
        <w:rPr>
          <w:rFonts w:asciiTheme="majorHAnsi" w:hAnsiTheme="majorHAnsi"/>
        </w:rPr>
        <w:t xml:space="preserve"> HG nr.743 din 11.06.2002 </w:t>
      </w:r>
      <w:r w:rsidRPr="009773AA">
        <w:rPr>
          <w:rFonts w:asciiTheme="majorHAnsi" w:hAnsiTheme="majorHAnsi" w:cstheme="majorHAnsi"/>
        </w:rPr>
        <w:t>„</w:t>
      </w:r>
      <w:r w:rsidRPr="009773AA">
        <w:rPr>
          <w:rFonts w:asciiTheme="majorHAnsi" w:hAnsiTheme="majorHAnsi"/>
        </w:rPr>
        <w:t>Cu privire la salarizarea angajaților din unitățile cu autonomie financiară”.</w:t>
      </w:r>
    </w:p>
  </w:footnote>
  <w:footnote w:id="64">
    <w:p w:rsidR="0065324C" w:rsidRPr="009773AA" w:rsidRDefault="0065324C" w:rsidP="008908EE">
      <w:pPr>
        <w:pStyle w:val="a5"/>
        <w:rPr>
          <w:rFonts w:asciiTheme="majorHAnsi" w:hAnsiTheme="majorHAnsi"/>
        </w:rPr>
      </w:pPr>
      <w:r w:rsidRPr="009773AA">
        <w:rPr>
          <w:rStyle w:val="ab"/>
          <w:rFonts w:asciiTheme="majorHAnsi" w:hAnsiTheme="majorHAnsi"/>
        </w:rPr>
        <w:footnoteRef/>
      </w:r>
      <w:r w:rsidRPr="009773AA">
        <w:rPr>
          <w:rFonts w:asciiTheme="majorHAnsi" w:hAnsiTheme="majorHAnsi"/>
        </w:rPr>
        <w:t xml:space="preserve"> Ordinul ONVV nr.03 din 01.02.2017.</w:t>
      </w:r>
    </w:p>
  </w:footnote>
  <w:footnote w:id="65">
    <w:p w:rsidR="0065324C" w:rsidRPr="00AE2851" w:rsidRDefault="0065324C" w:rsidP="002B0C1F">
      <w:pPr>
        <w:pStyle w:val="a5"/>
        <w:rPr>
          <w:rFonts w:asciiTheme="majorHAnsi" w:hAnsiTheme="majorHAnsi" w:cstheme="majorHAnsi"/>
        </w:rPr>
      </w:pPr>
      <w:r w:rsidRPr="00AE2851">
        <w:rPr>
          <w:rStyle w:val="ab"/>
          <w:rFonts w:asciiTheme="majorHAnsi" w:hAnsiTheme="majorHAnsi" w:cstheme="majorHAnsi"/>
        </w:rPr>
        <w:footnoteRef/>
      </w:r>
      <w:r w:rsidRPr="00AE2851">
        <w:rPr>
          <w:rFonts w:asciiTheme="majorHAnsi" w:hAnsiTheme="majorHAnsi" w:cstheme="majorHAnsi"/>
        </w:rPr>
        <w:t xml:space="preserve"> Proces</w:t>
      </w:r>
      <w:r>
        <w:rPr>
          <w:rFonts w:asciiTheme="majorHAnsi" w:hAnsiTheme="majorHAnsi" w:cstheme="majorHAnsi"/>
        </w:rPr>
        <w:t>ele-</w:t>
      </w:r>
      <w:r w:rsidRPr="00AE2851">
        <w:rPr>
          <w:rFonts w:asciiTheme="majorHAnsi" w:hAnsiTheme="majorHAnsi" w:cstheme="majorHAnsi"/>
        </w:rPr>
        <w:t>verbal</w:t>
      </w:r>
      <w:r>
        <w:rPr>
          <w:rFonts w:asciiTheme="majorHAnsi" w:hAnsiTheme="majorHAnsi" w:cstheme="majorHAnsi"/>
        </w:rPr>
        <w:t>e</w:t>
      </w:r>
      <w:r w:rsidRPr="00AE2851">
        <w:rPr>
          <w:rFonts w:asciiTheme="majorHAnsi" w:hAnsiTheme="majorHAnsi" w:cstheme="majorHAnsi"/>
        </w:rPr>
        <w:t xml:space="preserve"> al</w:t>
      </w:r>
      <w:r>
        <w:rPr>
          <w:rFonts w:asciiTheme="majorHAnsi" w:hAnsiTheme="majorHAnsi" w:cstheme="majorHAnsi"/>
        </w:rPr>
        <w:t>e</w:t>
      </w:r>
      <w:r w:rsidRPr="00AE2851">
        <w:rPr>
          <w:rFonts w:asciiTheme="majorHAnsi" w:hAnsiTheme="majorHAnsi" w:cstheme="majorHAnsi"/>
        </w:rPr>
        <w:t xml:space="preserve"> CC nr.01/CC din 24.01.2017 şi nr.01/CC din 29.01.2018.</w:t>
      </w:r>
    </w:p>
  </w:footnote>
  <w:footnote w:id="66">
    <w:p w:rsidR="0065324C" w:rsidRPr="00AE2851" w:rsidRDefault="0065324C" w:rsidP="002B0C1F">
      <w:pPr>
        <w:pStyle w:val="a5"/>
        <w:rPr>
          <w:rFonts w:asciiTheme="majorHAnsi" w:hAnsiTheme="majorHAnsi" w:cstheme="majorHAnsi"/>
        </w:rPr>
      </w:pPr>
      <w:r w:rsidRPr="00AE2851">
        <w:rPr>
          <w:rStyle w:val="ab"/>
          <w:rFonts w:asciiTheme="majorHAnsi" w:hAnsiTheme="majorHAnsi" w:cstheme="majorHAnsi"/>
        </w:rPr>
        <w:footnoteRef/>
      </w:r>
      <w:r w:rsidRPr="00AE2851">
        <w:rPr>
          <w:rFonts w:asciiTheme="majorHAnsi" w:hAnsiTheme="majorHAnsi" w:cstheme="majorHAnsi"/>
        </w:rPr>
        <w:t xml:space="preserve"> Schema de încadrare pentru anul 2017 aprobată la 24.01.2017, iar Schema de încadrare pentru anul 2018 este semnată de ministru, </w:t>
      </w:r>
      <w:r>
        <w:rPr>
          <w:rFonts w:asciiTheme="majorHAnsi" w:hAnsiTheme="majorHAnsi" w:cstheme="majorHAnsi"/>
        </w:rPr>
        <w:t>are aplicată</w:t>
      </w:r>
      <w:r w:rsidRPr="00AE2851">
        <w:rPr>
          <w:rFonts w:asciiTheme="majorHAnsi" w:hAnsiTheme="majorHAnsi" w:cstheme="majorHAnsi"/>
        </w:rPr>
        <w:t xml:space="preserve"> ștampila, dar </w:t>
      </w:r>
      <w:r>
        <w:rPr>
          <w:rFonts w:asciiTheme="majorHAnsi" w:hAnsiTheme="majorHAnsi" w:cstheme="majorHAnsi"/>
        </w:rPr>
        <w:t>nu este scrisă</w:t>
      </w:r>
      <w:r w:rsidRPr="00AE2851">
        <w:rPr>
          <w:rFonts w:asciiTheme="majorHAnsi" w:hAnsiTheme="majorHAnsi" w:cstheme="majorHAnsi"/>
        </w:rPr>
        <w:t xml:space="preserve"> data aprobării.</w:t>
      </w:r>
    </w:p>
  </w:footnote>
  <w:footnote w:id="67">
    <w:p w:rsidR="0065324C" w:rsidRPr="00AE2851" w:rsidRDefault="0065324C" w:rsidP="002B0C1F">
      <w:pPr>
        <w:pStyle w:val="a5"/>
        <w:rPr>
          <w:rFonts w:asciiTheme="majorHAnsi" w:hAnsiTheme="majorHAnsi" w:cstheme="majorHAnsi"/>
        </w:rPr>
      </w:pPr>
      <w:r w:rsidRPr="00AE2851">
        <w:rPr>
          <w:rStyle w:val="ab"/>
          <w:rFonts w:asciiTheme="majorHAnsi" w:hAnsiTheme="majorHAnsi" w:cstheme="majorHAnsi"/>
        </w:rPr>
        <w:footnoteRef/>
      </w:r>
      <w:r w:rsidRPr="00AE2851">
        <w:rPr>
          <w:rFonts w:asciiTheme="majorHAnsi" w:hAnsiTheme="majorHAnsi" w:cstheme="majorHAnsi"/>
        </w:rPr>
        <w:t xml:space="preserve"> Conform HG nr.242 din 26.04.2017</w:t>
      </w:r>
      <w:r>
        <w:rPr>
          <w:rFonts w:asciiTheme="majorHAnsi" w:hAnsiTheme="majorHAnsi" w:cstheme="majorHAnsi"/>
        </w:rPr>
        <w:t>,</w:t>
      </w:r>
      <w:r w:rsidRPr="00AE2851">
        <w:rPr>
          <w:rFonts w:asciiTheme="majorHAnsi" w:hAnsiTheme="majorHAnsi" w:cstheme="majorHAnsi"/>
        </w:rPr>
        <w:t xml:space="preserve"> cuantumul minim garantat al salariului în sectorul real a constituit 2380 </w:t>
      </w:r>
      <w:r>
        <w:rPr>
          <w:rFonts w:asciiTheme="majorHAnsi" w:hAnsiTheme="majorHAnsi" w:cstheme="majorHAnsi"/>
        </w:rPr>
        <w:t>MDL</w:t>
      </w:r>
      <w:r w:rsidRPr="00AE2851">
        <w:rPr>
          <w:rFonts w:asciiTheme="majorHAnsi" w:hAnsiTheme="majorHAnsi" w:cstheme="majorHAnsi"/>
        </w:rPr>
        <w:t>.</w:t>
      </w:r>
    </w:p>
  </w:footnote>
  <w:footnote w:id="68">
    <w:p w:rsidR="0065324C" w:rsidRPr="00AE2851" w:rsidRDefault="0065324C" w:rsidP="002B0C1F">
      <w:pPr>
        <w:pStyle w:val="a5"/>
        <w:rPr>
          <w:rFonts w:asciiTheme="majorHAnsi" w:hAnsiTheme="majorHAnsi" w:cstheme="majorHAnsi"/>
        </w:rPr>
      </w:pPr>
      <w:r w:rsidRPr="00AE2851">
        <w:rPr>
          <w:rStyle w:val="ab"/>
          <w:rFonts w:asciiTheme="majorHAnsi" w:hAnsiTheme="majorHAnsi" w:cstheme="majorHAnsi"/>
        </w:rPr>
        <w:footnoteRef/>
      </w:r>
      <w:r w:rsidRPr="00AE2851">
        <w:rPr>
          <w:rFonts w:asciiTheme="majorHAnsi" w:hAnsiTheme="majorHAnsi" w:cstheme="majorHAnsi"/>
        </w:rPr>
        <w:t xml:space="preserve"> Conform HG nr.396 din 25.04.2018</w:t>
      </w:r>
      <w:r>
        <w:rPr>
          <w:rFonts w:asciiTheme="majorHAnsi" w:hAnsiTheme="majorHAnsi" w:cstheme="majorHAnsi"/>
        </w:rPr>
        <w:t>,</w:t>
      </w:r>
      <w:r w:rsidRPr="00AE2851">
        <w:rPr>
          <w:rFonts w:asciiTheme="majorHAnsi" w:hAnsiTheme="majorHAnsi" w:cstheme="majorHAnsi"/>
        </w:rPr>
        <w:t xml:space="preserve"> cuantumul minim garantat al salariului în sectorul real a constituit 2610 </w:t>
      </w:r>
      <w:r>
        <w:rPr>
          <w:rFonts w:asciiTheme="majorHAnsi" w:hAnsiTheme="majorHAnsi" w:cstheme="majorHAnsi"/>
        </w:rPr>
        <w:t>MDL</w:t>
      </w:r>
      <w:r w:rsidRPr="00AE2851">
        <w:rPr>
          <w:rFonts w:asciiTheme="majorHAnsi" w:hAnsiTheme="majorHAnsi" w:cstheme="majorHAnsi"/>
        </w:rPr>
        <w:t>.</w:t>
      </w:r>
    </w:p>
    <w:p w:rsidR="0065324C" w:rsidRDefault="0065324C" w:rsidP="002B0C1F">
      <w:pPr>
        <w:pStyle w:val="a5"/>
      </w:pPr>
    </w:p>
  </w:footnote>
  <w:footnote w:id="69">
    <w:p w:rsidR="0065324C" w:rsidRPr="00200247" w:rsidRDefault="0065324C" w:rsidP="002B0C1F">
      <w:pPr>
        <w:pStyle w:val="a5"/>
        <w:rPr>
          <w:rFonts w:asciiTheme="majorHAnsi" w:hAnsiTheme="majorHAnsi" w:cstheme="majorHAnsi"/>
        </w:rPr>
      </w:pPr>
      <w:r w:rsidRPr="00200247">
        <w:rPr>
          <w:rStyle w:val="ab"/>
          <w:rFonts w:asciiTheme="majorHAnsi" w:hAnsiTheme="majorHAnsi" w:cstheme="majorHAnsi"/>
        </w:rPr>
        <w:footnoteRef/>
      </w:r>
      <w:r w:rsidRPr="00200247">
        <w:rPr>
          <w:rFonts w:asciiTheme="majorHAnsi" w:hAnsiTheme="majorHAnsi" w:cstheme="majorHAnsi"/>
        </w:rPr>
        <w:t xml:space="preserve"> ONVV se </w:t>
      </w:r>
      <w:proofErr w:type="spellStart"/>
      <w:r w:rsidRPr="00200247">
        <w:rPr>
          <w:rFonts w:asciiTheme="majorHAnsi" w:hAnsiTheme="majorHAnsi" w:cstheme="majorHAnsi"/>
        </w:rPr>
        <w:t>finanţează</w:t>
      </w:r>
      <w:proofErr w:type="spellEnd"/>
      <w:r w:rsidRPr="00200247">
        <w:rPr>
          <w:rFonts w:asciiTheme="majorHAnsi" w:hAnsiTheme="majorHAnsi" w:cstheme="majorHAnsi"/>
        </w:rPr>
        <w:t xml:space="preserve"> integral de la bugetul de stat sub formă de subsidii.</w:t>
      </w:r>
    </w:p>
  </w:footnote>
  <w:footnote w:id="70">
    <w:p w:rsidR="0065324C" w:rsidRPr="00200247" w:rsidRDefault="0065324C" w:rsidP="002B0C1F">
      <w:pPr>
        <w:pStyle w:val="a5"/>
        <w:rPr>
          <w:rFonts w:asciiTheme="majorHAnsi" w:hAnsiTheme="majorHAnsi" w:cstheme="majorHAnsi"/>
        </w:rPr>
      </w:pPr>
      <w:r w:rsidRPr="00200247">
        <w:rPr>
          <w:rStyle w:val="ab"/>
          <w:rFonts w:asciiTheme="majorHAnsi" w:hAnsiTheme="majorHAnsi" w:cstheme="majorHAnsi"/>
        </w:rPr>
        <w:footnoteRef/>
      </w:r>
      <w:r>
        <w:rPr>
          <w:rFonts w:asciiTheme="majorHAnsi" w:hAnsiTheme="majorHAnsi" w:cstheme="majorHAnsi"/>
        </w:rPr>
        <w:t xml:space="preserve"> Mărimea înc</w:t>
      </w:r>
      <w:r w:rsidRPr="00200247">
        <w:rPr>
          <w:rFonts w:asciiTheme="majorHAnsi" w:hAnsiTheme="majorHAnsi" w:cstheme="majorHAnsi"/>
        </w:rPr>
        <w:t>i</w:t>
      </w:r>
      <w:r>
        <w:rPr>
          <w:rFonts w:asciiTheme="majorHAnsi" w:hAnsiTheme="majorHAnsi" w:cstheme="majorHAnsi"/>
        </w:rPr>
        <w:t>nci</w:t>
      </w:r>
      <w:r w:rsidRPr="00200247">
        <w:rPr>
          <w:rFonts w:asciiTheme="majorHAnsi" w:hAnsiTheme="majorHAnsi" w:cstheme="majorHAnsi"/>
        </w:rPr>
        <w:t>tă constituie 107 525</w:t>
      </w:r>
      <w:r>
        <w:rPr>
          <w:rFonts w:asciiTheme="majorHAnsi" w:hAnsiTheme="majorHAnsi" w:cstheme="majorHAnsi"/>
        </w:rPr>
        <w:t xml:space="preserve"> </w:t>
      </w:r>
      <w:r w:rsidRPr="00200247">
        <w:rPr>
          <w:rFonts w:asciiTheme="majorHAnsi" w:hAnsiTheme="majorHAnsi" w:cstheme="majorHAnsi"/>
        </w:rPr>
        <w:t>MDL.</w:t>
      </w:r>
    </w:p>
  </w:footnote>
  <w:footnote w:id="71">
    <w:p w:rsidR="0065324C" w:rsidRPr="00200247" w:rsidRDefault="0065324C" w:rsidP="002B0C1F">
      <w:pPr>
        <w:pStyle w:val="a5"/>
        <w:rPr>
          <w:rFonts w:asciiTheme="majorHAnsi" w:hAnsiTheme="majorHAnsi" w:cstheme="majorHAnsi"/>
        </w:rPr>
      </w:pPr>
      <w:r w:rsidRPr="00200247">
        <w:rPr>
          <w:rStyle w:val="ab"/>
          <w:rFonts w:asciiTheme="majorHAnsi" w:hAnsiTheme="majorHAnsi" w:cstheme="majorHAnsi"/>
        </w:rPr>
        <w:footnoteRef/>
      </w:r>
      <w:r>
        <w:rPr>
          <w:rFonts w:asciiTheme="majorHAnsi" w:hAnsiTheme="majorHAnsi" w:cstheme="majorHAnsi"/>
        </w:rPr>
        <w:t xml:space="preserve"> Mărimea întrei</w:t>
      </w:r>
      <w:r w:rsidRPr="00200247">
        <w:rPr>
          <w:rFonts w:asciiTheme="majorHAnsi" w:hAnsiTheme="majorHAnsi" w:cstheme="majorHAnsi"/>
        </w:rPr>
        <w:t>tă constituie 64 515  MDL.</w:t>
      </w:r>
    </w:p>
  </w:footnote>
  <w:footnote w:id="72">
    <w:p w:rsidR="0065324C" w:rsidRPr="006567CA" w:rsidRDefault="0065324C" w:rsidP="00371431">
      <w:pPr>
        <w:pStyle w:val="a5"/>
        <w:rPr>
          <w:rFonts w:asciiTheme="majorHAnsi" w:hAnsiTheme="majorHAnsi"/>
        </w:rPr>
      </w:pPr>
      <w:r w:rsidRPr="001E723D">
        <w:rPr>
          <w:rStyle w:val="ab"/>
          <w:rFonts w:asciiTheme="majorHAnsi" w:hAnsiTheme="majorHAnsi"/>
        </w:rPr>
        <w:footnoteRef/>
      </w:r>
      <w:r w:rsidRPr="001E723D">
        <w:rPr>
          <w:rFonts w:asciiTheme="majorHAnsi" w:hAnsiTheme="majorHAnsi"/>
        </w:rPr>
        <w:t xml:space="preserve"> HG nr.54 din17.01.2018 „</w:t>
      </w:r>
      <w:r w:rsidRPr="001E723D">
        <w:rPr>
          <w:rFonts w:asciiTheme="majorHAnsi" w:hAnsiTheme="majorHAnsi"/>
          <w:bCs/>
        </w:rPr>
        <w:t>Privind aprobarea cuantumului salariului mediu lunar pe economie, prognozat pentru anul 2018”.</w:t>
      </w:r>
    </w:p>
  </w:footnote>
  <w:footnote w:id="73">
    <w:p w:rsidR="0065324C" w:rsidRPr="00D71FCD" w:rsidRDefault="0065324C" w:rsidP="002B0C1F">
      <w:pPr>
        <w:pStyle w:val="a5"/>
        <w:rPr>
          <w:rFonts w:asciiTheme="majorHAnsi" w:hAnsiTheme="majorHAnsi" w:cstheme="majorHAnsi"/>
        </w:rPr>
      </w:pPr>
      <w:r w:rsidRPr="00D71FCD">
        <w:rPr>
          <w:rStyle w:val="ab"/>
          <w:rFonts w:asciiTheme="majorHAnsi" w:hAnsiTheme="majorHAnsi" w:cstheme="majorHAnsi"/>
        </w:rPr>
        <w:footnoteRef/>
      </w:r>
      <w:r w:rsidRPr="00D71FCD">
        <w:rPr>
          <w:rFonts w:asciiTheme="majorHAnsi" w:hAnsiTheme="majorHAnsi" w:cstheme="majorHAnsi"/>
        </w:rPr>
        <w:t xml:space="preserve"> Aprobat prin Ordinul directorului Oficiului Naţional al Viei şi Vinului nr.02 din 04.02.2019.</w:t>
      </w:r>
    </w:p>
  </w:footnote>
  <w:footnote w:id="74">
    <w:p w:rsidR="0065324C" w:rsidRPr="00D71FCD" w:rsidRDefault="0065324C" w:rsidP="002B0C1F">
      <w:pPr>
        <w:pStyle w:val="a5"/>
        <w:rPr>
          <w:rFonts w:asciiTheme="majorHAnsi" w:hAnsiTheme="majorHAnsi" w:cstheme="majorHAnsi"/>
        </w:rPr>
      </w:pPr>
      <w:r w:rsidRPr="00D71FCD">
        <w:rPr>
          <w:rStyle w:val="ab"/>
          <w:rFonts w:asciiTheme="majorHAnsi" w:hAnsiTheme="majorHAnsi" w:cstheme="majorHAnsi"/>
        </w:rPr>
        <w:footnoteRef/>
      </w:r>
      <w:r w:rsidRPr="00D71FCD">
        <w:rPr>
          <w:rFonts w:asciiTheme="majorHAnsi" w:hAnsiTheme="majorHAnsi" w:cstheme="majorHAnsi"/>
        </w:rPr>
        <w:t xml:space="preserve"> Contractul de studii universitare, ciclul III, doctorat nr.70/MV din 11.04.2018</w:t>
      </w:r>
      <w:r>
        <w:rPr>
          <w:rFonts w:asciiTheme="majorHAnsi" w:hAnsiTheme="majorHAnsi" w:cstheme="majorHAnsi"/>
        </w:rPr>
        <w:t>,</w:t>
      </w:r>
      <w:r w:rsidRPr="00D71FCD">
        <w:rPr>
          <w:rFonts w:asciiTheme="majorHAnsi" w:hAnsiTheme="majorHAnsi" w:cstheme="majorHAnsi"/>
        </w:rPr>
        <w:t xml:space="preserve"> încheiat între Academia de Studii Economice din Moldova, Oficiul Naţional al Viei şi Vinului şi doctorand.</w:t>
      </w:r>
    </w:p>
  </w:footnote>
  <w:footnote w:id="75">
    <w:p w:rsidR="0065324C" w:rsidRPr="00D71FCD" w:rsidRDefault="0065324C" w:rsidP="002B0C1F">
      <w:pPr>
        <w:pStyle w:val="a5"/>
        <w:rPr>
          <w:rFonts w:asciiTheme="majorHAnsi" w:hAnsiTheme="majorHAnsi" w:cstheme="majorHAnsi"/>
        </w:rPr>
      </w:pPr>
      <w:r w:rsidRPr="00D71FCD">
        <w:rPr>
          <w:rStyle w:val="ab"/>
          <w:rFonts w:asciiTheme="majorHAnsi" w:hAnsiTheme="majorHAnsi" w:cstheme="majorHAnsi"/>
        </w:rPr>
        <w:footnoteRef/>
      </w:r>
      <w:r w:rsidRPr="00D71FCD">
        <w:rPr>
          <w:rFonts w:asciiTheme="majorHAnsi" w:hAnsiTheme="majorHAnsi" w:cstheme="majorHAnsi"/>
        </w:rPr>
        <w:t xml:space="preserve"> Art.217 alin.(1) </w:t>
      </w:r>
      <w:proofErr w:type="spellStart"/>
      <w:r w:rsidRPr="00D71FCD">
        <w:rPr>
          <w:rFonts w:asciiTheme="majorHAnsi" w:hAnsiTheme="majorHAnsi" w:cstheme="majorHAnsi"/>
        </w:rPr>
        <w:t>lit.g</w:t>
      </w:r>
      <w:proofErr w:type="spellEnd"/>
      <w:r w:rsidRPr="00D71FCD">
        <w:rPr>
          <w:rFonts w:asciiTheme="majorHAnsi" w:hAnsiTheme="majorHAnsi" w:cstheme="majorHAnsi"/>
        </w:rPr>
        <w:t xml:space="preserve">) </w:t>
      </w:r>
      <w:r w:rsidRPr="001E723D">
        <w:rPr>
          <w:rFonts w:asciiTheme="majorHAnsi" w:hAnsiTheme="majorHAnsi" w:cstheme="majorHAnsi"/>
        </w:rPr>
        <w:t>din Codul muncii</w:t>
      </w:r>
      <w:r w:rsidRPr="00D71FCD">
        <w:rPr>
          <w:rFonts w:asciiTheme="majorHAnsi" w:hAnsiTheme="majorHAnsi" w:cstheme="majorHAnsi"/>
        </w:rPr>
        <w:t>.</w:t>
      </w:r>
    </w:p>
  </w:footnote>
  <w:footnote w:id="76">
    <w:p w:rsidR="0065324C" w:rsidRPr="00A621EA" w:rsidRDefault="0065324C" w:rsidP="002B0C1F">
      <w:pPr>
        <w:pStyle w:val="a5"/>
        <w:rPr>
          <w:rFonts w:asciiTheme="majorHAnsi" w:hAnsiTheme="majorHAnsi" w:cstheme="majorHAnsi"/>
        </w:rPr>
      </w:pPr>
      <w:r w:rsidRPr="00A621EA">
        <w:rPr>
          <w:rStyle w:val="ab"/>
          <w:rFonts w:asciiTheme="majorHAnsi" w:hAnsiTheme="majorHAnsi" w:cstheme="majorHAnsi"/>
        </w:rPr>
        <w:footnoteRef/>
      </w:r>
      <w:r w:rsidRPr="00A621EA">
        <w:rPr>
          <w:rFonts w:asciiTheme="majorHAnsi" w:hAnsiTheme="majorHAnsi" w:cstheme="majorHAnsi"/>
        </w:rPr>
        <w:t xml:space="preserve"> Art.4 din Legea nr.229 din 23.09.2010 privind controlul financiar public intern.</w:t>
      </w:r>
    </w:p>
  </w:footnote>
  <w:footnote w:id="77">
    <w:p w:rsidR="0065324C" w:rsidRPr="00A621EA" w:rsidRDefault="0065324C" w:rsidP="00EF02BA">
      <w:pPr>
        <w:pStyle w:val="a5"/>
        <w:rPr>
          <w:rFonts w:asciiTheme="majorHAnsi" w:hAnsiTheme="majorHAnsi"/>
        </w:rPr>
      </w:pPr>
      <w:r w:rsidRPr="00A621EA">
        <w:rPr>
          <w:rStyle w:val="ab"/>
          <w:rFonts w:asciiTheme="majorHAnsi" w:hAnsiTheme="majorHAnsi"/>
        </w:rPr>
        <w:footnoteRef/>
      </w:r>
      <w:r w:rsidRPr="00A621EA">
        <w:rPr>
          <w:rFonts w:asciiTheme="majorHAnsi" w:hAnsiTheme="majorHAnsi"/>
        </w:rPr>
        <w:t xml:space="preserve"> Pct.</w:t>
      </w:r>
      <w:r>
        <w:rPr>
          <w:rFonts w:asciiTheme="majorHAnsi" w:hAnsiTheme="majorHAnsi"/>
        </w:rPr>
        <w:t>2</w:t>
      </w:r>
      <w:r w:rsidRPr="00A621EA">
        <w:rPr>
          <w:rFonts w:asciiTheme="majorHAnsi" w:hAnsiTheme="majorHAnsi"/>
        </w:rPr>
        <w:t xml:space="preserve"> din HG nr.</w:t>
      </w:r>
      <w:r w:rsidRPr="00A621EA">
        <w:rPr>
          <w:rFonts w:asciiTheme="majorHAnsi" w:hAnsiTheme="majorHAnsi" w:cs="Tahoma"/>
          <w:lang w:eastAsia="en-US"/>
        </w:rPr>
        <w:t xml:space="preserve">10 din 05.01.2012 care </w:t>
      </w:r>
      <w:r w:rsidRPr="00A621EA">
        <w:rPr>
          <w:rFonts w:asciiTheme="majorHAnsi" w:hAnsiTheme="majorHAnsi" w:cstheme="majorHAnsi"/>
        </w:rPr>
        <w:t>reglementează cheltuielile pentru deplasarea în interes de serviciu a salariaţilor încadrați în statele de personal ale entităților.</w:t>
      </w:r>
    </w:p>
  </w:footnote>
  <w:footnote w:id="78">
    <w:p w:rsidR="0065324C" w:rsidRPr="00A621EA" w:rsidRDefault="0065324C" w:rsidP="00277C16">
      <w:pPr>
        <w:pStyle w:val="a5"/>
        <w:rPr>
          <w:rFonts w:asciiTheme="majorHAnsi" w:hAnsiTheme="majorHAnsi"/>
        </w:rPr>
      </w:pPr>
      <w:r w:rsidRPr="00A621EA">
        <w:rPr>
          <w:rStyle w:val="ab"/>
          <w:rFonts w:asciiTheme="majorHAnsi" w:hAnsiTheme="majorHAnsi"/>
        </w:rPr>
        <w:footnoteRef/>
      </w:r>
      <w:r w:rsidRPr="00A621EA">
        <w:rPr>
          <w:rFonts w:asciiTheme="majorHAnsi" w:hAnsiTheme="majorHAnsi"/>
        </w:rPr>
        <w:t xml:space="preserve"> Inclusiv reprezentantul MADRM – 0,02 </w:t>
      </w:r>
      <w:proofErr w:type="spellStart"/>
      <w:r w:rsidRPr="00A621EA">
        <w:rPr>
          <w:rFonts w:asciiTheme="majorHAnsi" w:hAnsiTheme="majorHAnsi"/>
        </w:rPr>
        <w:t>mil.</w:t>
      </w:r>
      <w:r>
        <w:rPr>
          <w:rFonts w:asciiTheme="majorHAnsi" w:hAnsiTheme="majorHAnsi"/>
        </w:rPr>
        <w:t>MDL</w:t>
      </w:r>
      <w:proofErr w:type="spellEnd"/>
      <w:r w:rsidRPr="00A621EA">
        <w:rPr>
          <w:rFonts w:asciiTheme="majorHAnsi" w:hAnsiTheme="majorHAnsi"/>
        </w:rPr>
        <w:t>.</w:t>
      </w:r>
    </w:p>
  </w:footnote>
  <w:footnote w:id="79">
    <w:p w:rsidR="0065324C" w:rsidRPr="00A621EA" w:rsidRDefault="0065324C" w:rsidP="00277C16">
      <w:pPr>
        <w:pStyle w:val="a5"/>
        <w:rPr>
          <w:rFonts w:asciiTheme="majorHAnsi" w:hAnsiTheme="majorHAnsi"/>
        </w:rPr>
      </w:pPr>
      <w:r w:rsidRPr="00A621EA">
        <w:rPr>
          <w:rStyle w:val="ab"/>
          <w:rFonts w:asciiTheme="majorHAnsi" w:hAnsiTheme="majorHAnsi"/>
        </w:rPr>
        <w:footnoteRef/>
      </w:r>
      <w:r w:rsidRPr="00A621EA">
        <w:rPr>
          <w:rFonts w:asciiTheme="majorHAnsi" w:hAnsiTheme="majorHAnsi"/>
        </w:rPr>
        <w:t xml:space="preserve"> Inclusiv deputați, șefi ai APC.</w:t>
      </w:r>
    </w:p>
  </w:footnote>
  <w:footnote w:id="80">
    <w:p w:rsidR="0065324C" w:rsidRPr="00A621EA" w:rsidRDefault="0065324C" w:rsidP="00277C16">
      <w:pPr>
        <w:pStyle w:val="a5"/>
        <w:rPr>
          <w:rFonts w:asciiTheme="majorHAnsi" w:hAnsiTheme="majorHAnsi"/>
        </w:rPr>
      </w:pPr>
      <w:r w:rsidRPr="00A621EA">
        <w:rPr>
          <w:rStyle w:val="ab"/>
          <w:rFonts w:asciiTheme="majorHAnsi" w:hAnsiTheme="majorHAnsi"/>
        </w:rPr>
        <w:footnoteRef/>
      </w:r>
      <w:r w:rsidRPr="00A621EA">
        <w:rPr>
          <w:rFonts w:asciiTheme="majorHAnsi" w:hAnsiTheme="majorHAnsi"/>
        </w:rPr>
        <w:t xml:space="preserve"> 5 zile lucrătoare.</w:t>
      </w:r>
    </w:p>
  </w:footnote>
  <w:footnote w:id="81">
    <w:p w:rsidR="0065324C" w:rsidRPr="00195DF6" w:rsidRDefault="0065324C" w:rsidP="002B0C1F">
      <w:pPr>
        <w:pStyle w:val="a5"/>
        <w:rPr>
          <w:rFonts w:asciiTheme="majorHAnsi" w:hAnsiTheme="majorHAnsi" w:cstheme="majorHAnsi"/>
        </w:rPr>
      </w:pPr>
      <w:r w:rsidRPr="00195DF6">
        <w:rPr>
          <w:rStyle w:val="ab"/>
          <w:rFonts w:asciiTheme="majorHAnsi" w:hAnsiTheme="majorHAnsi" w:cstheme="majorHAnsi"/>
        </w:rPr>
        <w:footnoteRef/>
      </w:r>
      <w:r w:rsidRPr="00195DF6">
        <w:rPr>
          <w:rFonts w:asciiTheme="majorHAnsi" w:hAnsiTheme="majorHAnsi" w:cstheme="majorHAnsi"/>
        </w:rPr>
        <w:t xml:space="preserve"> Pct.6 din Anexa nr.1 la HG nr.101 din 30.01.2018 </w:t>
      </w:r>
      <w:r>
        <w:rPr>
          <w:rFonts w:asciiTheme="majorHAnsi" w:hAnsiTheme="majorHAnsi" w:cstheme="majorHAnsi"/>
        </w:rPr>
        <w:t>„P</w:t>
      </w:r>
      <w:r w:rsidRPr="00195DF6">
        <w:rPr>
          <w:rFonts w:asciiTheme="majorHAnsi" w:hAnsiTheme="majorHAnsi" w:cstheme="majorHAnsi"/>
        </w:rPr>
        <w:t xml:space="preserve">entru aprobarea </w:t>
      </w:r>
      <w:r w:rsidRPr="00D35471">
        <w:rPr>
          <w:rFonts w:asciiTheme="majorHAnsi" w:hAnsiTheme="majorHAnsi" w:cstheme="majorHAnsi"/>
        </w:rPr>
        <w:t>Regulamentului privind modul de utilizare a mijloacelor financiare pentru deservirea delegațiilor și persoanelor oficiale străine”.</w:t>
      </w:r>
    </w:p>
  </w:footnote>
  <w:footnote w:id="82">
    <w:p w:rsidR="0065324C" w:rsidRPr="005C7179" w:rsidRDefault="0065324C" w:rsidP="002B0C1F">
      <w:pPr>
        <w:pStyle w:val="a5"/>
        <w:rPr>
          <w:rFonts w:asciiTheme="majorHAnsi" w:hAnsiTheme="majorHAnsi" w:cstheme="majorHAnsi"/>
        </w:rPr>
      </w:pPr>
      <w:r w:rsidRPr="005C7179">
        <w:rPr>
          <w:rStyle w:val="ab"/>
          <w:rFonts w:asciiTheme="majorHAnsi" w:hAnsiTheme="majorHAnsi" w:cstheme="majorHAnsi"/>
        </w:rPr>
        <w:footnoteRef/>
      </w:r>
      <w:r w:rsidRPr="005C7179">
        <w:rPr>
          <w:rFonts w:asciiTheme="majorHAnsi" w:hAnsiTheme="majorHAnsi" w:cstheme="majorHAnsi"/>
        </w:rPr>
        <w:t xml:space="preserve"> Pct.8 din Anexa nr.1 la HG nr.101 din 30.01.2018.</w:t>
      </w:r>
    </w:p>
  </w:footnote>
  <w:footnote w:id="83">
    <w:p w:rsidR="0065324C" w:rsidRPr="005C7179" w:rsidRDefault="0065324C" w:rsidP="002B0C1F">
      <w:pPr>
        <w:pStyle w:val="a5"/>
        <w:rPr>
          <w:rFonts w:asciiTheme="majorHAnsi" w:hAnsiTheme="majorHAnsi" w:cstheme="majorHAnsi"/>
        </w:rPr>
      </w:pPr>
      <w:r w:rsidRPr="005C7179">
        <w:rPr>
          <w:rStyle w:val="ab"/>
          <w:rFonts w:asciiTheme="majorHAnsi" w:hAnsiTheme="majorHAnsi" w:cstheme="majorHAnsi"/>
        </w:rPr>
        <w:footnoteRef/>
      </w:r>
      <w:r w:rsidRPr="005C7179">
        <w:rPr>
          <w:rFonts w:asciiTheme="majorHAnsi" w:hAnsiTheme="majorHAnsi" w:cstheme="majorHAnsi"/>
        </w:rPr>
        <w:t xml:space="preserve"> Facturile fiscale prezentate de ONVV certifică prestarea serviciilor de cazare sau a serviciilor de deservire a delegației, însă acestea nu sunt însoțite de actele de primire-predare a serviciilor respective, neputând fi demonstrat care sunt peroanele care au beneficiat de serviciile respective, numărul efectiv de persoane deservite şi perioada în care au fost prestate serviciile. </w:t>
      </w:r>
    </w:p>
  </w:footnote>
  <w:footnote w:id="84">
    <w:p w:rsidR="0065324C" w:rsidRPr="005C7179" w:rsidRDefault="0065324C" w:rsidP="002B0C1F">
      <w:pPr>
        <w:pStyle w:val="a5"/>
        <w:rPr>
          <w:rFonts w:asciiTheme="majorHAnsi" w:hAnsiTheme="majorHAnsi" w:cstheme="majorHAnsi"/>
        </w:rPr>
      </w:pPr>
      <w:r w:rsidRPr="005C7179">
        <w:rPr>
          <w:rStyle w:val="ab"/>
          <w:rFonts w:asciiTheme="majorHAnsi" w:hAnsiTheme="majorHAnsi" w:cstheme="majorHAnsi"/>
        </w:rPr>
        <w:footnoteRef/>
      </w:r>
      <w:r w:rsidRPr="005C7179">
        <w:rPr>
          <w:rFonts w:asciiTheme="majorHAnsi" w:hAnsiTheme="majorHAnsi" w:cstheme="majorHAnsi"/>
        </w:rPr>
        <w:t xml:space="preserve"> Cadrul normativ clasifică oficialii străini în 3 grupe (pct.7 din Anexa nr.1 la HG nr.101 din 30.01.2018), limitele de cheltuieli variind în </w:t>
      </w:r>
      <w:r>
        <w:rPr>
          <w:rFonts w:asciiTheme="majorHAnsi" w:hAnsiTheme="majorHAnsi" w:cstheme="majorHAnsi"/>
        </w:rPr>
        <w:t>funcție</w:t>
      </w:r>
      <w:r w:rsidRPr="005C7179">
        <w:rPr>
          <w:rFonts w:asciiTheme="majorHAnsi" w:hAnsiTheme="majorHAnsi" w:cstheme="majorHAnsi"/>
        </w:rPr>
        <w:t xml:space="preserve"> de grupa </w:t>
      </w:r>
      <w:r>
        <w:rPr>
          <w:rFonts w:asciiTheme="majorHAnsi" w:hAnsiTheme="majorHAnsi" w:cstheme="majorHAnsi"/>
        </w:rPr>
        <w:t>la</w:t>
      </w:r>
      <w:r w:rsidRPr="005C7179">
        <w:rPr>
          <w:rFonts w:asciiTheme="majorHAnsi" w:hAnsiTheme="majorHAnsi" w:cstheme="majorHAnsi"/>
        </w:rPr>
        <w:t xml:space="preserve"> care delegația străină a fost atribuită. </w:t>
      </w:r>
    </w:p>
  </w:footnote>
  <w:footnote w:id="85">
    <w:p w:rsidR="0065324C" w:rsidRPr="005C7179" w:rsidRDefault="0065324C" w:rsidP="002B0C1F">
      <w:pPr>
        <w:pStyle w:val="a5"/>
        <w:rPr>
          <w:rFonts w:asciiTheme="majorHAnsi" w:hAnsiTheme="majorHAnsi" w:cstheme="majorHAnsi"/>
        </w:rPr>
      </w:pPr>
      <w:r w:rsidRPr="005C7179">
        <w:rPr>
          <w:rStyle w:val="ab"/>
          <w:rFonts w:asciiTheme="majorHAnsi" w:hAnsiTheme="majorHAnsi" w:cstheme="majorHAnsi"/>
        </w:rPr>
        <w:footnoteRef/>
      </w:r>
      <w:r w:rsidRPr="005C7179">
        <w:rPr>
          <w:rFonts w:asciiTheme="majorHAnsi" w:hAnsiTheme="majorHAnsi" w:cstheme="majorHAnsi"/>
        </w:rPr>
        <w:t xml:space="preserve"> Pct.8 din Anexa nr.1 la HG nr.101 din 30.01.2018.</w:t>
      </w:r>
    </w:p>
  </w:footnote>
  <w:footnote w:id="86">
    <w:p w:rsidR="0065324C" w:rsidRPr="005C7179" w:rsidRDefault="0065324C" w:rsidP="002B0C1F">
      <w:pPr>
        <w:pStyle w:val="a3"/>
        <w:ind w:firstLine="0"/>
        <w:rPr>
          <w:rFonts w:asciiTheme="majorHAnsi" w:eastAsia="Times New Roman" w:hAnsiTheme="majorHAnsi" w:cstheme="majorHAnsi"/>
          <w:sz w:val="20"/>
          <w:szCs w:val="20"/>
          <w:lang w:val="ro-RO"/>
        </w:rPr>
      </w:pPr>
      <w:r w:rsidRPr="005C7179">
        <w:rPr>
          <w:rStyle w:val="ab"/>
          <w:rFonts w:asciiTheme="majorHAnsi" w:hAnsiTheme="majorHAnsi" w:cstheme="majorHAnsi"/>
          <w:sz w:val="20"/>
          <w:szCs w:val="20"/>
        </w:rPr>
        <w:footnoteRef/>
      </w:r>
      <w:r w:rsidRPr="005C7179">
        <w:rPr>
          <w:rFonts w:asciiTheme="majorHAnsi" w:hAnsiTheme="majorHAnsi" w:cstheme="majorHAnsi"/>
          <w:sz w:val="20"/>
          <w:szCs w:val="20"/>
          <w:lang w:val="ro-RO"/>
        </w:rPr>
        <w:t xml:space="preserve"> Pct.2 din Anexa nr.1 la HG nr.101 din 30.01.2018</w:t>
      </w:r>
      <w:r>
        <w:rPr>
          <w:rFonts w:asciiTheme="majorHAnsi" w:hAnsiTheme="majorHAnsi" w:cstheme="majorHAnsi"/>
          <w:sz w:val="20"/>
          <w:szCs w:val="20"/>
          <w:lang w:val="ro-RO"/>
        </w:rPr>
        <w:t xml:space="preserve"> </w:t>
      </w:r>
      <w:r w:rsidRPr="005C7179">
        <w:rPr>
          <w:rFonts w:asciiTheme="majorHAnsi" w:hAnsiTheme="majorHAnsi" w:cstheme="majorHAnsi"/>
          <w:sz w:val="20"/>
          <w:szCs w:val="20"/>
          <w:lang w:val="ro-RO"/>
        </w:rPr>
        <w:t>s</w:t>
      </w:r>
      <w:r>
        <w:rPr>
          <w:rFonts w:asciiTheme="majorHAnsi" w:hAnsiTheme="majorHAnsi" w:cstheme="majorHAnsi"/>
          <w:sz w:val="20"/>
          <w:szCs w:val="20"/>
          <w:lang w:val="ro-RO"/>
        </w:rPr>
        <w:t>t</w:t>
      </w:r>
      <w:r w:rsidRPr="005C7179">
        <w:rPr>
          <w:rFonts w:asciiTheme="majorHAnsi" w:hAnsiTheme="majorHAnsi" w:cstheme="majorHAnsi"/>
          <w:sz w:val="20"/>
          <w:szCs w:val="20"/>
          <w:lang w:val="ro-RO"/>
        </w:rPr>
        <w:t xml:space="preserve">ipulează ca noțiune </w:t>
      </w:r>
      <w:r w:rsidRPr="005C7179">
        <w:rPr>
          <w:rFonts w:asciiTheme="majorHAnsi" w:hAnsiTheme="majorHAnsi" w:cstheme="majorHAnsi"/>
          <w:i/>
          <w:sz w:val="20"/>
          <w:szCs w:val="20"/>
          <w:lang w:val="ro-RO"/>
        </w:rPr>
        <w:t>„</w:t>
      </w:r>
      <w:r w:rsidRPr="005C7179">
        <w:rPr>
          <w:rFonts w:asciiTheme="majorHAnsi" w:eastAsia="Times New Roman" w:hAnsiTheme="majorHAnsi" w:cstheme="majorHAnsi"/>
          <w:i/>
          <w:iCs/>
          <w:sz w:val="20"/>
          <w:szCs w:val="20"/>
          <w:lang w:val="ro-RO"/>
        </w:rPr>
        <w:t xml:space="preserve">delegație oficială străină </w:t>
      </w:r>
      <w:r w:rsidRPr="005C7179">
        <w:rPr>
          <w:rFonts w:asciiTheme="majorHAnsi" w:eastAsia="Times New Roman" w:hAnsiTheme="majorHAnsi" w:cstheme="majorHAnsi"/>
          <w:i/>
          <w:sz w:val="20"/>
          <w:szCs w:val="20"/>
          <w:lang w:val="ro-RO"/>
        </w:rPr>
        <w:t>– oficiali străini care se află în Republica Moldova la invitația demnitarilor moldoveni”.</w:t>
      </w:r>
    </w:p>
  </w:footnote>
  <w:footnote w:id="87">
    <w:p w:rsidR="0065324C" w:rsidRPr="005C7179" w:rsidRDefault="0065324C" w:rsidP="002B0C1F">
      <w:pPr>
        <w:pStyle w:val="a5"/>
        <w:rPr>
          <w:rFonts w:asciiTheme="majorHAnsi" w:hAnsiTheme="majorHAnsi" w:cstheme="majorHAnsi"/>
        </w:rPr>
      </w:pPr>
      <w:r w:rsidRPr="005C7179">
        <w:rPr>
          <w:rStyle w:val="ab"/>
          <w:rFonts w:asciiTheme="majorHAnsi" w:hAnsiTheme="majorHAnsi" w:cstheme="majorHAnsi"/>
        </w:rPr>
        <w:footnoteRef/>
      </w:r>
      <w:r w:rsidRPr="005C7179">
        <w:rPr>
          <w:rFonts w:asciiTheme="majorHAnsi" w:hAnsiTheme="majorHAnsi" w:cstheme="majorHAnsi"/>
        </w:rPr>
        <w:t xml:space="preserve"> În perioada 16-19 iulie 2018.</w:t>
      </w:r>
    </w:p>
  </w:footnote>
  <w:footnote w:id="88">
    <w:p w:rsidR="0065324C" w:rsidRPr="00935457" w:rsidRDefault="0065324C" w:rsidP="002B0C1F">
      <w:pPr>
        <w:pStyle w:val="a5"/>
        <w:rPr>
          <w:rFonts w:asciiTheme="majorHAnsi" w:hAnsiTheme="majorHAnsi" w:cstheme="majorHAnsi"/>
        </w:rPr>
      </w:pPr>
      <w:r w:rsidRPr="00994BCE">
        <w:rPr>
          <w:rStyle w:val="ab"/>
          <w:rFonts w:asciiTheme="majorHAnsi" w:hAnsiTheme="majorHAnsi" w:cstheme="majorHAnsi"/>
        </w:rPr>
        <w:footnoteRef/>
      </w:r>
      <w:r w:rsidRPr="00994BCE">
        <w:rPr>
          <w:rFonts w:asciiTheme="majorHAnsi" w:hAnsiTheme="majorHAnsi" w:cstheme="majorHAnsi"/>
        </w:rPr>
        <w:t xml:space="preserve"> </w:t>
      </w:r>
      <w:r w:rsidRPr="00935457">
        <w:rPr>
          <w:rFonts w:asciiTheme="majorHAnsi" w:hAnsiTheme="majorHAnsi" w:cstheme="majorHAnsi"/>
        </w:rPr>
        <w:t>Instituţia respect</w:t>
      </w:r>
      <w:r>
        <w:rPr>
          <w:rFonts w:asciiTheme="majorHAnsi" w:hAnsiTheme="majorHAnsi" w:cstheme="majorHAnsi"/>
        </w:rPr>
        <w:t>ivă are atribuții similare Agenţi</w:t>
      </w:r>
      <w:r w:rsidRPr="00935457">
        <w:rPr>
          <w:rFonts w:asciiTheme="majorHAnsi" w:hAnsiTheme="majorHAnsi" w:cstheme="majorHAnsi"/>
        </w:rPr>
        <w:t>ei Naţionale pentru Siguranța Alimentelor din RM.</w:t>
      </w:r>
    </w:p>
  </w:footnote>
  <w:footnote w:id="89">
    <w:p w:rsidR="0065324C" w:rsidRPr="00D35471" w:rsidRDefault="0065324C" w:rsidP="002B0C1F">
      <w:pPr>
        <w:pStyle w:val="a5"/>
        <w:rPr>
          <w:rFonts w:asciiTheme="majorHAnsi" w:hAnsiTheme="majorHAnsi"/>
        </w:rPr>
      </w:pPr>
      <w:r w:rsidRPr="00935457">
        <w:rPr>
          <w:rStyle w:val="ab"/>
          <w:rFonts w:asciiTheme="majorHAnsi" w:hAnsiTheme="majorHAnsi"/>
        </w:rPr>
        <w:footnoteRef/>
      </w:r>
      <w:r w:rsidRPr="00935457">
        <w:rPr>
          <w:rFonts w:asciiTheme="majorHAnsi" w:hAnsiTheme="majorHAnsi"/>
        </w:rPr>
        <w:t xml:space="preserve"> Contractul nr.121/MV din 09.07.2018 de achiziționare </w:t>
      </w:r>
      <w:r w:rsidRPr="00D35471">
        <w:rPr>
          <w:rFonts w:asciiTheme="majorHAnsi" w:hAnsiTheme="majorHAnsi"/>
        </w:rPr>
        <w:t xml:space="preserve">a serviciilor de valoare mică cu valoarea totală de 15,5 mii MDL. </w:t>
      </w:r>
    </w:p>
  </w:footnote>
  <w:footnote w:id="90">
    <w:p w:rsidR="0065324C" w:rsidRPr="00935457" w:rsidRDefault="0065324C" w:rsidP="002B0C1F">
      <w:pPr>
        <w:pStyle w:val="a5"/>
        <w:rPr>
          <w:rFonts w:asciiTheme="majorHAnsi" w:hAnsiTheme="majorHAnsi"/>
        </w:rPr>
      </w:pPr>
      <w:r w:rsidRPr="00D35471">
        <w:rPr>
          <w:rStyle w:val="ab"/>
          <w:rFonts w:asciiTheme="majorHAnsi" w:hAnsiTheme="majorHAnsi"/>
        </w:rPr>
        <w:footnoteRef/>
      </w:r>
      <w:r w:rsidRPr="00D35471">
        <w:rPr>
          <w:rFonts w:asciiTheme="majorHAnsi" w:hAnsiTheme="majorHAnsi"/>
        </w:rPr>
        <w:t xml:space="preserve"> Contractul nr.120/MV din 09.07.2018 de achiziționare a serviciilor de valoare</w:t>
      </w:r>
      <w:r w:rsidRPr="00935457">
        <w:rPr>
          <w:rFonts w:asciiTheme="majorHAnsi" w:hAnsiTheme="majorHAnsi"/>
        </w:rPr>
        <w:t xml:space="preserve"> mică </w:t>
      </w:r>
      <w:r>
        <w:rPr>
          <w:rFonts w:asciiTheme="majorHAnsi" w:hAnsiTheme="majorHAnsi"/>
        </w:rPr>
        <w:t>în sumă</w:t>
      </w:r>
      <w:r w:rsidRPr="00935457">
        <w:rPr>
          <w:rFonts w:asciiTheme="majorHAnsi" w:hAnsiTheme="majorHAnsi"/>
        </w:rPr>
        <w:t xml:space="preserve"> totală de 17,7 mii MDL.</w:t>
      </w:r>
    </w:p>
  </w:footnote>
  <w:footnote w:id="91">
    <w:p w:rsidR="0065324C" w:rsidRPr="00753F94" w:rsidRDefault="0065324C" w:rsidP="002B0C1F">
      <w:pPr>
        <w:pStyle w:val="a5"/>
        <w:rPr>
          <w:rFonts w:asciiTheme="majorHAnsi" w:hAnsiTheme="majorHAnsi" w:cstheme="majorHAnsi"/>
        </w:rPr>
      </w:pPr>
      <w:r w:rsidRPr="00753F94">
        <w:rPr>
          <w:rStyle w:val="ab"/>
          <w:rFonts w:asciiTheme="majorHAnsi" w:hAnsiTheme="majorHAnsi" w:cstheme="majorHAnsi"/>
        </w:rPr>
        <w:footnoteRef/>
      </w:r>
      <w:r w:rsidRPr="00753F94">
        <w:rPr>
          <w:rFonts w:asciiTheme="majorHAnsi" w:hAnsiTheme="majorHAnsi" w:cstheme="majorHAnsi"/>
        </w:rPr>
        <w:t xml:space="preserve"> Decontul de avans nr.74 din 04.09.2018.</w:t>
      </w:r>
    </w:p>
  </w:footnote>
  <w:footnote w:id="92">
    <w:p w:rsidR="0065324C" w:rsidRPr="00753F94" w:rsidRDefault="0065324C" w:rsidP="0027438B">
      <w:pPr>
        <w:pStyle w:val="a5"/>
        <w:rPr>
          <w:rFonts w:asciiTheme="majorHAnsi" w:hAnsiTheme="majorHAnsi" w:cstheme="majorHAnsi"/>
        </w:rPr>
      </w:pPr>
      <w:r w:rsidRPr="00D35471">
        <w:rPr>
          <w:rStyle w:val="ab"/>
          <w:rFonts w:asciiTheme="majorHAnsi" w:eastAsiaTheme="majorEastAsia" w:hAnsiTheme="majorHAnsi" w:cstheme="majorHAnsi"/>
        </w:rPr>
        <w:footnoteRef/>
      </w:r>
      <w:r w:rsidRPr="00753F94">
        <w:rPr>
          <w:rFonts w:asciiTheme="majorHAnsi" w:hAnsiTheme="majorHAnsi" w:cstheme="majorHAnsi"/>
        </w:rPr>
        <w:t xml:space="preserve"> Art.46 alin.(2) din Legea nr.131 din 03.07.2015 privind achiziţiile publice.</w:t>
      </w:r>
    </w:p>
  </w:footnote>
  <w:footnote w:id="93">
    <w:p w:rsidR="0065324C" w:rsidRPr="00753F94" w:rsidRDefault="0065324C" w:rsidP="009D55E2">
      <w:pPr>
        <w:pStyle w:val="a5"/>
        <w:rPr>
          <w:rFonts w:asciiTheme="majorHAnsi" w:hAnsiTheme="majorHAnsi" w:cstheme="majorHAnsi"/>
        </w:rPr>
      </w:pPr>
      <w:r w:rsidRPr="00753F94">
        <w:rPr>
          <w:rStyle w:val="ab"/>
          <w:rFonts w:asciiTheme="majorHAnsi" w:hAnsiTheme="majorHAnsi" w:cstheme="majorHAnsi"/>
        </w:rPr>
        <w:footnoteRef/>
      </w:r>
      <w:r w:rsidRPr="00753F94">
        <w:rPr>
          <w:rFonts w:asciiTheme="majorHAnsi" w:hAnsiTheme="majorHAnsi" w:cstheme="majorHAnsi"/>
        </w:rPr>
        <w:t xml:space="preserve"> Participarea la aceste evenimente face parte din </w:t>
      </w:r>
      <w:r>
        <w:rPr>
          <w:rFonts w:asciiTheme="majorHAnsi" w:hAnsiTheme="majorHAnsi" w:cstheme="majorHAnsi"/>
        </w:rPr>
        <w:t>acțiunile</w:t>
      </w:r>
      <w:r w:rsidRPr="00753F94">
        <w:rPr>
          <w:rFonts w:asciiTheme="majorHAnsi" w:hAnsiTheme="majorHAnsi" w:cstheme="majorHAnsi"/>
        </w:rPr>
        <w:t xml:space="preserve"> aprobate suplimentar de CC.</w:t>
      </w:r>
    </w:p>
  </w:footnote>
  <w:footnote w:id="94">
    <w:p w:rsidR="0065324C" w:rsidRPr="00DA4345" w:rsidRDefault="0065324C" w:rsidP="0027438B">
      <w:pPr>
        <w:pStyle w:val="a5"/>
        <w:rPr>
          <w:rFonts w:asciiTheme="majorHAnsi" w:hAnsiTheme="majorHAnsi" w:cstheme="majorHAnsi"/>
        </w:rPr>
      </w:pPr>
      <w:r w:rsidRPr="00DA4345">
        <w:rPr>
          <w:rStyle w:val="ab"/>
          <w:rFonts w:asciiTheme="majorHAnsi" w:eastAsiaTheme="majorEastAsia" w:hAnsiTheme="majorHAnsi" w:cstheme="majorHAnsi"/>
        </w:rPr>
        <w:footnoteRef/>
      </w:r>
      <w:r w:rsidRPr="00DA4345">
        <w:rPr>
          <w:rFonts w:asciiTheme="majorHAnsi" w:hAnsiTheme="majorHAnsi" w:cstheme="majorHAnsi"/>
        </w:rPr>
        <w:t xml:space="preserve"> </w:t>
      </w:r>
      <w:r w:rsidRPr="00753F94">
        <w:rPr>
          <w:rFonts w:asciiTheme="majorHAnsi" w:hAnsiTheme="majorHAnsi" w:cstheme="majorHAnsi"/>
        </w:rPr>
        <w:t>Nr.01/01-4958 din 25.10.2018 şi nr.01/01-5302 din 20.11.2018.</w:t>
      </w:r>
    </w:p>
  </w:footnote>
  <w:footnote w:id="95">
    <w:p w:rsidR="0065324C" w:rsidRPr="00DA4345" w:rsidRDefault="0065324C" w:rsidP="0027438B">
      <w:pPr>
        <w:pStyle w:val="a5"/>
        <w:rPr>
          <w:rFonts w:asciiTheme="majorHAnsi" w:hAnsiTheme="majorHAnsi" w:cstheme="majorHAnsi"/>
        </w:rPr>
      </w:pPr>
      <w:r w:rsidRPr="00DA4345">
        <w:rPr>
          <w:rStyle w:val="ab"/>
          <w:rFonts w:asciiTheme="majorHAnsi" w:eastAsiaTheme="majorEastAsia" w:hAnsiTheme="majorHAnsi" w:cstheme="majorHAnsi"/>
        </w:rPr>
        <w:footnoteRef/>
      </w:r>
      <w:r w:rsidRPr="00DA4345">
        <w:rPr>
          <w:rFonts w:asciiTheme="majorHAnsi" w:hAnsiTheme="majorHAnsi" w:cstheme="majorHAnsi"/>
        </w:rPr>
        <w:t xml:space="preserve"> </w:t>
      </w:r>
      <w:r w:rsidRPr="00753F94">
        <w:rPr>
          <w:rFonts w:asciiTheme="majorHAnsi" w:hAnsiTheme="majorHAnsi" w:cstheme="majorHAnsi"/>
        </w:rPr>
        <w:t>Nr.01/01-4958.</w:t>
      </w:r>
    </w:p>
  </w:footnote>
  <w:footnote w:id="96">
    <w:p w:rsidR="0065324C" w:rsidRPr="00DA4345" w:rsidRDefault="0065324C" w:rsidP="0027438B">
      <w:pPr>
        <w:pStyle w:val="a5"/>
        <w:rPr>
          <w:rFonts w:asciiTheme="majorHAnsi" w:hAnsiTheme="majorHAnsi" w:cstheme="majorHAnsi"/>
        </w:rPr>
      </w:pPr>
      <w:r w:rsidRPr="00DA4345">
        <w:rPr>
          <w:rStyle w:val="ab"/>
          <w:rFonts w:asciiTheme="majorHAnsi" w:eastAsiaTheme="majorEastAsia" w:hAnsiTheme="majorHAnsi" w:cstheme="majorHAnsi"/>
        </w:rPr>
        <w:footnoteRef/>
      </w:r>
      <w:r w:rsidRPr="00DA4345">
        <w:rPr>
          <w:rFonts w:asciiTheme="majorHAnsi" w:hAnsiTheme="majorHAnsi" w:cstheme="majorHAnsi"/>
        </w:rPr>
        <w:t xml:space="preserve"> </w:t>
      </w:r>
      <w:r w:rsidRPr="00753F94">
        <w:rPr>
          <w:rFonts w:asciiTheme="majorHAnsi" w:hAnsiTheme="majorHAnsi" w:cstheme="majorHAnsi"/>
        </w:rPr>
        <w:t>Nr.01/01-5302.</w:t>
      </w:r>
    </w:p>
  </w:footnote>
  <w:footnote w:id="97">
    <w:p w:rsidR="0065324C" w:rsidRPr="006530B9" w:rsidRDefault="0065324C" w:rsidP="0027438B">
      <w:pPr>
        <w:pStyle w:val="a5"/>
        <w:rPr>
          <w:rFonts w:asciiTheme="majorHAnsi" w:hAnsiTheme="majorHAnsi" w:cstheme="majorHAnsi"/>
        </w:rPr>
      </w:pPr>
      <w:r w:rsidRPr="00DA4345">
        <w:rPr>
          <w:rStyle w:val="ab"/>
          <w:rFonts w:asciiTheme="majorHAnsi" w:eastAsiaTheme="majorEastAsia" w:hAnsiTheme="majorHAnsi" w:cstheme="majorHAnsi"/>
        </w:rPr>
        <w:footnoteRef/>
      </w:r>
      <w:r w:rsidRPr="00DA4345">
        <w:rPr>
          <w:rFonts w:asciiTheme="majorHAnsi" w:hAnsiTheme="majorHAnsi" w:cstheme="majorHAnsi"/>
        </w:rPr>
        <w:t xml:space="preserve"> </w:t>
      </w:r>
      <w:r w:rsidRPr="00753F94">
        <w:rPr>
          <w:rFonts w:asciiTheme="majorHAnsi" w:hAnsiTheme="majorHAnsi" w:cstheme="majorHAnsi"/>
        </w:rPr>
        <w:t xml:space="preserve">20.11.2018, fiind încheiat </w:t>
      </w:r>
      <w:r>
        <w:rPr>
          <w:rFonts w:asciiTheme="majorHAnsi" w:hAnsiTheme="majorHAnsi" w:cstheme="majorHAnsi"/>
        </w:rPr>
        <w:t>C</w:t>
      </w:r>
      <w:r w:rsidRPr="00753F94">
        <w:rPr>
          <w:rFonts w:asciiTheme="majorHAnsi" w:hAnsiTheme="majorHAnsi" w:cstheme="majorHAnsi"/>
        </w:rPr>
        <w:t xml:space="preserve">ontractul de achiziţii publice nr.21/PN de achiziționare a serviciilor de promovare şi logistică în cadrul evenimentului „Ziua </w:t>
      </w:r>
      <w:r w:rsidRPr="006530B9">
        <w:rPr>
          <w:rFonts w:asciiTheme="majorHAnsi" w:hAnsiTheme="majorHAnsi" w:cstheme="majorHAnsi"/>
        </w:rPr>
        <w:t>profesională a lucrătorului din agricultură şi industria prelucrătoare”.</w:t>
      </w:r>
    </w:p>
  </w:footnote>
  <w:footnote w:id="98">
    <w:p w:rsidR="0065324C" w:rsidRPr="00DA4345" w:rsidRDefault="0065324C" w:rsidP="0027438B">
      <w:pPr>
        <w:pStyle w:val="a5"/>
        <w:rPr>
          <w:rFonts w:asciiTheme="majorHAnsi" w:hAnsiTheme="majorHAnsi" w:cstheme="majorHAnsi"/>
        </w:rPr>
      </w:pPr>
      <w:r w:rsidRPr="00DA4345">
        <w:rPr>
          <w:rStyle w:val="ab"/>
          <w:rFonts w:asciiTheme="majorHAnsi" w:eastAsiaTheme="majorEastAsia" w:hAnsiTheme="majorHAnsi" w:cstheme="majorHAnsi"/>
        </w:rPr>
        <w:footnoteRef/>
      </w:r>
      <w:r w:rsidRPr="006530B9">
        <w:rPr>
          <w:rFonts w:asciiTheme="majorHAnsi" w:hAnsiTheme="majorHAnsi" w:cstheme="majorHAnsi"/>
        </w:rPr>
        <w:t xml:space="preserve"> (i)</w:t>
      </w:r>
      <w:r w:rsidRPr="00DA4345">
        <w:rPr>
          <w:rFonts w:asciiTheme="majorHAnsi" w:hAnsiTheme="majorHAnsi" w:cstheme="majorHAnsi"/>
        </w:rPr>
        <w:t xml:space="preserve"> </w:t>
      </w:r>
      <w:r w:rsidRPr="006530B9">
        <w:rPr>
          <w:rFonts w:asciiTheme="majorHAnsi" w:hAnsiTheme="majorHAnsi" w:cstheme="majorHAnsi"/>
        </w:rPr>
        <w:t xml:space="preserve">Contractul nr.135/MV din 09.08.2018 </w:t>
      </w:r>
      <w:r>
        <w:rPr>
          <w:rFonts w:asciiTheme="majorHAnsi" w:hAnsiTheme="majorHAnsi" w:cstheme="majorHAnsi"/>
        </w:rPr>
        <w:t>–</w:t>
      </w:r>
      <w:r w:rsidRPr="006530B9">
        <w:rPr>
          <w:rFonts w:asciiTheme="majorHAnsi" w:hAnsiTheme="majorHAnsi" w:cstheme="majorHAnsi"/>
        </w:rPr>
        <w:t xml:space="preserve"> 10,0 mii MDL; (ii)</w:t>
      </w:r>
      <w:r w:rsidRPr="00DA4345">
        <w:rPr>
          <w:rFonts w:asciiTheme="majorHAnsi" w:hAnsiTheme="majorHAnsi" w:cstheme="majorHAnsi"/>
        </w:rPr>
        <w:t xml:space="preserve"> </w:t>
      </w:r>
      <w:r w:rsidRPr="006530B9">
        <w:rPr>
          <w:rFonts w:asciiTheme="majorHAnsi" w:hAnsiTheme="majorHAnsi" w:cstheme="majorHAnsi"/>
        </w:rPr>
        <w:t xml:space="preserve">Contractul nr.136/MV din 09.08.2018 </w:t>
      </w:r>
      <w:r>
        <w:rPr>
          <w:rFonts w:asciiTheme="majorHAnsi" w:hAnsiTheme="majorHAnsi" w:cstheme="majorHAnsi"/>
        </w:rPr>
        <w:t>– 45,9 mii MDL;</w:t>
      </w:r>
      <w:r w:rsidRPr="006530B9">
        <w:rPr>
          <w:rFonts w:asciiTheme="majorHAnsi" w:hAnsiTheme="majorHAnsi" w:cstheme="majorHAnsi"/>
        </w:rPr>
        <w:t xml:space="preserve"> (iii)</w:t>
      </w:r>
      <w:r w:rsidRPr="00DA4345">
        <w:rPr>
          <w:rFonts w:asciiTheme="majorHAnsi" w:hAnsiTheme="majorHAnsi" w:cstheme="majorHAnsi"/>
        </w:rPr>
        <w:t xml:space="preserve"> </w:t>
      </w:r>
      <w:r w:rsidRPr="006530B9">
        <w:rPr>
          <w:rFonts w:asciiTheme="majorHAnsi" w:hAnsiTheme="majorHAnsi" w:cstheme="majorHAnsi"/>
        </w:rPr>
        <w:t xml:space="preserve">Contractul nr.138/MV din 10.08.2018 </w:t>
      </w:r>
      <w:r>
        <w:rPr>
          <w:rFonts w:asciiTheme="majorHAnsi" w:hAnsiTheme="majorHAnsi" w:cstheme="majorHAnsi"/>
        </w:rPr>
        <w:t xml:space="preserve">– 96,0 mii MDL; </w:t>
      </w:r>
      <w:r w:rsidRPr="006530B9">
        <w:rPr>
          <w:rFonts w:asciiTheme="majorHAnsi" w:hAnsiTheme="majorHAnsi" w:cstheme="majorHAnsi"/>
        </w:rPr>
        <w:t>(iv)</w:t>
      </w:r>
      <w:r w:rsidRPr="00DA4345">
        <w:rPr>
          <w:rFonts w:asciiTheme="majorHAnsi" w:hAnsiTheme="majorHAnsi" w:cstheme="majorHAnsi"/>
        </w:rPr>
        <w:t xml:space="preserve"> </w:t>
      </w:r>
      <w:r w:rsidRPr="006530B9">
        <w:rPr>
          <w:rFonts w:asciiTheme="majorHAnsi" w:hAnsiTheme="majorHAnsi" w:cstheme="majorHAnsi"/>
        </w:rPr>
        <w:t xml:space="preserve">Contractul nr.139/MV din 10.08.2018 </w:t>
      </w:r>
      <w:r>
        <w:rPr>
          <w:rFonts w:asciiTheme="majorHAnsi" w:hAnsiTheme="majorHAnsi" w:cstheme="majorHAnsi"/>
        </w:rPr>
        <w:t>–</w:t>
      </w:r>
      <w:r w:rsidRPr="006530B9">
        <w:rPr>
          <w:rFonts w:asciiTheme="majorHAnsi" w:hAnsiTheme="majorHAnsi" w:cstheme="majorHAnsi"/>
        </w:rPr>
        <w:t xml:space="preserve"> 17,3 mii MDL</w:t>
      </w:r>
      <w:r>
        <w:rPr>
          <w:rFonts w:asciiTheme="majorHAnsi" w:hAnsiTheme="majorHAnsi" w:cstheme="majorHAnsi"/>
        </w:rPr>
        <w:t>, (</w:t>
      </w:r>
      <w:r w:rsidRPr="006530B9">
        <w:rPr>
          <w:rFonts w:asciiTheme="majorHAnsi" w:hAnsiTheme="majorHAnsi" w:cstheme="majorHAnsi"/>
        </w:rPr>
        <w:t>v)</w:t>
      </w:r>
      <w:r>
        <w:rPr>
          <w:rFonts w:asciiTheme="majorHAnsi" w:hAnsiTheme="majorHAnsi" w:cstheme="majorHAnsi"/>
        </w:rPr>
        <w:t xml:space="preserve"> Contractul nr.</w:t>
      </w:r>
      <w:r w:rsidRPr="006530B9">
        <w:rPr>
          <w:rFonts w:asciiTheme="majorHAnsi" w:hAnsiTheme="majorHAnsi" w:cstheme="majorHAnsi"/>
        </w:rPr>
        <w:t>3</w:t>
      </w:r>
      <w:r>
        <w:rPr>
          <w:rFonts w:asciiTheme="majorHAnsi" w:hAnsiTheme="majorHAnsi" w:cstheme="majorHAnsi"/>
        </w:rPr>
        <w:t>0</w:t>
      </w:r>
      <w:r w:rsidRPr="006530B9">
        <w:rPr>
          <w:rFonts w:asciiTheme="majorHAnsi" w:hAnsiTheme="majorHAnsi" w:cstheme="majorHAnsi"/>
        </w:rPr>
        <w:t xml:space="preserve">/MV din </w:t>
      </w:r>
      <w:r w:rsidRPr="00106590">
        <w:rPr>
          <w:rFonts w:asciiTheme="majorHAnsi" w:hAnsiTheme="majorHAnsi" w:cstheme="majorHAnsi"/>
        </w:rPr>
        <w:t>26.02.2018</w:t>
      </w:r>
      <w:r>
        <w:rPr>
          <w:rFonts w:asciiTheme="majorHAnsi" w:hAnsiTheme="majorHAnsi" w:cstheme="majorHAnsi"/>
        </w:rPr>
        <w:t xml:space="preserve"> –</w:t>
      </w:r>
      <w:r w:rsidRPr="006530B9">
        <w:rPr>
          <w:rFonts w:asciiTheme="majorHAnsi" w:hAnsiTheme="majorHAnsi" w:cstheme="majorHAnsi"/>
        </w:rPr>
        <w:t xml:space="preserve"> </w:t>
      </w:r>
      <w:r>
        <w:rPr>
          <w:rFonts w:asciiTheme="majorHAnsi" w:hAnsiTheme="majorHAnsi" w:cstheme="majorHAnsi"/>
        </w:rPr>
        <w:t>17</w:t>
      </w:r>
      <w:r w:rsidRPr="006530B9">
        <w:rPr>
          <w:rFonts w:asciiTheme="majorHAnsi" w:hAnsiTheme="majorHAnsi" w:cstheme="majorHAnsi"/>
        </w:rPr>
        <w:t>,</w:t>
      </w:r>
      <w:r>
        <w:rPr>
          <w:rFonts w:asciiTheme="majorHAnsi" w:hAnsiTheme="majorHAnsi" w:cstheme="majorHAnsi"/>
        </w:rPr>
        <w:t>2</w:t>
      </w:r>
      <w:r w:rsidRPr="006530B9">
        <w:rPr>
          <w:rFonts w:asciiTheme="majorHAnsi" w:hAnsiTheme="majorHAnsi" w:cstheme="majorHAnsi"/>
        </w:rPr>
        <w:t xml:space="preserve"> mii MDL;</w:t>
      </w:r>
      <w:r>
        <w:rPr>
          <w:rFonts w:asciiTheme="majorHAnsi" w:hAnsiTheme="majorHAnsi" w:cstheme="majorHAnsi"/>
        </w:rPr>
        <w:t xml:space="preserve"> (</w:t>
      </w:r>
      <w:r w:rsidRPr="006530B9">
        <w:rPr>
          <w:rFonts w:asciiTheme="majorHAnsi" w:hAnsiTheme="majorHAnsi" w:cstheme="majorHAnsi"/>
        </w:rPr>
        <w:t>v</w:t>
      </w:r>
      <w:r>
        <w:rPr>
          <w:rFonts w:asciiTheme="majorHAnsi" w:hAnsiTheme="majorHAnsi" w:cstheme="majorHAnsi"/>
        </w:rPr>
        <w:t>i</w:t>
      </w:r>
      <w:r w:rsidRPr="006530B9">
        <w:rPr>
          <w:rFonts w:asciiTheme="majorHAnsi" w:hAnsiTheme="majorHAnsi" w:cstheme="majorHAnsi"/>
        </w:rPr>
        <w:t>)</w:t>
      </w:r>
      <w:r>
        <w:rPr>
          <w:rFonts w:asciiTheme="majorHAnsi" w:hAnsiTheme="majorHAnsi" w:cstheme="majorHAnsi"/>
        </w:rPr>
        <w:t xml:space="preserve"> Contractul nr.146</w:t>
      </w:r>
      <w:r w:rsidRPr="006530B9">
        <w:rPr>
          <w:rFonts w:asciiTheme="majorHAnsi" w:hAnsiTheme="majorHAnsi" w:cstheme="majorHAnsi"/>
        </w:rPr>
        <w:t xml:space="preserve">/MV din </w:t>
      </w:r>
      <w:r w:rsidRPr="00325758">
        <w:rPr>
          <w:rFonts w:asciiTheme="majorHAnsi" w:hAnsiTheme="majorHAnsi" w:cstheme="majorHAnsi"/>
        </w:rPr>
        <w:t>04.09.2018</w:t>
      </w:r>
      <w:r>
        <w:rPr>
          <w:rFonts w:asciiTheme="majorHAnsi" w:hAnsiTheme="majorHAnsi" w:cstheme="majorHAnsi"/>
        </w:rPr>
        <w:t xml:space="preserve"> –</w:t>
      </w:r>
      <w:r w:rsidRPr="006530B9">
        <w:rPr>
          <w:rFonts w:asciiTheme="majorHAnsi" w:hAnsiTheme="majorHAnsi" w:cstheme="majorHAnsi"/>
        </w:rPr>
        <w:t xml:space="preserve"> </w:t>
      </w:r>
      <w:r>
        <w:rPr>
          <w:rFonts w:asciiTheme="majorHAnsi" w:hAnsiTheme="majorHAnsi" w:cstheme="majorHAnsi"/>
        </w:rPr>
        <w:t>21</w:t>
      </w:r>
      <w:r w:rsidRPr="006530B9">
        <w:rPr>
          <w:rFonts w:asciiTheme="majorHAnsi" w:hAnsiTheme="majorHAnsi" w:cstheme="majorHAnsi"/>
        </w:rPr>
        <w:t>,</w:t>
      </w:r>
      <w:r>
        <w:rPr>
          <w:rFonts w:asciiTheme="majorHAnsi" w:hAnsiTheme="majorHAnsi" w:cstheme="majorHAnsi"/>
        </w:rPr>
        <w:t>5</w:t>
      </w:r>
      <w:r w:rsidRPr="006530B9">
        <w:rPr>
          <w:rFonts w:asciiTheme="majorHAnsi" w:hAnsiTheme="majorHAnsi" w:cstheme="majorHAnsi"/>
        </w:rPr>
        <w:t xml:space="preserve"> mii MDL;</w:t>
      </w:r>
      <w:r>
        <w:rPr>
          <w:rFonts w:asciiTheme="majorHAnsi" w:hAnsiTheme="majorHAnsi" w:cstheme="majorHAnsi"/>
        </w:rPr>
        <w:t xml:space="preserve"> (</w:t>
      </w:r>
      <w:r w:rsidRPr="006530B9">
        <w:rPr>
          <w:rFonts w:asciiTheme="majorHAnsi" w:hAnsiTheme="majorHAnsi" w:cstheme="majorHAnsi"/>
        </w:rPr>
        <w:t>v</w:t>
      </w:r>
      <w:r>
        <w:rPr>
          <w:rFonts w:asciiTheme="majorHAnsi" w:hAnsiTheme="majorHAnsi" w:cstheme="majorHAnsi"/>
        </w:rPr>
        <w:t>ii</w:t>
      </w:r>
      <w:r w:rsidRPr="006530B9">
        <w:rPr>
          <w:rFonts w:asciiTheme="majorHAnsi" w:hAnsiTheme="majorHAnsi" w:cstheme="majorHAnsi"/>
        </w:rPr>
        <w:t>)</w:t>
      </w:r>
      <w:r>
        <w:rPr>
          <w:rFonts w:asciiTheme="majorHAnsi" w:hAnsiTheme="majorHAnsi" w:cstheme="majorHAnsi"/>
        </w:rPr>
        <w:t xml:space="preserve"> Contractul nr.16</w:t>
      </w:r>
      <w:r w:rsidRPr="006530B9">
        <w:rPr>
          <w:rFonts w:asciiTheme="majorHAnsi" w:hAnsiTheme="majorHAnsi" w:cstheme="majorHAnsi"/>
        </w:rPr>
        <w:t xml:space="preserve">3/MV din </w:t>
      </w:r>
      <w:r w:rsidRPr="006024AD">
        <w:rPr>
          <w:rFonts w:asciiTheme="majorHAnsi" w:hAnsiTheme="majorHAnsi" w:cstheme="majorHAnsi"/>
        </w:rPr>
        <w:t>07.09.2018</w:t>
      </w:r>
      <w:r>
        <w:rPr>
          <w:rFonts w:asciiTheme="majorHAnsi" w:hAnsiTheme="majorHAnsi" w:cstheme="majorHAnsi"/>
        </w:rPr>
        <w:t xml:space="preserve"> – 79,5 mii MDL</w:t>
      </w:r>
      <w:r w:rsidRPr="006530B9">
        <w:rPr>
          <w:rFonts w:asciiTheme="majorHAnsi" w:hAnsiTheme="majorHAnsi" w:cstheme="majorHAnsi"/>
        </w:rPr>
        <w:t>.</w:t>
      </w:r>
    </w:p>
  </w:footnote>
  <w:footnote w:id="99">
    <w:p w:rsidR="0065324C" w:rsidRPr="00DA4345" w:rsidRDefault="0065324C" w:rsidP="00183001">
      <w:pPr>
        <w:spacing w:after="0"/>
        <w:jc w:val="both"/>
        <w:rPr>
          <w:rFonts w:asciiTheme="majorHAnsi" w:eastAsia="Times New Roman" w:hAnsiTheme="majorHAnsi" w:cstheme="majorHAnsi"/>
          <w:sz w:val="20"/>
          <w:szCs w:val="20"/>
          <w:lang w:val="ro-MD"/>
        </w:rPr>
      </w:pPr>
      <w:r w:rsidRPr="00DA4345">
        <w:rPr>
          <w:rStyle w:val="ab"/>
          <w:rFonts w:asciiTheme="majorHAnsi" w:hAnsiTheme="majorHAnsi" w:cstheme="majorHAnsi"/>
          <w:sz w:val="20"/>
          <w:szCs w:val="20"/>
          <w:lang w:val="ro-MD"/>
        </w:rPr>
        <w:footnoteRef/>
      </w:r>
      <w:r w:rsidRPr="00DA4345">
        <w:rPr>
          <w:rFonts w:asciiTheme="majorHAnsi" w:hAnsiTheme="majorHAnsi" w:cstheme="majorHAnsi"/>
          <w:sz w:val="20"/>
          <w:szCs w:val="20"/>
          <w:lang w:val="ro-MD"/>
        </w:rPr>
        <w:t xml:space="preserve"> (i) </w:t>
      </w:r>
      <w:r w:rsidRPr="00DA4345">
        <w:rPr>
          <w:rFonts w:asciiTheme="majorHAnsi" w:eastAsia="Times New Roman" w:hAnsiTheme="majorHAnsi" w:cstheme="majorHAnsi"/>
          <w:sz w:val="20"/>
          <w:szCs w:val="20"/>
          <w:lang w:val="ro-MD"/>
        </w:rPr>
        <w:t>deservirea delegației</w:t>
      </w:r>
      <w:r w:rsidRPr="00DA4345">
        <w:rPr>
          <w:rFonts w:asciiTheme="majorHAnsi" w:hAnsiTheme="majorHAnsi" w:cstheme="majorHAnsi"/>
          <w:sz w:val="20"/>
          <w:szCs w:val="20"/>
          <w:lang w:val="ro-MD"/>
        </w:rPr>
        <w:t xml:space="preserve"> (</w:t>
      </w:r>
      <w:r w:rsidRPr="00DA4345">
        <w:rPr>
          <w:rFonts w:asciiTheme="majorHAnsi" w:eastAsia="Times New Roman" w:hAnsiTheme="majorHAnsi" w:cstheme="majorHAnsi"/>
          <w:sz w:val="20"/>
          <w:szCs w:val="20"/>
          <w:lang w:val="ro-MD"/>
        </w:rPr>
        <w:t>facturile IH043614</w:t>
      </w:r>
      <w:r>
        <w:rPr>
          <w:rFonts w:asciiTheme="majorHAnsi" w:eastAsia="Times New Roman" w:hAnsiTheme="majorHAnsi" w:cstheme="majorHAnsi"/>
          <w:sz w:val="20"/>
          <w:szCs w:val="20"/>
          <w:lang w:val="ro-MD"/>
        </w:rPr>
        <w:t>4 din 06.09.2018, IA0140741, FA5663747, LB</w:t>
      </w:r>
      <w:r w:rsidRPr="00DA4345">
        <w:rPr>
          <w:rFonts w:asciiTheme="majorHAnsi" w:eastAsia="Times New Roman" w:hAnsiTheme="majorHAnsi" w:cstheme="majorHAnsi"/>
          <w:sz w:val="20"/>
          <w:szCs w:val="20"/>
          <w:lang w:val="ro-MD"/>
        </w:rPr>
        <w:t>1303848 din 07.09.2018 şi LV 5195693 din 08.09.2018</w:t>
      </w:r>
      <w:r w:rsidRPr="00DA4345">
        <w:rPr>
          <w:rFonts w:asciiTheme="majorHAnsi" w:hAnsiTheme="majorHAnsi" w:cstheme="majorHAnsi"/>
          <w:sz w:val="20"/>
          <w:szCs w:val="20"/>
          <w:lang w:val="ro-MD"/>
        </w:rPr>
        <w:t xml:space="preserve">) </w:t>
      </w:r>
      <w:r>
        <w:rPr>
          <w:rFonts w:asciiTheme="majorHAnsi" w:hAnsiTheme="majorHAnsi" w:cstheme="majorHAnsi"/>
        </w:rPr>
        <w:t>–</w:t>
      </w:r>
      <w:r w:rsidRPr="00DA4345">
        <w:rPr>
          <w:rFonts w:asciiTheme="majorHAnsi" w:hAnsiTheme="majorHAnsi" w:cstheme="majorHAnsi"/>
          <w:sz w:val="20"/>
          <w:szCs w:val="20"/>
          <w:lang w:val="ro-MD"/>
        </w:rPr>
        <w:t xml:space="preserve"> </w:t>
      </w:r>
      <w:r w:rsidRPr="00DA4345">
        <w:rPr>
          <w:rFonts w:asciiTheme="majorHAnsi" w:eastAsia="Times New Roman" w:hAnsiTheme="majorHAnsi" w:cstheme="majorHAnsi"/>
          <w:sz w:val="20"/>
          <w:szCs w:val="20"/>
          <w:lang w:val="ro-MD"/>
        </w:rPr>
        <w:t>15,1</w:t>
      </w:r>
      <w:r w:rsidRPr="00DA4345">
        <w:rPr>
          <w:rFonts w:asciiTheme="majorHAnsi" w:hAnsiTheme="majorHAnsi" w:cstheme="majorHAnsi"/>
          <w:sz w:val="20"/>
          <w:szCs w:val="20"/>
          <w:lang w:val="ro-MD"/>
        </w:rPr>
        <w:t xml:space="preserve"> mii MDL; (ii) </w:t>
      </w:r>
      <w:r w:rsidRPr="00DA4345">
        <w:rPr>
          <w:rFonts w:asciiTheme="majorHAnsi" w:eastAsia="Times New Roman" w:hAnsiTheme="majorHAnsi" w:cstheme="majorHAnsi"/>
          <w:sz w:val="20"/>
          <w:szCs w:val="20"/>
          <w:lang w:val="ro-MD"/>
        </w:rPr>
        <w:t>servicii de</w:t>
      </w:r>
      <w:r>
        <w:rPr>
          <w:rFonts w:asciiTheme="majorHAnsi" w:eastAsia="Times New Roman" w:hAnsiTheme="majorHAnsi" w:cstheme="majorHAnsi"/>
          <w:sz w:val="20"/>
          <w:szCs w:val="20"/>
          <w:lang w:val="ro-MD"/>
        </w:rPr>
        <w:t xml:space="preserve"> transport pasageri (factura IY</w:t>
      </w:r>
      <w:r w:rsidRPr="00DA4345">
        <w:rPr>
          <w:rFonts w:asciiTheme="majorHAnsi" w:eastAsia="Times New Roman" w:hAnsiTheme="majorHAnsi" w:cstheme="majorHAnsi"/>
          <w:sz w:val="20"/>
          <w:szCs w:val="20"/>
          <w:lang w:val="ro-MD"/>
        </w:rPr>
        <w:t xml:space="preserve">0712296 din 08.09.2018) </w:t>
      </w:r>
      <w:r>
        <w:rPr>
          <w:rFonts w:asciiTheme="majorHAnsi" w:hAnsiTheme="majorHAnsi" w:cstheme="majorHAnsi"/>
        </w:rPr>
        <w:t>–</w:t>
      </w:r>
      <w:r w:rsidRPr="00DA4345">
        <w:rPr>
          <w:rFonts w:asciiTheme="majorHAnsi" w:hAnsiTheme="majorHAnsi" w:cstheme="majorHAnsi"/>
          <w:sz w:val="20"/>
          <w:szCs w:val="20"/>
          <w:lang w:val="ro-MD"/>
        </w:rPr>
        <w:t xml:space="preserve"> </w:t>
      </w:r>
      <w:r w:rsidRPr="00DA4345">
        <w:rPr>
          <w:rFonts w:asciiTheme="majorHAnsi" w:eastAsia="Times New Roman" w:hAnsiTheme="majorHAnsi" w:cstheme="majorHAnsi"/>
          <w:sz w:val="20"/>
          <w:szCs w:val="20"/>
          <w:lang w:val="ro-MD"/>
        </w:rPr>
        <w:t>10,0</w:t>
      </w:r>
      <w:r>
        <w:rPr>
          <w:rFonts w:asciiTheme="majorHAnsi" w:hAnsiTheme="majorHAnsi" w:cstheme="majorHAnsi"/>
          <w:sz w:val="20"/>
          <w:szCs w:val="20"/>
          <w:lang w:val="ro-MD"/>
        </w:rPr>
        <w:t xml:space="preserve"> mii MDL</w:t>
      </w:r>
      <w:r w:rsidRPr="00DA4345">
        <w:rPr>
          <w:rFonts w:asciiTheme="majorHAnsi" w:hAnsiTheme="majorHAnsi" w:cstheme="majorHAnsi"/>
          <w:sz w:val="20"/>
          <w:szCs w:val="20"/>
          <w:lang w:val="ro-MD"/>
        </w:rPr>
        <w:t>.</w:t>
      </w:r>
    </w:p>
  </w:footnote>
  <w:footnote w:id="100">
    <w:p w:rsidR="0065324C" w:rsidRDefault="0065324C" w:rsidP="00183001">
      <w:pPr>
        <w:pStyle w:val="a5"/>
      </w:pPr>
      <w:r w:rsidRPr="00DA4345">
        <w:rPr>
          <w:rStyle w:val="ab"/>
          <w:rFonts w:asciiTheme="majorHAnsi" w:hAnsiTheme="majorHAnsi" w:cstheme="majorHAnsi"/>
          <w:lang w:val="ro-MD"/>
        </w:rPr>
        <w:footnoteRef/>
      </w:r>
      <w:r>
        <w:rPr>
          <w:rFonts w:asciiTheme="majorHAnsi" w:hAnsiTheme="majorHAnsi" w:cstheme="majorHAnsi"/>
          <w:lang w:val="ro-MD"/>
        </w:rPr>
        <w:t xml:space="preserve"> </w:t>
      </w:r>
      <w:r w:rsidRPr="00DA4345">
        <w:rPr>
          <w:rFonts w:asciiTheme="majorHAnsi" w:hAnsiTheme="majorHAnsi" w:cstheme="majorHAnsi"/>
          <w:lang w:val="ro-MD"/>
        </w:rPr>
        <w:t>Art.32</w:t>
      </w:r>
      <w:r w:rsidRPr="00DA4345">
        <w:rPr>
          <w:rFonts w:asciiTheme="majorHAnsi" w:hAnsiTheme="majorHAnsi" w:cstheme="majorHAnsi"/>
          <w:vertAlign w:val="superscript"/>
          <w:lang w:val="ro-MD"/>
        </w:rPr>
        <w:t>3</w:t>
      </w:r>
      <w:r w:rsidRPr="00DA4345">
        <w:rPr>
          <w:rFonts w:asciiTheme="majorHAnsi" w:hAnsiTheme="majorHAnsi" w:cstheme="majorHAnsi"/>
          <w:lang w:val="ro-MD"/>
        </w:rPr>
        <w:t xml:space="preserve"> alin.(6) din Legea viei și vinului nr.57-XVI din 10.03.2006.</w:t>
      </w:r>
    </w:p>
  </w:footnote>
  <w:footnote w:id="101">
    <w:p w:rsidR="0065324C" w:rsidRPr="00B07733" w:rsidRDefault="0065324C" w:rsidP="002B0C1F">
      <w:pPr>
        <w:pStyle w:val="a5"/>
        <w:rPr>
          <w:rFonts w:asciiTheme="majorHAnsi" w:hAnsiTheme="majorHAnsi" w:cstheme="majorHAnsi"/>
        </w:rPr>
      </w:pPr>
      <w:r w:rsidRPr="00B07733">
        <w:rPr>
          <w:rStyle w:val="ab"/>
          <w:rFonts w:asciiTheme="majorHAnsi" w:hAnsiTheme="majorHAnsi" w:cstheme="majorHAnsi"/>
        </w:rPr>
        <w:footnoteRef/>
      </w:r>
      <w:r w:rsidRPr="00B07733">
        <w:rPr>
          <w:rFonts w:asciiTheme="majorHAnsi" w:hAnsiTheme="majorHAnsi" w:cstheme="majorHAnsi"/>
        </w:rPr>
        <w:t xml:space="preserve"> Ordinul SFS nr.429 din 16.04.2013 </w:t>
      </w:r>
      <w:r>
        <w:rPr>
          <w:rFonts w:asciiTheme="majorHAnsi" w:hAnsiTheme="majorHAnsi" w:cstheme="majorHAnsi"/>
        </w:rPr>
        <w:t>„D</w:t>
      </w:r>
      <w:r w:rsidRPr="00B07733">
        <w:rPr>
          <w:rFonts w:asciiTheme="majorHAnsi" w:hAnsiTheme="majorHAnsi" w:cstheme="majorHAnsi"/>
        </w:rPr>
        <w:t xml:space="preserve">espre aprobarea formularului dării de seamă privind calcularea contribuției obligatorii în Fondul </w:t>
      </w:r>
      <w:r>
        <w:rPr>
          <w:rFonts w:asciiTheme="majorHAnsi" w:hAnsiTheme="majorHAnsi" w:cstheme="majorHAnsi"/>
        </w:rPr>
        <w:t>V</w:t>
      </w:r>
      <w:r w:rsidRPr="00B07733">
        <w:rPr>
          <w:rFonts w:asciiTheme="majorHAnsi" w:hAnsiTheme="majorHAnsi" w:cstheme="majorHAnsi"/>
        </w:rPr>
        <w:t xml:space="preserve">iei și </w:t>
      </w:r>
      <w:r>
        <w:rPr>
          <w:rFonts w:asciiTheme="majorHAnsi" w:hAnsiTheme="majorHAnsi" w:cstheme="majorHAnsi"/>
        </w:rPr>
        <w:t>V</w:t>
      </w:r>
      <w:r w:rsidRPr="00B07733">
        <w:rPr>
          <w:rFonts w:asciiTheme="majorHAnsi" w:hAnsiTheme="majorHAnsi" w:cstheme="majorHAnsi"/>
        </w:rPr>
        <w:t xml:space="preserve">inului și a Modului de completare și prezentare a dării de seamă privind calcularea contribuției obligatorii în Fondul </w:t>
      </w:r>
      <w:r>
        <w:rPr>
          <w:rFonts w:asciiTheme="majorHAnsi" w:hAnsiTheme="majorHAnsi" w:cstheme="majorHAnsi"/>
        </w:rPr>
        <w:t>V</w:t>
      </w:r>
      <w:r w:rsidRPr="00B07733">
        <w:rPr>
          <w:rFonts w:asciiTheme="majorHAnsi" w:hAnsiTheme="majorHAnsi" w:cstheme="majorHAnsi"/>
        </w:rPr>
        <w:t xml:space="preserve">iei și </w:t>
      </w:r>
      <w:r>
        <w:rPr>
          <w:rFonts w:asciiTheme="majorHAnsi" w:hAnsiTheme="majorHAnsi" w:cstheme="majorHAnsi"/>
        </w:rPr>
        <w:t>V</w:t>
      </w:r>
      <w:r w:rsidRPr="00B07733">
        <w:rPr>
          <w:rFonts w:asciiTheme="majorHAnsi" w:hAnsiTheme="majorHAnsi" w:cstheme="majorHAnsi"/>
        </w:rPr>
        <w:t>inului</w:t>
      </w:r>
      <w:r>
        <w:rPr>
          <w:rFonts w:asciiTheme="majorHAnsi" w:hAnsiTheme="majorHAnsi" w:cstheme="majorHAnsi"/>
        </w:rPr>
        <w:t>”</w:t>
      </w:r>
      <w:r w:rsidRPr="00B07733">
        <w:rPr>
          <w:rFonts w:asciiTheme="majorHAnsi" w:hAnsiTheme="majorHAnsi" w:cstheme="majorHAnsi"/>
        </w:rPr>
        <w:t>.</w:t>
      </w:r>
    </w:p>
  </w:footnote>
  <w:footnote w:id="102">
    <w:p w:rsidR="0065324C" w:rsidRPr="00B07733" w:rsidRDefault="0065324C" w:rsidP="002B0C1F">
      <w:pPr>
        <w:pStyle w:val="a5"/>
        <w:rPr>
          <w:rFonts w:asciiTheme="majorHAnsi" w:hAnsiTheme="majorHAnsi" w:cstheme="majorHAnsi"/>
        </w:rPr>
      </w:pPr>
      <w:r w:rsidRPr="00B07733">
        <w:rPr>
          <w:rStyle w:val="ab"/>
          <w:rFonts w:asciiTheme="majorHAnsi" w:hAnsiTheme="majorHAnsi" w:cstheme="majorHAnsi"/>
        </w:rPr>
        <w:footnoteRef/>
      </w:r>
      <w:r w:rsidRPr="00B07733">
        <w:rPr>
          <w:rFonts w:asciiTheme="majorHAnsi" w:hAnsiTheme="majorHAnsi" w:cstheme="majorHAnsi"/>
        </w:rPr>
        <w:t xml:space="preserve"> Pct.3 din Modul de completare a formei CFV.</w:t>
      </w:r>
    </w:p>
  </w:footnote>
  <w:footnote w:id="103">
    <w:p w:rsidR="0065324C" w:rsidRPr="007138A2" w:rsidRDefault="0065324C" w:rsidP="002B0C1F">
      <w:pPr>
        <w:pStyle w:val="a5"/>
        <w:rPr>
          <w:rFonts w:asciiTheme="majorHAnsi" w:hAnsiTheme="majorHAnsi" w:cstheme="majorHAnsi"/>
        </w:rPr>
      </w:pPr>
      <w:r w:rsidRPr="006B3F55">
        <w:rPr>
          <w:rStyle w:val="ab"/>
          <w:rFonts w:asciiTheme="majorHAnsi" w:hAnsiTheme="majorHAnsi" w:cstheme="majorHAnsi"/>
        </w:rPr>
        <w:footnoteRef/>
      </w:r>
      <w:r w:rsidRPr="006B3F55">
        <w:rPr>
          <w:rFonts w:asciiTheme="majorHAnsi" w:hAnsiTheme="majorHAnsi" w:cstheme="majorHAnsi"/>
        </w:rPr>
        <w:t xml:space="preserve"> Art.32</w:t>
      </w:r>
      <w:r w:rsidRPr="006B3F55">
        <w:rPr>
          <w:rFonts w:asciiTheme="majorHAnsi" w:hAnsiTheme="majorHAnsi" w:cstheme="majorHAnsi"/>
          <w:vertAlign w:val="superscript"/>
        </w:rPr>
        <w:t>1</w:t>
      </w:r>
      <w:r w:rsidRPr="006B3F55">
        <w:rPr>
          <w:rFonts w:asciiTheme="majorHAnsi" w:hAnsiTheme="majorHAnsi" w:cstheme="majorHAnsi"/>
        </w:rPr>
        <w:t xml:space="preserve"> pct.(4) </w:t>
      </w:r>
      <w:proofErr w:type="spellStart"/>
      <w:r w:rsidRPr="006B3F55">
        <w:rPr>
          <w:rFonts w:asciiTheme="majorHAnsi" w:hAnsiTheme="majorHAnsi" w:cstheme="majorHAnsi"/>
        </w:rPr>
        <w:t>lit.i</w:t>
      </w:r>
      <w:proofErr w:type="spellEnd"/>
      <w:r w:rsidRPr="006B3F55">
        <w:rPr>
          <w:rFonts w:asciiTheme="majorHAnsi" w:hAnsiTheme="majorHAnsi" w:cstheme="majorHAnsi"/>
        </w:rPr>
        <w:t>) din Legea viei şi vinului nr.57-XVI din 1</w:t>
      </w:r>
      <w:r w:rsidRPr="00222543">
        <w:rPr>
          <w:rFonts w:asciiTheme="majorHAnsi" w:hAnsiTheme="majorHAnsi" w:cstheme="majorHAnsi"/>
        </w:rPr>
        <w:t>0.03.</w:t>
      </w:r>
      <w:r w:rsidRPr="003C7840">
        <w:rPr>
          <w:rFonts w:asciiTheme="majorHAnsi" w:hAnsiTheme="majorHAnsi" w:cstheme="majorHAnsi"/>
        </w:rPr>
        <w:t>2006.</w:t>
      </w:r>
    </w:p>
  </w:footnote>
  <w:footnote w:id="104">
    <w:p w:rsidR="0065324C" w:rsidRPr="005C264E" w:rsidRDefault="0065324C" w:rsidP="002B0C1F">
      <w:pPr>
        <w:spacing w:after="0"/>
        <w:jc w:val="both"/>
        <w:rPr>
          <w:rFonts w:asciiTheme="majorHAnsi" w:hAnsiTheme="majorHAnsi" w:cstheme="majorHAnsi"/>
          <w:sz w:val="20"/>
          <w:szCs w:val="20"/>
          <w:lang w:val="ro-RO"/>
        </w:rPr>
      </w:pPr>
      <w:r w:rsidRPr="00DA4345">
        <w:rPr>
          <w:rStyle w:val="ab"/>
          <w:rFonts w:asciiTheme="majorHAnsi" w:hAnsiTheme="majorHAnsi" w:cstheme="majorHAnsi"/>
          <w:sz w:val="20"/>
          <w:szCs w:val="20"/>
          <w:lang w:val="ro-RO"/>
        </w:rPr>
        <w:footnoteRef/>
      </w:r>
      <w:r w:rsidRPr="00DA4345">
        <w:rPr>
          <w:rFonts w:asciiTheme="majorHAnsi" w:hAnsiTheme="majorHAnsi" w:cstheme="majorHAnsi"/>
          <w:sz w:val="20"/>
          <w:szCs w:val="20"/>
          <w:lang w:val="ro-RO"/>
        </w:rPr>
        <w:t xml:space="preserve"> Până în anul 2016 – codul 161 „Veniturile fondurilor speciale”</w:t>
      </w:r>
      <w:r>
        <w:rPr>
          <w:rFonts w:asciiTheme="majorHAnsi" w:hAnsiTheme="majorHAnsi" w:cstheme="majorHAnsi"/>
          <w:sz w:val="20"/>
          <w:szCs w:val="20"/>
          <w:lang w:val="ro-RO"/>
        </w:rPr>
        <w:t>,</w:t>
      </w:r>
      <w:r w:rsidRPr="00DA4345">
        <w:rPr>
          <w:rFonts w:asciiTheme="majorHAnsi" w:hAnsiTheme="majorHAnsi" w:cstheme="majorHAnsi"/>
          <w:sz w:val="20"/>
          <w:szCs w:val="20"/>
          <w:lang w:val="ro-RO"/>
        </w:rPr>
        <w:t xml:space="preserve"> și din 2016 </w:t>
      </w:r>
      <w:r>
        <w:rPr>
          <w:rFonts w:asciiTheme="majorHAnsi" w:hAnsiTheme="majorHAnsi" w:cstheme="majorHAnsi"/>
          <w:sz w:val="20"/>
          <w:szCs w:val="20"/>
          <w:lang w:val="ro-RO"/>
        </w:rPr>
        <w:t>–</w:t>
      </w:r>
      <w:r w:rsidRPr="00DA4345">
        <w:rPr>
          <w:rFonts w:asciiTheme="majorHAnsi" w:hAnsiTheme="majorHAnsi" w:cstheme="majorHAnsi"/>
          <w:sz w:val="20"/>
          <w:szCs w:val="20"/>
          <w:lang w:val="ro-RO"/>
        </w:rPr>
        <w:t xml:space="preserve"> ECO 114640 „</w:t>
      </w:r>
      <w:r w:rsidRPr="00DA4345">
        <w:rPr>
          <w:rFonts w:asciiTheme="majorHAnsi" w:eastAsia="Times New Roman" w:hAnsiTheme="majorHAnsi" w:cstheme="majorHAnsi"/>
          <w:sz w:val="20"/>
          <w:szCs w:val="20"/>
          <w:lang w:val="ro-RO"/>
        </w:rPr>
        <w:t xml:space="preserve">Plata obligatorie a producătorilor de produse </w:t>
      </w:r>
      <w:r w:rsidRPr="005C264E">
        <w:rPr>
          <w:rFonts w:asciiTheme="majorHAnsi" w:eastAsia="Times New Roman" w:hAnsiTheme="majorHAnsi" w:cstheme="majorHAnsi"/>
          <w:sz w:val="20"/>
          <w:szCs w:val="20"/>
          <w:lang w:val="ro-RO"/>
        </w:rPr>
        <w:t>vitivinicole”.</w:t>
      </w:r>
    </w:p>
  </w:footnote>
  <w:footnote w:id="105">
    <w:p w:rsidR="0065324C" w:rsidRPr="005C264E" w:rsidRDefault="0065324C" w:rsidP="002B0C1F">
      <w:pPr>
        <w:pStyle w:val="a5"/>
        <w:rPr>
          <w:rFonts w:asciiTheme="majorHAnsi" w:hAnsiTheme="majorHAnsi" w:cstheme="majorHAnsi"/>
        </w:rPr>
      </w:pPr>
      <w:r w:rsidRPr="005C264E">
        <w:rPr>
          <w:rStyle w:val="ab"/>
          <w:rFonts w:asciiTheme="majorHAnsi" w:hAnsiTheme="majorHAnsi" w:cstheme="majorHAnsi"/>
        </w:rPr>
        <w:footnoteRef/>
      </w:r>
      <w:r w:rsidRPr="005C264E">
        <w:rPr>
          <w:rFonts w:asciiTheme="majorHAnsi" w:hAnsiTheme="majorHAnsi" w:cstheme="majorHAnsi"/>
        </w:rPr>
        <w:t xml:space="preserve"> Ordinul MF nr.01 din 03.01.2012.</w:t>
      </w:r>
    </w:p>
    <w:p w:rsidR="0065324C" w:rsidRPr="007138A2" w:rsidRDefault="0065324C" w:rsidP="002B0C1F">
      <w:pPr>
        <w:pStyle w:val="a5"/>
        <w:rPr>
          <w:rFonts w:asciiTheme="majorHAnsi" w:hAnsiTheme="majorHAnsi" w:cstheme="majorHAnsi"/>
        </w:rPr>
      </w:pPr>
    </w:p>
  </w:footnote>
  <w:footnote w:id="106">
    <w:p w:rsidR="0065324C" w:rsidRPr="00A53AF7" w:rsidRDefault="0065324C" w:rsidP="002B0C1F">
      <w:pPr>
        <w:pStyle w:val="a5"/>
        <w:rPr>
          <w:rFonts w:asciiTheme="majorHAnsi" w:hAnsiTheme="majorHAnsi" w:cstheme="majorHAnsi"/>
        </w:rPr>
      </w:pPr>
      <w:r w:rsidRPr="00A53AF7">
        <w:rPr>
          <w:rStyle w:val="ab"/>
          <w:rFonts w:asciiTheme="majorHAnsi" w:hAnsiTheme="majorHAnsi" w:cstheme="majorHAnsi"/>
        </w:rPr>
        <w:footnoteRef/>
      </w:r>
      <w:r w:rsidRPr="00A53AF7">
        <w:rPr>
          <w:rFonts w:asciiTheme="majorHAnsi" w:hAnsiTheme="majorHAnsi" w:cstheme="majorHAnsi"/>
        </w:rPr>
        <w:t xml:space="preserve"> Legea nr.227 din 10.12.2015 cu privire la plata către producătorii de produ</w:t>
      </w:r>
      <w:r>
        <w:rPr>
          <w:rFonts w:asciiTheme="majorHAnsi" w:hAnsiTheme="majorHAnsi" w:cstheme="majorHAnsi"/>
        </w:rPr>
        <w:t>s</w:t>
      </w:r>
      <w:r w:rsidRPr="00A53AF7">
        <w:rPr>
          <w:rFonts w:asciiTheme="majorHAnsi" w:hAnsiTheme="majorHAnsi" w:cstheme="majorHAnsi"/>
        </w:rPr>
        <w:t>e</w:t>
      </w:r>
      <w:r>
        <w:rPr>
          <w:rFonts w:asciiTheme="majorHAnsi" w:hAnsiTheme="majorHAnsi" w:cstheme="majorHAnsi"/>
        </w:rPr>
        <w:t xml:space="preserve"> </w:t>
      </w:r>
      <w:r w:rsidRPr="00A53AF7">
        <w:rPr>
          <w:rFonts w:asciiTheme="majorHAnsi" w:hAnsiTheme="majorHAnsi" w:cstheme="majorHAnsi"/>
        </w:rPr>
        <w:t>vitivinicole a contribuțiilor obligatorii în FVV</w:t>
      </w:r>
      <w:r>
        <w:rPr>
          <w:rFonts w:asciiTheme="majorHAnsi" w:hAnsiTheme="majorHAnsi" w:cstheme="majorHAnsi"/>
        </w:rPr>
        <w:t xml:space="preserve"> (în continuare – </w:t>
      </w:r>
      <w:r w:rsidRPr="00A53AF7">
        <w:rPr>
          <w:rFonts w:asciiTheme="majorHAnsi" w:hAnsiTheme="majorHAnsi" w:cstheme="majorHAnsi"/>
        </w:rPr>
        <w:t>Legea nr.227 din 10.12.2015</w:t>
      </w:r>
      <w:r>
        <w:rPr>
          <w:rFonts w:asciiTheme="majorHAnsi" w:hAnsiTheme="majorHAnsi" w:cstheme="majorHAnsi"/>
        </w:rPr>
        <w:t>)</w:t>
      </w:r>
      <w:r w:rsidRPr="00A53AF7">
        <w:rPr>
          <w:rFonts w:asciiTheme="majorHAnsi" w:hAnsiTheme="majorHAnsi" w:cstheme="majorHAnsi"/>
        </w:rPr>
        <w:t>.</w:t>
      </w:r>
    </w:p>
  </w:footnote>
  <w:footnote w:id="107">
    <w:p w:rsidR="0065324C" w:rsidRPr="00332D83" w:rsidRDefault="0065324C" w:rsidP="008B1D7B">
      <w:pPr>
        <w:pStyle w:val="a5"/>
      </w:pPr>
      <w:r w:rsidRPr="00A53AF7">
        <w:rPr>
          <w:rStyle w:val="ab"/>
          <w:rFonts w:asciiTheme="majorHAnsi" w:hAnsiTheme="majorHAnsi" w:cstheme="majorHAnsi"/>
        </w:rPr>
        <w:footnoteRef/>
      </w:r>
      <w:r w:rsidRPr="00A53AF7">
        <w:rPr>
          <w:rFonts w:asciiTheme="majorHAnsi" w:hAnsiTheme="majorHAnsi" w:cstheme="majorHAnsi"/>
        </w:rPr>
        <w:t xml:space="preserve"> ONVV a realizat prevederile Legii nr.227 din 10.12.2015.</w:t>
      </w:r>
    </w:p>
  </w:footnote>
  <w:footnote w:id="108">
    <w:p w:rsidR="0065324C" w:rsidRPr="00CE2761" w:rsidRDefault="0065324C">
      <w:pPr>
        <w:pStyle w:val="a5"/>
        <w:rPr>
          <w:rFonts w:asciiTheme="majorHAnsi" w:hAnsiTheme="majorHAnsi" w:cstheme="majorHAnsi"/>
        </w:rPr>
      </w:pPr>
      <w:r>
        <w:rPr>
          <w:rStyle w:val="ab"/>
        </w:rPr>
        <w:footnoteRef/>
      </w:r>
      <w:r>
        <w:t xml:space="preserve"> </w:t>
      </w:r>
      <w:r w:rsidRPr="00CE2761">
        <w:rPr>
          <w:rFonts w:asciiTheme="majorHAnsi" w:hAnsiTheme="majorHAnsi" w:cstheme="majorHAnsi"/>
        </w:rPr>
        <w:t xml:space="preserve">Dadele ajustate urmare a prezentării Dărilor de seamă corectate. </w:t>
      </w:r>
    </w:p>
  </w:footnote>
  <w:footnote w:id="109">
    <w:p w:rsidR="0065324C" w:rsidRPr="00386051" w:rsidRDefault="0065324C" w:rsidP="002B0C1F">
      <w:pPr>
        <w:pStyle w:val="a5"/>
        <w:rPr>
          <w:rFonts w:asciiTheme="majorHAnsi" w:hAnsiTheme="majorHAnsi" w:cstheme="majorHAnsi"/>
        </w:rPr>
      </w:pPr>
      <w:r w:rsidRPr="00CE2761">
        <w:rPr>
          <w:rStyle w:val="ab"/>
          <w:rFonts w:asciiTheme="majorHAnsi" w:hAnsiTheme="majorHAnsi" w:cstheme="majorHAnsi"/>
        </w:rPr>
        <w:footnoteRef/>
      </w:r>
      <w:r w:rsidRPr="00CE2761">
        <w:rPr>
          <w:rFonts w:asciiTheme="majorHAnsi" w:hAnsiTheme="majorHAnsi" w:cstheme="majorHAnsi"/>
        </w:rPr>
        <w:t xml:space="preserve"> Calculul: (+23,4 </w:t>
      </w:r>
      <w:proofErr w:type="spellStart"/>
      <w:r w:rsidRPr="00CE2761">
        <w:rPr>
          <w:rFonts w:asciiTheme="majorHAnsi" w:hAnsiTheme="majorHAnsi" w:cstheme="majorHAnsi"/>
        </w:rPr>
        <w:t>mil.MDL</w:t>
      </w:r>
      <w:proofErr w:type="spellEnd"/>
      <w:r w:rsidRPr="00CE2761">
        <w:rPr>
          <w:rFonts w:asciiTheme="majorHAnsi" w:hAnsiTheme="majorHAnsi" w:cstheme="majorHAnsi"/>
        </w:rPr>
        <w:t>)</w:t>
      </w:r>
      <w:r>
        <w:rPr>
          <w:rFonts w:asciiTheme="majorHAnsi" w:hAnsiTheme="majorHAnsi" w:cstheme="majorHAnsi"/>
        </w:rPr>
        <w:t xml:space="preserve"> </w:t>
      </w:r>
      <w:r w:rsidRPr="00CE2761">
        <w:rPr>
          <w:rFonts w:asciiTheme="majorHAnsi" w:hAnsiTheme="majorHAnsi" w:cstheme="majorHAnsi"/>
        </w:rPr>
        <w:t>- 2,8</w:t>
      </w:r>
      <w:r>
        <w:rPr>
          <w:rFonts w:asciiTheme="majorHAnsi" w:hAnsiTheme="majorHAnsi" w:cstheme="majorHAnsi"/>
        </w:rPr>
        <w:t xml:space="preserve"> </w:t>
      </w:r>
      <w:proofErr w:type="spellStart"/>
      <w:r w:rsidRPr="00CE2761">
        <w:rPr>
          <w:rFonts w:asciiTheme="majorHAnsi" w:hAnsiTheme="majorHAnsi" w:cstheme="majorHAnsi"/>
        </w:rPr>
        <w:t>mil.MDL</w:t>
      </w:r>
      <w:proofErr w:type="spellEnd"/>
      <w:r w:rsidRPr="00CE2761">
        <w:rPr>
          <w:rFonts w:asciiTheme="majorHAnsi" w:hAnsiTheme="majorHAnsi" w:cstheme="majorHAnsi"/>
        </w:rPr>
        <w:t xml:space="preserve"> = 20,6 </w:t>
      </w:r>
      <w:proofErr w:type="spellStart"/>
      <w:r w:rsidRPr="00CE2761">
        <w:rPr>
          <w:rFonts w:asciiTheme="majorHAnsi" w:hAnsiTheme="majorHAnsi" w:cstheme="majorHAnsi"/>
        </w:rPr>
        <w:t>mil.MDL</w:t>
      </w:r>
      <w:proofErr w:type="spellEnd"/>
      <w:r w:rsidRPr="00CE2761">
        <w:rPr>
          <w:rFonts w:asciiTheme="majorHAnsi" w:hAnsiTheme="majorHAnsi" w:cstheme="majorHAnsi"/>
        </w:rPr>
        <w:t>.</w:t>
      </w:r>
    </w:p>
  </w:footnote>
  <w:footnote w:id="110">
    <w:p w:rsidR="0065324C" w:rsidRPr="00884BB5" w:rsidRDefault="0065324C" w:rsidP="002B0C1F">
      <w:pPr>
        <w:pStyle w:val="a5"/>
        <w:rPr>
          <w:rFonts w:asciiTheme="majorHAnsi" w:hAnsiTheme="majorHAnsi" w:cstheme="majorHAnsi"/>
        </w:rPr>
      </w:pPr>
      <w:r w:rsidRPr="00884BB5">
        <w:rPr>
          <w:rStyle w:val="ab"/>
          <w:rFonts w:asciiTheme="majorHAnsi" w:hAnsiTheme="majorHAnsi" w:cstheme="majorHAnsi"/>
        </w:rPr>
        <w:footnoteRef/>
      </w:r>
      <w:r w:rsidRPr="00884BB5">
        <w:rPr>
          <w:rFonts w:asciiTheme="majorHAnsi" w:hAnsiTheme="majorHAnsi" w:cstheme="majorHAnsi"/>
        </w:rPr>
        <w:t xml:space="preserve"> Cifrele sunt prezentate în condițiile prevederilor Legii nr.227 din 10.12.2015.</w:t>
      </w:r>
    </w:p>
  </w:footnote>
  <w:footnote w:id="111">
    <w:p w:rsidR="0065324C" w:rsidRPr="00C50159" w:rsidRDefault="0065324C" w:rsidP="004E4212">
      <w:pPr>
        <w:pStyle w:val="a5"/>
        <w:rPr>
          <w:rFonts w:asciiTheme="majorHAnsi" w:hAnsiTheme="majorHAnsi" w:cstheme="majorHAnsi"/>
        </w:rPr>
      </w:pPr>
      <w:r w:rsidRPr="00C50159">
        <w:rPr>
          <w:rStyle w:val="ab"/>
          <w:rFonts w:asciiTheme="majorHAnsi" w:hAnsiTheme="majorHAnsi" w:cstheme="majorHAnsi"/>
        </w:rPr>
        <w:footnoteRef/>
      </w:r>
      <w:r w:rsidRPr="00C50159">
        <w:rPr>
          <w:rFonts w:asciiTheme="majorHAnsi" w:hAnsiTheme="majorHAnsi" w:cstheme="majorHAnsi"/>
        </w:rPr>
        <w:t xml:space="preserve"> </w:t>
      </w:r>
      <w:r w:rsidRPr="00161030">
        <w:rPr>
          <w:rFonts w:asciiTheme="majorHAnsi" w:hAnsiTheme="majorHAnsi" w:cstheme="majorHAnsi"/>
        </w:rPr>
        <w:t>Scrisorile cu nr.04/04 din 05.04.2017 și nr.120/03 din 24.05.2018.</w:t>
      </w:r>
    </w:p>
  </w:footnote>
  <w:footnote w:id="112">
    <w:p w:rsidR="0065324C" w:rsidRPr="00161030" w:rsidRDefault="0065324C" w:rsidP="002B0C1F">
      <w:pPr>
        <w:pStyle w:val="a5"/>
        <w:rPr>
          <w:rFonts w:asciiTheme="majorHAnsi" w:hAnsiTheme="majorHAnsi" w:cstheme="majorHAnsi"/>
        </w:rPr>
      </w:pPr>
      <w:r w:rsidRPr="00C50159">
        <w:rPr>
          <w:rStyle w:val="ab"/>
          <w:rFonts w:asciiTheme="majorHAnsi" w:hAnsiTheme="majorHAnsi" w:cstheme="majorHAnsi"/>
        </w:rPr>
        <w:footnoteRef/>
      </w:r>
      <w:r w:rsidRPr="00C50159">
        <w:rPr>
          <w:rFonts w:asciiTheme="majorHAnsi" w:hAnsiTheme="majorHAnsi" w:cstheme="majorHAnsi"/>
        </w:rPr>
        <w:t xml:space="preserve"> </w:t>
      </w:r>
      <w:r w:rsidRPr="00161030">
        <w:rPr>
          <w:rFonts w:asciiTheme="majorHAnsi" w:hAnsiTheme="majorHAnsi" w:cstheme="majorHAnsi"/>
        </w:rPr>
        <w:t>Proces</w:t>
      </w:r>
      <w:r>
        <w:rPr>
          <w:rFonts w:asciiTheme="majorHAnsi" w:hAnsiTheme="majorHAnsi" w:cstheme="majorHAnsi"/>
        </w:rPr>
        <w:t>ul-</w:t>
      </w:r>
      <w:r w:rsidRPr="00161030">
        <w:rPr>
          <w:rFonts w:asciiTheme="majorHAnsi" w:hAnsiTheme="majorHAnsi" w:cstheme="majorHAnsi"/>
        </w:rPr>
        <w:t>verbal din 09.10.2018 aferent aplicării măsurilor de executare silită a datoriilor și penalităților calculate ale plătitorilor de c</w:t>
      </w:r>
      <w:r w:rsidRPr="006873B5">
        <w:rPr>
          <w:rFonts w:asciiTheme="majorHAnsi" w:hAnsiTheme="majorHAnsi" w:cstheme="majorHAnsi"/>
        </w:rPr>
        <w:t>ontribuții</w:t>
      </w:r>
      <w:r w:rsidRPr="00161030">
        <w:rPr>
          <w:rFonts w:asciiTheme="majorHAnsi" w:hAnsiTheme="majorHAnsi" w:cstheme="majorHAnsi"/>
        </w:rPr>
        <w:t xml:space="preserve"> obligatorii către FVV.</w:t>
      </w:r>
    </w:p>
  </w:footnote>
  <w:footnote w:id="113">
    <w:p w:rsidR="0065324C" w:rsidRPr="00153F13" w:rsidRDefault="0065324C" w:rsidP="002B0C1F">
      <w:pPr>
        <w:pStyle w:val="a5"/>
        <w:rPr>
          <w:rFonts w:asciiTheme="majorHAnsi" w:hAnsiTheme="majorHAnsi" w:cstheme="majorHAnsi"/>
        </w:rPr>
      </w:pPr>
      <w:r w:rsidRPr="00153F13">
        <w:rPr>
          <w:rStyle w:val="ab"/>
          <w:rFonts w:asciiTheme="majorHAnsi" w:hAnsiTheme="majorHAnsi" w:cstheme="majorHAnsi"/>
        </w:rPr>
        <w:footnoteRef/>
      </w:r>
      <w:r w:rsidRPr="00153F13">
        <w:rPr>
          <w:rFonts w:asciiTheme="majorHAnsi" w:hAnsiTheme="majorHAnsi" w:cstheme="majorHAnsi"/>
        </w:rPr>
        <w:t xml:space="preserve"> HG nr.282 din 11.03.2016 </w:t>
      </w:r>
      <w:r>
        <w:rPr>
          <w:rFonts w:asciiTheme="majorHAnsi" w:hAnsiTheme="majorHAnsi" w:cstheme="majorHAnsi"/>
        </w:rPr>
        <w:t>„C</w:t>
      </w:r>
      <w:r w:rsidRPr="00153F13">
        <w:rPr>
          <w:rFonts w:asciiTheme="majorHAnsi" w:hAnsiTheme="majorHAnsi" w:cstheme="majorHAnsi"/>
        </w:rPr>
        <w:t xml:space="preserve">u privire la conceptul tehnic al Sistemului informațional automatizat „Registrul </w:t>
      </w:r>
      <w:r>
        <w:rPr>
          <w:rFonts w:asciiTheme="majorHAnsi" w:hAnsiTheme="majorHAnsi" w:cstheme="majorHAnsi"/>
        </w:rPr>
        <w:t>v</w:t>
      </w:r>
      <w:r w:rsidRPr="00153F13">
        <w:rPr>
          <w:rFonts w:asciiTheme="majorHAnsi" w:hAnsiTheme="majorHAnsi" w:cstheme="majorHAnsi"/>
        </w:rPr>
        <w:t>itivinicol”</w:t>
      </w:r>
      <w:r>
        <w:rPr>
          <w:rFonts w:asciiTheme="majorHAnsi" w:hAnsiTheme="majorHAnsi" w:cstheme="majorHAnsi"/>
        </w:rPr>
        <w:t>”</w:t>
      </w:r>
      <w:r w:rsidRPr="00153F13">
        <w:rPr>
          <w:rFonts w:asciiTheme="majorHAnsi" w:hAnsiTheme="majorHAnsi" w:cstheme="majorHAnsi"/>
        </w:rPr>
        <w:t xml:space="preserve"> și HG nr.292 din 10.06.2017 </w:t>
      </w:r>
      <w:r>
        <w:rPr>
          <w:rFonts w:asciiTheme="majorHAnsi" w:hAnsiTheme="majorHAnsi" w:cstheme="majorHAnsi"/>
        </w:rPr>
        <w:t>„P</w:t>
      </w:r>
      <w:r w:rsidRPr="00153F13">
        <w:rPr>
          <w:rFonts w:asciiTheme="majorHAnsi" w:hAnsiTheme="majorHAnsi" w:cstheme="majorHAnsi"/>
        </w:rPr>
        <w:t>entru aprobarea Regulamentului privind modul de ținere a Registrului vitivinicol al R</w:t>
      </w:r>
      <w:r>
        <w:rPr>
          <w:rFonts w:asciiTheme="majorHAnsi" w:hAnsiTheme="majorHAnsi" w:cstheme="majorHAnsi"/>
        </w:rPr>
        <w:t xml:space="preserve">epublicii </w:t>
      </w:r>
      <w:r w:rsidRPr="00153F13">
        <w:rPr>
          <w:rFonts w:asciiTheme="majorHAnsi" w:hAnsiTheme="majorHAnsi" w:cstheme="majorHAnsi"/>
        </w:rPr>
        <w:t>M</w:t>
      </w:r>
      <w:r>
        <w:rPr>
          <w:rFonts w:asciiTheme="majorHAnsi" w:hAnsiTheme="majorHAnsi" w:cstheme="majorHAnsi"/>
        </w:rPr>
        <w:t>oldova”</w:t>
      </w:r>
      <w:r w:rsidRPr="00153F13">
        <w:rPr>
          <w:rFonts w:asciiTheme="majorHAnsi" w:hAnsiTheme="majorHAnsi" w:cstheme="majorHAnsi"/>
        </w:rPr>
        <w:t>.</w:t>
      </w:r>
    </w:p>
  </w:footnote>
  <w:footnote w:id="114">
    <w:p w:rsidR="0065324C" w:rsidRPr="00153F13" w:rsidRDefault="0065324C" w:rsidP="002B0C1F">
      <w:pPr>
        <w:pStyle w:val="a5"/>
        <w:rPr>
          <w:rFonts w:asciiTheme="majorHAnsi" w:hAnsiTheme="majorHAnsi" w:cstheme="majorHAnsi"/>
        </w:rPr>
      </w:pPr>
      <w:r w:rsidRPr="00153F13">
        <w:rPr>
          <w:rStyle w:val="ab"/>
          <w:rFonts w:asciiTheme="majorHAnsi" w:hAnsiTheme="majorHAnsi" w:cstheme="majorHAnsi"/>
        </w:rPr>
        <w:footnoteRef/>
      </w:r>
      <w:r w:rsidRPr="00153F13">
        <w:rPr>
          <w:rFonts w:asciiTheme="majorHAnsi" w:hAnsiTheme="majorHAnsi" w:cstheme="majorHAnsi"/>
        </w:rPr>
        <w:t xml:space="preserve"> Conceptul tehnic al Sistemului informaţional automatizat „Registrul vitivinicol”</w:t>
      </w:r>
      <w:r>
        <w:rPr>
          <w:rFonts w:asciiTheme="majorHAnsi" w:hAnsiTheme="majorHAnsi" w:cstheme="majorHAnsi"/>
        </w:rPr>
        <w:t>,</w:t>
      </w:r>
      <w:r w:rsidRPr="00153F13">
        <w:rPr>
          <w:rFonts w:asciiTheme="majorHAnsi" w:hAnsiTheme="majorHAnsi" w:cstheme="majorHAnsi"/>
        </w:rPr>
        <w:t xml:space="preserve"> aprobat prin HG nr.282 din 11.03.2016.</w:t>
      </w:r>
    </w:p>
  </w:footnote>
  <w:footnote w:id="115">
    <w:p w:rsidR="0065324C" w:rsidRPr="008228A9" w:rsidRDefault="0065324C" w:rsidP="002B0C1F">
      <w:pPr>
        <w:pStyle w:val="a5"/>
        <w:rPr>
          <w:rFonts w:asciiTheme="majorHAnsi" w:hAnsiTheme="majorHAnsi" w:cstheme="majorHAnsi"/>
        </w:rPr>
      </w:pPr>
      <w:r w:rsidRPr="008228A9">
        <w:rPr>
          <w:rStyle w:val="ab"/>
          <w:rFonts w:asciiTheme="majorHAnsi" w:hAnsiTheme="majorHAnsi" w:cstheme="majorHAnsi"/>
        </w:rPr>
        <w:footnoteRef/>
      </w:r>
      <w:r w:rsidRPr="008228A9">
        <w:rPr>
          <w:rFonts w:asciiTheme="majorHAnsi" w:hAnsiTheme="majorHAnsi" w:cstheme="majorHAnsi"/>
        </w:rPr>
        <w:t xml:space="preserve"> HG nr.</w:t>
      </w:r>
      <w:r w:rsidRPr="0048102A">
        <w:rPr>
          <w:rFonts w:asciiTheme="majorHAnsi" w:hAnsiTheme="majorHAnsi" w:cstheme="majorHAnsi"/>
        </w:rPr>
        <w:t xml:space="preserve">292 din 10.05.2017 </w:t>
      </w:r>
      <w:r>
        <w:rPr>
          <w:rFonts w:asciiTheme="majorHAnsi" w:hAnsiTheme="majorHAnsi" w:cstheme="majorHAnsi"/>
        </w:rPr>
        <w:t>„P</w:t>
      </w:r>
      <w:r w:rsidRPr="0048102A">
        <w:rPr>
          <w:rFonts w:asciiTheme="majorHAnsi" w:hAnsiTheme="majorHAnsi" w:cstheme="majorHAnsi"/>
        </w:rPr>
        <w:t xml:space="preserve">entru aprobarea Regulamentului privind modul de </w:t>
      </w:r>
      <w:proofErr w:type="spellStart"/>
      <w:r w:rsidRPr="0048102A">
        <w:rPr>
          <w:rFonts w:asciiTheme="majorHAnsi" w:hAnsiTheme="majorHAnsi" w:cstheme="majorHAnsi"/>
        </w:rPr>
        <w:t>ţinere</w:t>
      </w:r>
      <w:proofErr w:type="spellEnd"/>
      <w:r w:rsidRPr="0048102A">
        <w:rPr>
          <w:rFonts w:asciiTheme="majorHAnsi" w:hAnsiTheme="majorHAnsi" w:cstheme="majorHAnsi"/>
        </w:rPr>
        <w:t xml:space="preserve"> a Registrului vitivinicol al Republicii Moldova</w:t>
      </w:r>
      <w:r>
        <w:rPr>
          <w:rFonts w:asciiTheme="majorHAnsi" w:hAnsiTheme="majorHAnsi" w:cstheme="majorHAnsi"/>
        </w:rPr>
        <w:t>”</w:t>
      </w:r>
      <w:r w:rsidRPr="0048102A">
        <w:rPr>
          <w:rFonts w:asciiTheme="majorHAnsi" w:hAnsiTheme="majorHAnsi" w:cstheme="majorHAnsi"/>
        </w:rPr>
        <w:t>.</w:t>
      </w:r>
    </w:p>
  </w:footnote>
  <w:footnote w:id="116">
    <w:p w:rsidR="0065324C" w:rsidRPr="008C3771" w:rsidRDefault="0065324C" w:rsidP="002B0C1F">
      <w:pPr>
        <w:pStyle w:val="a5"/>
        <w:rPr>
          <w:rFonts w:asciiTheme="majorHAnsi" w:hAnsiTheme="majorHAnsi" w:cstheme="majorHAnsi"/>
        </w:rPr>
      </w:pPr>
      <w:r w:rsidRPr="0048102A">
        <w:rPr>
          <w:rStyle w:val="ab"/>
          <w:rFonts w:asciiTheme="majorHAnsi" w:hAnsiTheme="majorHAnsi" w:cstheme="majorHAnsi"/>
        </w:rPr>
        <w:footnoteRef/>
      </w:r>
      <w:r w:rsidRPr="0048102A">
        <w:rPr>
          <w:rFonts w:asciiTheme="majorHAnsi" w:hAnsiTheme="majorHAnsi" w:cstheme="majorHAnsi"/>
        </w:rPr>
        <w:t xml:space="preserve"> BY – Bel</w:t>
      </w:r>
      <w:r>
        <w:rPr>
          <w:rFonts w:asciiTheme="majorHAnsi" w:hAnsiTheme="majorHAnsi" w:cstheme="majorHAnsi"/>
        </w:rPr>
        <w:t>a</w:t>
      </w:r>
      <w:r w:rsidRPr="0048102A">
        <w:rPr>
          <w:rFonts w:asciiTheme="majorHAnsi" w:hAnsiTheme="majorHAnsi" w:cstheme="majorHAnsi"/>
        </w:rPr>
        <w:t>r</w:t>
      </w:r>
      <w:r>
        <w:rPr>
          <w:rFonts w:asciiTheme="majorHAnsi" w:hAnsiTheme="majorHAnsi" w:cstheme="majorHAnsi"/>
        </w:rPr>
        <w:t>u</w:t>
      </w:r>
      <w:r w:rsidRPr="0048102A">
        <w:rPr>
          <w:rFonts w:asciiTheme="majorHAnsi" w:hAnsiTheme="majorHAnsi" w:cstheme="majorHAnsi"/>
        </w:rPr>
        <w:t>s.</w:t>
      </w:r>
    </w:p>
  </w:footnote>
  <w:footnote w:id="117">
    <w:p w:rsidR="0065324C" w:rsidRPr="008C3771" w:rsidRDefault="0065324C" w:rsidP="002B0C1F">
      <w:pPr>
        <w:pStyle w:val="a5"/>
        <w:rPr>
          <w:rFonts w:asciiTheme="majorHAnsi" w:hAnsiTheme="majorHAnsi" w:cstheme="majorHAnsi"/>
        </w:rPr>
      </w:pPr>
      <w:r w:rsidRPr="008C3771">
        <w:rPr>
          <w:rStyle w:val="ab"/>
          <w:rFonts w:asciiTheme="majorHAnsi" w:hAnsiTheme="majorHAnsi" w:cstheme="majorHAnsi"/>
        </w:rPr>
        <w:footnoteRef/>
      </w:r>
      <w:r w:rsidRPr="008C3771">
        <w:rPr>
          <w:rFonts w:asciiTheme="majorHAnsi" w:hAnsiTheme="majorHAnsi" w:cstheme="majorHAnsi"/>
        </w:rPr>
        <w:t xml:space="preserve"> În 2017 –</w:t>
      </w:r>
      <w:r>
        <w:rPr>
          <w:rFonts w:asciiTheme="majorHAnsi" w:hAnsiTheme="majorHAnsi" w:cstheme="majorHAnsi"/>
        </w:rPr>
        <w:t xml:space="preserve"> </w:t>
      </w:r>
      <w:r w:rsidRPr="008C3771">
        <w:rPr>
          <w:rFonts w:asciiTheme="majorHAnsi" w:hAnsiTheme="majorHAnsi" w:cstheme="majorHAnsi"/>
        </w:rPr>
        <w:t xml:space="preserve">124,9 </w:t>
      </w:r>
      <w:proofErr w:type="spellStart"/>
      <w:r w:rsidRPr="008C3771">
        <w:rPr>
          <w:rFonts w:asciiTheme="majorHAnsi" w:hAnsiTheme="majorHAnsi" w:cstheme="majorHAnsi"/>
        </w:rPr>
        <w:t>mil.MDL</w:t>
      </w:r>
      <w:proofErr w:type="spellEnd"/>
      <w:r w:rsidRPr="008C3771">
        <w:rPr>
          <w:rFonts w:asciiTheme="majorHAnsi" w:hAnsiTheme="majorHAnsi" w:cstheme="majorHAnsi"/>
        </w:rPr>
        <w:t xml:space="preserve">/13,7 </w:t>
      </w:r>
      <w:proofErr w:type="spellStart"/>
      <w:r w:rsidRPr="008C3771">
        <w:rPr>
          <w:rFonts w:asciiTheme="majorHAnsi" w:hAnsiTheme="majorHAnsi" w:cstheme="majorHAnsi"/>
        </w:rPr>
        <w:t>mil.litri</w:t>
      </w:r>
      <w:proofErr w:type="spellEnd"/>
      <w:r w:rsidRPr="008C3771">
        <w:rPr>
          <w:rFonts w:asciiTheme="majorHAnsi" w:hAnsiTheme="majorHAnsi" w:cstheme="majorHAnsi"/>
        </w:rPr>
        <w:t xml:space="preserve">, în 2018 – 73,6 </w:t>
      </w:r>
      <w:proofErr w:type="spellStart"/>
      <w:r w:rsidRPr="008C3771">
        <w:rPr>
          <w:rFonts w:asciiTheme="majorHAnsi" w:hAnsiTheme="majorHAnsi" w:cstheme="majorHAnsi"/>
        </w:rPr>
        <w:t>mil.MDL</w:t>
      </w:r>
      <w:proofErr w:type="spellEnd"/>
      <w:r w:rsidRPr="008C3771">
        <w:rPr>
          <w:rFonts w:asciiTheme="majorHAnsi" w:hAnsiTheme="majorHAnsi" w:cstheme="majorHAnsi"/>
        </w:rPr>
        <w:t xml:space="preserve">/7,6 </w:t>
      </w:r>
      <w:proofErr w:type="spellStart"/>
      <w:r w:rsidRPr="008C3771">
        <w:rPr>
          <w:rFonts w:asciiTheme="majorHAnsi" w:hAnsiTheme="majorHAnsi" w:cstheme="majorHAnsi"/>
        </w:rPr>
        <w:t>mil.litri</w:t>
      </w:r>
      <w:proofErr w:type="spellEnd"/>
      <w:r w:rsidRPr="008C3771">
        <w:rPr>
          <w:rFonts w:asciiTheme="majorHAnsi" w:hAnsiTheme="majorHAnsi" w:cstheme="majorHAnsi"/>
        </w:rPr>
        <w:t>.</w:t>
      </w:r>
    </w:p>
  </w:footnote>
  <w:footnote w:id="118">
    <w:p w:rsidR="0065324C" w:rsidRPr="008C3771" w:rsidRDefault="0065324C" w:rsidP="002B0C1F">
      <w:pPr>
        <w:pStyle w:val="a5"/>
        <w:rPr>
          <w:rFonts w:asciiTheme="majorHAnsi" w:hAnsiTheme="majorHAnsi" w:cstheme="majorHAnsi"/>
        </w:rPr>
      </w:pPr>
      <w:r w:rsidRPr="008C3771">
        <w:rPr>
          <w:rStyle w:val="ab"/>
          <w:rFonts w:asciiTheme="majorHAnsi" w:hAnsiTheme="majorHAnsi" w:cstheme="majorHAnsi"/>
        </w:rPr>
        <w:footnoteRef/>
      </w:r>
      <w:r w:rsidRPr="008C3771">
        <w:rPr>
          <w:rFonts w:asciiTheme="majorHAnsi" w:hAnsiTheme="majorHAnsi" w:cstheme="majorHAnsi"/>
        </w:rPr>
        <w:t xml:space="preserve"> În 2017– 67,7 </w:t>
      </w:r>
      <w:proofErr w:type="spellStart"/>
      <w:r w:rsidRPr="008C3771">
        <w:rPr>
          <w:rFonts w:asciiTheme="majorHAnsi" w:hAnsiTheme="majorHAnsi" w:cstheme="majorHAnsi"/>
        </w:rPr>
        <w:t>mil.MDL</w:t>
      </w:r>
      <w:proofErr w:type="spellEnd"/>
      <w:r w:rsidRPr="008C3771">
        <w:rPr>
          <w:rFonts w:asciiTheme="majorHAnsi" w:hAnsiTheme="majorHAnsi" w:cstheme="majorHAnsi"/>
        </w:rPr>
        <w:t xml:space="preserve">/7,3 </w:t>
      </w:r>
      <w:proofErr w:type="spellStart"/>
      <w:r w:rsidRPr="008C3771">
        <w:rPr>
          <w:rFonts w:asciiTheme="majorHAnsi" w:hAnsiTheme="majorHAnsi" w:cstheme="majorHAnsi"/>
        </w:rPr>
        <w:t>mil.litri</w:t>
      </w:r>
      <w:proofErr w:type="spellEnd"/>
      <w:r w:rsidRPr="008C3771">
        <w:rPr>
          <w:rFonts w:asciiTheme="majorHAnsi" w:hAnsiTheme="majorHAnsi" w:cstheme="majorHAnsi"/>
        </w:rPr>
        <w:t>, în 2018</w:t>
      </w:r>
      <w:r>
        <w:rPr>
          <w:rFonts w:asciiTheme="majorHAnsi" w:hAnsiTheme="majorHAnsi" w:cstheme="majorHAnsi"/>
        </w:rPr>
        <w:t xml:space="preserve"> </w:t>
      </w:r>
      <w:r w:rsidRPr="008C3771">
        <w:rPr>
          <w:rFonts w:asciiTheme="majorHAnsi" w:hAnsiTheme="majorHAnsi" w:cstheme="majorHAnsi"/>
        </w:rPr>
        <w:t xml:space="preserve">– 64,3 </w:t>
      </w:r>
      <w:proofErr w:type="spellStart"/>
      <w:r w:rsidRPr="008C3771">
        <w:rPr>
          <w:rFonts w:asciiTheme="majorHAnsi" w:hAnsiTheme="majorHAnsi" w:cstheme="majorHAnsi"/>
        </w:rPr>
        <w:t>mil.MDL</w:t>
      </w:r>
      <w:proofErr w:type="spellEnd"/>
      <w:r w:rsidRPr="008C3771">
        <w:rPr>
          <w:rFonts w:asciiTheme="majorHAnsi" w:hAnsiTheme="majorHAnsi" w:cstheme="majorHAnsi"/>
        </w:rPr>
        <w:t xml:space="preserve">/6,4 </w:t>
      </w:r>
      <w:proofErr w:type="spellStart"/>
      <w:r w:rsidRPr="008C3771">
        <w:rPr>
          <w:rFonts w:asciiTheme="majorHAnsi" w:hAnsiTheme="majorHAnsi" w:cstheme="majorHAnsi"/>
        </w:rPr>
        <w:t>mil.litri</w:t>
      </w:r>
      <w:proofErr w:type="spellEnd"/>
      <w:r w:rsidRPr="008C3771">
        <w:rPr>
          <w:rFonts w:asciiTheme="majorHAnsi" w:hAnsiTheme="majorHAnsi" w:cstheme="majorHAnsi"/>
        </w:rPr>
        <w:t>.</w:t>
      </w:r>
    </w:p>
  </w:footnote>
  <w:footnote w:id="119">
    <w:p w:rsidR="0065324C" w:rsidRPr="008C3771" w:rsidRDefault="0065324C" w:rsidP="002B0C1F">
      <w:pPr>
        <w:pStyle w:val="a5"/>
        <w:rPr>
          <w:rFonts w:asciiTheme="majorHAnsi" w:hAnsiTheme="majorHAnsi" w:cstheme="majorHAnsi"/>
        </w:rPr>
      </w:pPr>
      <w:r w:rsidRPr="008C3771">
        <w:rPr>
          <w:rStyle w:val="ab"/>
          <w:rFonts w:asciiTheme="majorHAnsi" w:hAnsiTheme="majorHAnsi" w:cstheme="majorHAnsi"/>
        </w:rPr>
        <w:footnoteRef/>
      </w:r>
      <w:r w:rsidRPr="008C3771">
        <w:rPr>
          <w:rFonts w:asciiTheme="majorHAnsi" w:hAnsiTheme="majorHAnsi" w:cstheme="majorHAnsi"/>
        </w:rPr>
        <w:t xml:space="preserve"> În 2017</w:t>
      </w:r>
      <w:r>
        <w:rPr>
          <w:rFonts w:asciiTheme="majorHAnsi" w:hAnsiTheme="majorHAnsi" w:cstheme="majorHAnsi"/>
        </w:rPr>
        <w:t xml:space="preserve"> </w:t>
      </w:r>
      <w:r w:rsidRPr="008C3771">
        <w:rPr>
          <w:rFonts w:asciiTheme="majorHAnsi" w:hAnsiTheme="majorHAnsi" w:cstheme="majorHAnsi"/>
        </w:rPr>
        <w:t xml:space="preserve">– 69,1 </w:t>
      </w:r>
      <w:proofErr w:type="spellStart"/>
      <w:r w:rsidRPr="008C3771">
        <w:rPr>
          <w:rFonts w:asciiTheme="majorHAnsi" w:hAnsiTheme="majorHAnsi" w:cstheme="majorHAnsi"/>
        </w:rPr>
        <w:t>mil.MDL</w:t>
      </w:r>
      <w:proofErr w:type="spellEnd"/>
      <w:r w:rsidRPr="008C3771">
        <w:rPr>
          <w:rFonts w:asciiTheme="majorHAnsi" w:hAnsiTheme="majorHAnsi" w:cstheme="majorHAnsi"/>
        </w:rPr>
        <w:t xml:space="preserve">/7,5 </w:t>
      </w:r>
      <w:proofErr w:type="spellStart"/>
      <w:r w:rsidRPr="008C3771">
        <w:rPr>
          <w:rFonts w:asciiTheme="majorHAnsi" w:hAnsiTheme="majorHAnsi" w:cstheme="majorHAnsi"/>
        </w:rPr>
        <w:t>mil.litri</w:t>
      </w:r>
      <w:proofErr w:type="spellEnd"/>
      <w:r w:rsidRPr="008C3771">
        <w:rPr>
          <w:rFonts w:asciiTheme="majorHAnsi" w:hAnsiTheme="majorHAnsi" w:cstheme="majorHAnsi"/>
        </w:rPr>
        <w:t>, în 2018</w:t>
      </w:r>
      <w:r>
        <w:rPr>
          <w:rFonts w:asciiTheme="majorHAnsi" w:hAnsiTheme="majorHAnsi" w:cstheme="majorHAnsi"/>
        </w:rPr>
        <w:t xml:space="preserve"> </w:t>
      </w:r>
      <w:r w:rsidRPr="008C3771">
        <w:rPr>
          <w:rFonts w:asciiTheme="majorHAnsi" w:hAnsiTheme="majorHAnsi" w:cstheme="majorHAnsi"/>
        </w:rPr>
        <w:t xml:space="preserve">– 33,7 </w:t>
      </w:r>
      <w:proofErr w:type="spellStart"/>
      <w:r w:rsidRPr="008C3771">
        <w:rPr>
          <w:rFonts w:asciiTheme="majorHAnsi" w:hAnsiTheme="majorHAnsi" w:cstheme="majorHAnsi"/>
        </w:rPr>
        <w:t>mil.MDL</w:t>
      </w:r>
      <w:proofErr w:type="spellEnd"/>
      <w:r w:rsidRPr="008C3771">
        <w:rPr>
          <w:rFonts w:asciiTheme="majorHAnsi" w:hAnsiTheme="majorHAnsi" w:cstheme="majorHAnsi"/>
        </w:rPr>
        <w:t xml:space="preserve">/4,0 </w:t>
      </w:r>
      <w:proofErr w:type="spellStart"/>
      <w:r w:rsidRPr="008C3771">
        <w:rPr>
          <w:rFonts w:asciiTheme="majorHAnsi" w:hAnsiTheme="majorHAnsi" w:cstheme="majorHAnsi"/>
        </w:rPr>
        <w:t>mil.litri</w:t>
      </w:r>
      <w:proofErr w:type="spellEnd"/>
      <w:r w:rsidRPr="008C3771">
        <w:rPr>
          <w:rFonts w:asciiTheme="majorHAnsi" w:hAnsiTheme="majorHAnsi" w:cstheme="majorHAnsi"/>
        </w:rPr>
        <w:t>.</w:t>
      </w:r>
    </w:p>
  </w:footnote>
  <w:footnote w:id="120">
    <w:p w:rsidR="0065324C" w:rsidRPr="008C3771" w:rsidRDefault="0065324C" w:rsidP="002B0C1F">
      <w:pPr>
        <w:pStyle w:val="a5"/>
        <w:rPr>
          <w:rFonts w:asciiTheme="majorHAnsi" w:hAnsiTheme="majorHAnsi" w:cstheme="majorHAnsi"/>
        </w:rPr>
      </w:pPr>
      <w:r w:rsidRPr="008C3771">
        <w:rPr>
          <w:rStyle w:val="ab"/>
          <w:rFonts w:asciiTheme="majorHAnsi" w:hAnsiTheme="majorHAnsi" w:cstheme="majorHAnsi"/>
        </w:rPr>
        <w:footnoteRef/>
      </w:r>
      <w:r w:rsidRPr="008C3771">
        <w:rPr>
          <w:rFonts w:asciiTheme="majorHAnsi" w:hAnsiTheme="majorHAnsi" w:cstheme="majorHAnsi"/>
        </w:rPr>
        <w:t xml:space="preserve"> În 2017</w:t>
      </w:r>
      <w:r>
        <w:rPr>
          <w:rFonts w:asciiTheme="majorHAnsi" w:hAnsiTheme="majorHAnsi" w:cstheme="majorHAnsi"/>
        </w:rPr>
        <w:t xml:space="preserve"> </w:t>
      </w:r>
      <w:r w:rsidRPr="008C3771">
        <w:rPr>
          <w:rFonts w:asciiTheme="majorHAnsi" w:hAnsiTheme="majorHAnsi" w:cstheme="majorHAnsi"/>
        </w:rPr>
        <w:t xml:space="preserve">– 30,1 </w:t>
      </w:r>
      <w:proofErr w:type="spellStart"/>
      <w:r w:rsidRPr="008C3771">
        <w:rPr>
          <w:rFonts w:asciiTheme="majorHAnsi" w:hAnsiTheme="majorHAnsi" w:cstheme="majorHAnsi"/>
        </w:rPr>
        <w:t>mil.MDL</w:t>
      </w:r>
      <w:proofErr w:type="spellEnd"/>
      <w:r w:rsidRPr="008C3771">
        <w:rPr>
          <w:rFonts w:asciiTheme="majorHAnsi" w:hAnsiTheme="majorHAnsi" w:cstheme="majorHAnsi"/>
        </w:rPr>
        <w:t xml:space="preserve">/2,8 </w:t>
      </w:r>
      <w:proofErr w:type="spellStart"/>
      <w:r w:rsidRPr="008C3771">
        <w:rPr>
          <w:rFonts w:asciiTheme="majorHAnsi" w:hAnsiTheme="majorHAnsi" w:cstheme="majorHAnsi"/>
        </w:rPr>
        <w:t>mil.litri</w:t>
      </w:r>
      <w:proofErr w:type="spellEnd"/>
      <w:r w:rsidRPr="008C3771">
        <w:rPr>
          <w:rFonts w:asciiTheme="majorHAnsi" w:hAnsiTheme="majorHAnsi" w:cstheme="majorHAnsi"/>
        </w:rPr>
        <w:t>, în 2018</w:t>
      </w:r>
      <w:r>
        <w:rPr>
          <w:rFonts w:asciiTheme="majorHAnsi" w:hAnsiTheme="majorHAnsi" w:cstheme="majorHAnsi"/>
        </w:rPr>
        <w:t xml:space="preserve"> </w:t>
      </w:r>
      <w:r w:rsidRPr="008C3771">
        <w:rPr>
          <w:rFonts w:asciiTheme="majorHAnsi" w:hAnsiTheme="majorHAnsi" w:cstheme="majorHAnsi"/>
        </w:rPr>
        <w:t xml:space="preserve">– 55,1 </w:t>
      </w:r>
      <w:proofErr w:type="spellStart"/>
      <w:r w:rsidRPr="008C3771">
        <w:rPr>
          <w:rFonts w:asciiTheme="majorHAnsi" w:hAnsiTheme="majorHAnsi" w:cstheme="majorHAnsi"/>
        </w:rPr>
        <w:t>mil.MDL</w:t>
      </w:r>
      <w:proofErr w:type="spellEnd"/>
      <w:r w:rsidRPr="008C3771">
        <w:rPr>
          <w:rFonts w:asciiTheme="majorHAnsi" w:hAnsiTheme="majorHAnsi" w:cstheme="majorHAnsi"/>
        </w:rPr>
        <w:t xml:space="preserve">/4,7 </w:t>
      </w:r>
      <w:proofErr w:type="spellStart"/>
      <w:r w:rsidRPr="008C3771">
        <w:rPr>
          <w:rFonts w:asciiTheme="majorHAnsi" w:hAnsiTheme="majorHAnsi" w:cstheme="majorHAnsi"/>
        </w:rPr>
        <w:t>mil.litri</w:t>
      </w:r>
      <w:proofErr w:type="spellEnd"/>
      <w:r w:rsidRPr="008C3771">
        <w:rPr>
          <w:rFonts w:asciiTheme="majorHAnsi" w:hAnsiTheme="majorHAnsi" w:cstheme="majorHAnsi"/>
        </w:rPr>
        <w:t>.</w:t>
      </w:r>
    </w:p>
  </w:footnote>
  <w:footnote w:id="121">
    <w:p w:rsidR="0065324C" w:rsidRPr="00E26EB7" w:rsidRDefault="0065324C" w:rsidP="002B0C1F">
      <w:pPr>
        <w:pStyle w:val="a5"/>
        <w:rPr>
          <w:rFonts w:asciiTheme="majorHAnsi" w:hAnsiTheme="majorHAnsi" w:cstheme="majorHAnsi"/>
        </w:rPr>
      </w:pPr>
      <w:r w:rsidRPr="00E26EB7">
        <w:rPr>
          <w:rStyle w:val="ab"/>
          <w:rFonts w:asciiTheme="majorHAnsi" w:hAnsiTheme="majorHAnsi" w:cstheme="majorHAnsi"/>
        </w:rPr>
        <w:footnoteRef/>
      </w:r>
      <w:r w:rsidRPr="00E26EB7">
        <w:rPr>
          <w:rFonts w:asciiTheme="majorHAnsi" w:hAnsiTheme="majorHAnsi" w:cstheme="majorHAnsi"/>
        </w:rPr>
        <w:t xml:space="preserve"> În 2017</w:t>
      </w:r>
      <w:r>
        <w:rPr>
          <w:rFonts w:asciiTheme="majorHAnsi" w:hAnsiTheme="majorHAnsi" w:cstheme="majorHAnsi"/>
        </w:rPr>
        <w:t xml:space="preserve"> </w:t>
      </w:r>
      <w:r w:rsidRPr="008C3771">
        <w:rPr>
          <w:rFonts w:asciiTheme="majorHAnsi" w:hAnsiTheme="majorHAnsi" w:cstheme="majorHAnsi"/>
        </w:rPr>
        <w:t>–</w:t>
      </w:r>
      <w:r w:rsidRPr="00E26EB7">
        <w:rPr>
          <w:rFonts w:asciiTheme="majorHAnsi" w:hAnsiTheme="majorHAnsi" w:cstheme="majorHAnsi"/>
        </w:rPr>
        <w:t xml:space="preserve"> 43,6 </w:t>
      </w:r>
      <w:proofErr w:type="spellStart"/>
      <w:r w:rsidRPr="00E26EB7">
        <w:rPr>
          <w:rFonts w:asciiTheme="majorHAnsi" w:hAnsiTheme="majorHAnsi" w:cstheme="majorHAnsi"/>
        </w:rPr>
        <w:t>mil.MDL</w:t>
      </w:r>
      <w:proofErr w:type="spellEnd"/>
      <w:r w:rsidRPr="00E26EB7">
        <w:rPr>
          <w:rFonts w:asciiTheme="majorHAnsi" w:hAnsiTheme="majorHAnsi" w:cstheme="majorHAnsi"/>
        </w:rPr>
        <w:t xml:space="preserve">/2,7 </w:t>
      </w:r>
      <w:proofErr w:type="spellStart"/>
      <w:r w:rsidRPr="00E26EB7">
        <w:rPr>
          <w:rFonts w:asciiTheme="majorHAnsi" w:hAnsiTheme="majorHAnsi" w:cstheme="majorHAnsi"/>
        </w:rPr>
        <w:t>mil.litri</w:t>
      </w:r>
      <w:proofErr w:type="spellEnd"/>
      <w:r w:rsidRPr="00E26EB7">
        <w:rPr>
          <w:rFonts w:asciiTheme="majorHAnsi" w:hAnsiTheme="majorHAnsi" w:cstheme="majorHAnsi"/>
        </w:rPr>
        <w:t>, în 2018</w:t>
      </w:r>
      <w:r>
        <w:rPr>
          <w:rFonts w:asciiTheme="majorHAnsi" w:hAnsiTheme="majorHAnsi" w:cstheme="majorHAnsi"/>
        </w:rPr>
        <w:t xml:space="preserve"> </w:t>
      </w:r>
      <w:r w:rsidRPr="008C3771">
        <w:rPr>
          <w:rFonts w:asciiTheme="majorHAnsi" w:hAnsiTheme="majorHAnsi" w:cstheme="majorHAnsi"/>
        </w:rPr>
        <w:t>–</w:t>
      </w:r>
      <w:r w:rsidRPr="00E26EB7">
        <w:rPr>
          <w:rFonts w:asciiTheme="majorHAnsi" w:hAnsiTheme="majorHAnsi" w:cstheme="majorHAnsi"/>
        </w:rPr>
        <w:t xml:space="preserve"> 53,1 </w:t>
      </w:r>
      <w:proofErr w:type="spellStart"/>
      <w:r w:rsidRPr="00E26EB7">
        <w:rPr>
          <w:rFonts w:asciiTheme="majorHAnsi" w:hAnsiTheme="majorHAnsi" w:cstheme="majorHAnsi"/>
        </w:rPr>
        <w:t>mil.MDL</w:t>
      </w:r>
      <w:proofErr w:type="spellEnd"/>
      <w:r w:rsidRPr="00E26EB7">
        <w:rPr>
          <w:rFonts w:asciiTheme="majorHAnsi" w:hAnsiTheme="majorHAnsi" w:cstheme="majorHAnsi"/>
        </w:rPr>
        <w:t xml:space="preserve">/3,5 </w:t>
      </w:r>
      <w:proofErr w:type="spellStart"/>
      <w:r w:rsidRPr="00E26EB7">
        <w:rPr>
          <w:rFonts w:asciiTheme="majorHAnsi" w:hAnsiTheme="majorHAnsi" w:cstheme="majorHAnsi"/>
        </w:rPr>
        <w:t>mil.litri</w:t>
      </w:r>
      <w:proofErr w:type="spellEnd"/>
      <w:r w:rsidRPr="00E26EB7">
        <w:rPr>
          <w:rFonts w:asciiTheme="majorHAnsi" w:hAnsiTheme="majorHAnsi" w:cstheme="majorHAnsi"/>
        </w:rPr>
        <w:t>.</w:t>
      </w:r>
    </w:p>
  </w:footnote>
  <w:footnote w:id="122">
    <w:p w:rsidR="0065324C" w:rsidRPr="00E26EB7" w:rsidRDefault="0065324C" w:rsidP="002B0C1F">
      <w:pPr>
        <w:pStyle w:val="a5"/>
        <w:rPr>
          <w:rFonts w:asciiTheme="majorHAnsi" w:hAnsiTheme="majorHAnsi"/>
        </w:rPr>
      </w:pPr>
      <w:r w:rsidRPr="00E26EB7">
        <w:rPr>
          <w:rStyle w:val="ab"/>
          <w:rFonts w:asciiTheme="majorHAnsi" w:hAnsiTheme="majorHAnsi"/>
        </w:rPr>
        <w:footnoteRef/>
      </w:r>
      <w:r w:rsidRPr="00E26EB7">
        <w:rPr>
          <w:rFonts w:asciiTheme="majorHAnsi" w:hAnsiTheme="majorHAnsi"/>
        </w:rPr>
        <w:t xml:space="preserve"> 157 litri.</w:t>
      </w:r>
    </w:p>
  </w:footnote>
  <w:footnote w:id="123">
    <w:p w:rsidR="0065324C" w:rsidRPr="00E26EB7" w:rsidRDefault="0065324C" w:rsidP="002B0C1F">
      <w:pPr>
        <w:pStyle w:val="a5"/>
        <w:rPr>
          <w:rFonts w:asciiTheme="majorHAnsi" w:hAnsiTheme="majorHAnsi"/>
        </w:rPr>
      </w:pPr>
      <w:r w:rsidRPr="00E26EB7">
        <w:rPr>
          <w:rStyle w:val="ab"/>
          <w:rFonts w:asciiTheme="majorHAnsi" w:hAnsiTheme="majorHAnsi"/>
        </w:rPr>
        <w:footnoteRef/>
      </w:r>
      <w:r w:rsidRPr="00E26EB7">
        <w:rPr>
          <w:rFonts w:asciiTheme="majorHAnsi" w:hAnsiTheme="majorHAnsi"/>
        </w:rPr>
        <w:t xml:space="preserve"> 334 litri.</w:t>
      </w:r>
    </w:p>
  </w:footnote>
  <w:footnote w:id="124">
    <w:p w:rsidR="0065324C" w:rsidRDefault="0065324C" w:rsidP="002B0C1F">
      <w:pPr>
        <w:pStyle w:val="a5"/>
      </w:pPr>
      <w:r w:rsidRPr="00E26EB7">
        <w:rPr>
          <w:rStyle w:val="ab"/>
          <w:rFonts w:asciiTheme="majorHAnsi" w:hAnsiTheme="majorHAnsi"/>
        </w:rPr>
        <w:footnoteRef/>
      </w:r>
      <w:r w:rsidRPr="00E26EB7">
        <w:rPr>
          <w:rFonts w:asciiTheme="majorHAnsi" w:hAnsiTheme="majorHAnsi"/>
        </w:rPr>
        <w:t xml:space="preserve"> 302 litri.</w:t>
      </w:r>
    </w:p>
  </w:footnote>
  <w:footnote w:id="125">
    <w:p w:rsidR="0065324C" w:rsidRPr="00CF13C7" w:rsidRDefault="0065324C" w:rsidP="002B0C1F">
      <w:pPr>
        <w:pStyle w:val="a5"/>
        <w:rPr>
          <w:rFonts w:asciiTheme="majorHAnsi" w:hAnsiTheme="majorHAnsi"/>
          <w:lang w:val="ro-MD"/>
        </w:rPr>
      </w:pPr>
      <w:r w:rsidRPr="00CF13C7">
        <w:rPr>
          <w:rStyle w:val="ab"/>
          <w:rFonts w:asciiTheme="majorHAnsi" w:hAnsiTheme="majorHAnsi"/>
          <w:lang w:val="ro-MD"/>
        </w:rPr>
        <w:footnoteRef/>
      </w:r>
      <w:r w:rsidRPr="00CF13C7">
        <w:rPr>
          <w:rFonts w:asciiTheme="majorHAnsi" w:hAnsiTheme="majorHAnsi"/>
          <w:lang w:val="ro-MD"/>
        </w:rPr>
        <w:t xml:space="preserve"> Formularul 4. Propuneri la buget pentru anul 2018 şi estimări pe anul 2020-2021.</w:t>
      </w:r>
    </w:p>
  </w:footnote>
  <w:footnote w:id="126">
    <w:p w:rsidR="0065324C" w:rsidRPr="00CF13C7" w:rsidRDefault="0065324C" w:rsidP="002B0C1F">
      <w:pPr>
        <w:pStyle w:val="a5"/>
        <w:rPr>
          <w:lang w:val="ro-MD"/>
        </w:rPr>
      </w:pPr>
      <w:r w:rsidRPr="00CF13C7">
        <w:rPr>
          <w:rStyle w:val="ab"/>
          <w:rFonts w:asciiTheme="majorHAnsi" w:hAnsiTheme="majorHAnsi"/>
          <w:lang w:val="ro-MD"/>
        </w:rPr>
        <w:footnoteRef/>
      </w:r>
      <w:r w:rsidRPr="00CF13C7">
        <w:rPr>
          <w:rFonts w:asciiTheme="majorHAnsi" w:hAnsiTheme="majorHAnsi"/>
          <w:lang w:val="ro-MD"/>
        </w:rPr>
        <w:t xml:space="preserve"> Aprobat de Reuniunea Filierei Vi</w:t>
      </w:r>
      <w:r>
        <w:rPr>
          <w:rFonts w:asciiTheme="majorHAnsi" w:hAnsiTheme="majorHAnsi"/>
          <w:lang w:val="ro-MD"/>
        </w:rPr>
        <w:t>t</w:t>
      </w:r>
      <w:r w:rsidRPr="00CF13C7">
        <w:rPr>
          <w:rFonts w:asciiTheme="majorHAnsi" w:hAnsiTheme="majorHAnsi"/>
          <w:lang w:val="ro-MD"/>
        </w:rPr>
        <w:t>ivinicole la 16.11.2016 și de CC la 24.01.</w:t>
      </w:r>
      <w:r>
        <w:rPr>
          <w:rFonts w:asciiTheme="majorHAnsi" w:hAnsiTheme="majorHAnsi"/>
          <w:lang w:val="ro-MD"/>
        </w:rPr>
        <w:t>2</w:t>
      </w:r>
      <w:r w:rsidRPr="00CF13C7">
        <w:rPr>
          <w:rFonts w:asciiTheme="majorHAnsi" w:hAnsiTheme="majorHAnsi"/>
          <w:lang w:val="ro-MD"/>
        </w:rPr>
        <w:t>017.</w:t>
      </w:r>
    </w:p>
  </w:footnote>
  <w:footnote w:id="127">
    <w:p w:rsidR="0065324C" w:rsidRPr="00D71A55" w:rsidRDefault="0065324C" w:rsidP="00CF3BC4">
      <w:pPr>
        <w:pStyle w:val="a5"/>
        <w:rPr>
          <w:rFonts w:asciiTheme="majorHAnsi" w:hAnsiTheme="majorHAnsi" w:cstheme="majorHAnsi"/>
        </w:rPr>
      </w:pPr>
      <w:r w:rsidRPr="00D71A55">
        <w:rPr>
          <w:rStyle w:val="ab"/>
          <w:rFonts w:asciiTheme="majorHAnsi" w:hAnsiTheme="majorHAnsi" w:cstheme="majorHAnsi"/>
        </w:rPr>
        <w:footnoteRef/>
      </w:r>
      <w:r w:rsidRPr="00D71A55">
        <w:rPr>
          <w:rFonts w:asciiTheme="majorHAnsi" w:hAnsiTheme="majorHAnsi" w:cstheme="majorHAnsi"/>
        </w:rPr>
        <w:t xml:space="preserve"> Sta</w:t>
      </w:r>
      <w:r>
        <w:rPr>
          <w:rFonts w:asciiTheme="majorHAnsi" w:hAnsiTheme="majorHAnsi" w:cstheme="majorHAnsi"/>
        </w:rPr>
        <w:t>ție mete</w:t>
      </w:r>
      <w:r w:rsidRPr="00D71A55">
        <w:rPr>
          <w:rFonts w:asciiTheme="majorHAnsi" w:hAnsiTheme="majorHAnsi" w:cstheme="majorHAnsi"/>
        </w:rPr>
        <w:t>o, senzor, capcan</w:t>
      </w:r>
      <w:r>
        <w:rPr>
          <w:rFonts w:asciiTheme="majorHAnsi" w:hAnsiTheme="majorHAnsi" w:cstheme="majorHAnsi"/>
        </w:rPr>
        <w:t>ă</w:t>
      </w:r>
      <w:r w:rsidRPr="00D71A55">
        <w:rPr>
          <w:rFonts w:asciiTheme="majorHAnsi" w:hAnsiTheme="majorHAnsi" w:cstheme="majorHAnsi"/>
        </w:rPr>
        <w:t xml:space="preserve"> electrică, st</w:t>
      </w:r>
      <w:r>
        <w:rPr>
          <w:rFonts w:asciiTheme="majorHAnsi" w:hAnsiTheme="majorHAnsi" w:cstheme="majorHAnsi"/>
        </w:rPr>
        <w:t>â</w:t>
      </w:r>
      <w:r w:rsidRPr="00D71A55">
        <w:rPr>
          <w:rFonts w:asciiTheme="majorHAnsi" w:hAnsiTheme="majorHAnsi" w:cstheme="majorHAnsi"/>
        </w:rPr>
        <w:t>lpi fruntași din lemn, scoabe pentru st</w:t>
      </w:r>
      <w:r>
        <w:rPr>
          <w:rFonts w:asciiTheme="majorHAnsi" w:hAnsiTheme="majorHAnsi" w:cstheme="majorHAnsi"/>
        </w:rPr>
        <w:t>â</w:t>
      </w:r>
      <w:r w:rsidRPr="00D71A55">
        <w:rPr>
          <w:rFonts w:asciiTheme="majorHAnsi" w:hAnsiTheme="majorHAnsi" w:cstheme="majorHAnsi"/>
        </w:rPr>
        <w:t>lpi,</w:t>
      </w:r>
      <w:r>
        <w:rPr>
          <w:rFonts w:asciiTheme="majorHAnsi" w:hAnsiTheme="majorHAnsi" w:cstheme="majorHAnsi"/>
        </w:rPr>
        <w:t xml:space="preserve"> </w:t>
      </w:r>
      <w:r w:rsidRPr="00D71A55">
        <w:rPr>
          <w:rFonts w:asciiTheme="majorHAnsi" w:hAnsiTheme="majorHAnsi" w:cstheme="majorHAnsi"/>
        </w:rPr>
        <w:t>sârmă de spalier zincată etc.</w:t>
      </w:r>
    </w:p>
  </w:footnote>
  <w:footnote w:id="128">
    <w:p w:rsidR="0065324C" w:rsidRPr="0062235A" w:rsidRDefault="0065324C" w:rsidP="002B0C1F">
      <w:pPr>
        <w:pStyle w:val="a5"/>
        <w:rPr>
          <w:rFonts w:asciiTheme="majorHAnsi" w:hAnsiTheme="majorHAnsi"/>
        </w:rPr>
      </w:pPr>
      <w:r w:rsidRPr="0062235A">
        <w:rPr>
          <w:rStyle w:val="ab"/>
          <w:rFonts w:asciiTheme="majorHAnsi" w:hAnsiTheme="majorHAnsi"/>
        </w:rPr>
        <w:footnoteRef/>
      </w:r>
      <w:r w:rsidRPr="0062235A">
        <w:rPr>
          <w:rFonts w:asciiTheme="majorHAnsi" w:hAnsiTheme="majorHAnsi"/>
        </w:rPr>
        <w:t xml:space="preserve"> </w:t>
      </w:r>
      <w:r w:rsidRPr="00CF13C7">
        <w:rPr>
          <w:rFonts w:asciiTheme="majorHAnsi" w:hAnsiTheme="majorHAnsi"/>
          <w:u w:val="single"/>
        </w:rPr>
        <w:t>www.wineofmoldova.com</w:t>
      </w:r>
      <w:r>
        <w:rPr>
          <w:rFonts w:asciiTheme="majorHAnsi" w:hAnsiTheme="majorHAnsi"/>
        </w:rPr>
        <w:t>.</w:t>
      </w:r>
    </w:p>
  </w:footnote>
  <w:footnote w:id="129">
    <w:p w:rsidR="0065324C" w:rsidRPr="006C41FA" w:rsidRDefault="0065324C" w:rsidP="002B0C1F">
      <w:pPr>
        <w:pStyle w:val="a5"/>
        <w:rPr>
          <w:rFonts w:asciiTheme="majorHAnsi" w:hAnsiTheme="majorHAnsi" w:cstheme="majorHAnsi"/>
        </w:rPr>
      </w:pPr>
      <w:r w:rsidRPr="006C41FA">
        <w:rPr>
          <w:rStyle w:val="ab"/>
          <w:rFonts w:asciiTheme="majorHAnsi" w:hAnsiTheme="majorHAnsi" w:cstheme="majorHAnsi"/>
        </w:rPr>
        <w:footnoteRef/>
      </w:r>
      <w:r w:rsidRPr="006C41FA">
        <w:rPr>
          <w:rFonts w:asciiTheme="majorHAnsi" w:hAnsiTheme="majorHAnsi" w:cstheme="majorHAnsi"/>
        </w:rPr>
        <w:t xml:space="preserve"> Ordinul IFPS nr.429 din 16.04.2013.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1AF"/>
    <w:multiLevelType w:val="hybridMultilevel"/>
    <w:tmpl w:val="6F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330A"/>
    <w:multiLevelType w:val="hybridMultilevel"/>
    <w:tmpl w:val="88BE7F5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82941C7"/>
    <w:multiLevelType w:val="hybridMultilevel"/>
    <w:tmpl w:val="A2D0B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F3F3B"/>
    <w:multiLevelType w:val="hybridMultilevel"/>
    <w:tmpl w:val="164E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06129"/>
    <w:multiLevelType w:val="hybridMultilevel"/>
    <w:tmpl w:val="42F8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23D4D"/>
    <w:multiLevelType w:val="hybridMultilevel"/>
    <w:tmpl w:val="D0C2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6C83"/>
    <w:multiLevelType w:val="multilevel"/>
    <w:tmpl w:val="A3F6BB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E3731C"/>
    <w:multiLevelType w:val="hybridMultilevel"/>
    <w:tmpl w:val="B6881C56"/>
    <w:lvl w:ilvl="0" w:tplc="040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8" w15:restartNumberingAfterBreak="0">
    <w:nsid w:val="0FA96D59"/>
    <w:multiLevelType w:val="hybridMultilevel"/>
    <w:tmpl w:val="6892291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15:restartNumberingAfterBreak="0">
    <w:nsid w:val="15754FDB"/>
    <w:multiLevelType w:val="multilevel"/>
    <w:tmpl w:val="85FEE180"/>
    <w:lvl w:ilvl="0">
      <w:start w:val="1"/>
      <w:numFmt w:val="decimal"/>
      <w:lvlText w:val="%1."/>
      <w:lvlJc w:val="left"/>
      <w:pPr>
        <w:ind w:left="360" w:hanging="360"/>
      </w:pPr>
      <w:rPr>
        <w:rFonts w:eastAsiaTheme="minorHAnsi" w:hint="default"/>
      </w:rPr>
    </w:lvl>
    <w:lvl w:ilvl="1">
      <w:start w:val="1"/>
      <w:numFmt w:val="bullet"/>
      <w:lvlText w:val=""/>
      <w:lvlJc w:val="left"/>
      <w:pPr>
        <w:ind w:left="720" w:hanging="360"/>
      </w:pPr>
      <w:rPr>
        <w:rFonts w:ascii="Symbol" w:hAnsi="Symbol"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0" w15:restartNumberingAfterBreak="0">
    <w:nsid w:val="177E706F"/>
    <w:multiLevelType w:val="hybridMultilevel"/>
    <w:tmpl w:val="648CE446"/>
    <w:lvl w:ilvl="0" w:tplc="08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F0DCF"/>
    <w:multiLevelType w:val="hybridMultilevel"/>
    <w:tmpl w:val="6F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80430"/>
    <w:multiLevelType w:val="hybridMultilevel"/>
    <w:tmpl w:val="C9904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C97D90"/>
    <w:multiLevelType w:val="multilevel"/>
    <w:tmpl w:val="B1323BB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6B8152E"/>
    <w:multiLevelType w:val="hybridMultilevel"/>
    <w:tmpl w:val="7180A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72214"/>
    <w:multiLevelType w:val="hybridMultilevel"/>
    <w:tmpl w:val="32AE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F0E9A"/>
    <w:multiLevelType w:val="hybridMultilevel"/>
    <w:tmpl w:val="B994E2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702DA"/>
    <w:multiLevelType w:val="hybridMultilevel"/>
    <w:tmpl w:val="3552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937EA"/>
    <w:multiLevelType w:val="hybridMultilevel"/>
    <w:tmpl w:val="F4B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47B6E"/>
    <w:multiLevelType w:val="hybridMultilevel"/>
    <w:tmpl w:val="61DA620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20B96"/>
    <w:multiLevelType w:val="multilevel"/>
    <w:tmpl w:val="BFEA2E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C967EE"/>
    <w:multiLevelType w:val="hybridMultilevel"/>
    <w:tmpl w:val="BC46562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2" w15:restartNumberingAfterBreak="0">
    <w:nsid w:val="46004232"/>
    <w:multiLevelType w:val="multilevel"/>
    <w:tmpl w:val="6414D7F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4744" w:hanging="72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6936" w:hanging="1080"/>
      </w:pPr>
      <w:rPr>
        <w:rFonts w:hint="default"/>
      </w:rPr>
    </w:lvl>
    <w:lvl w:ilvl="7">
      <w:start w:val="1"/>
      <w:numFmt w:val="decimal"/>
      <w:isLgl/>
      <w:lvlText w:val="%1.%2.%3.%4.%5.%6.%7.%8."/>
      <w:lvlJc w:val="left"/>
      <w:pPr>
        <w:ind w:left="7852" w:hanging="1080"/>
      </w:pPr>
      <w:rPr>
        <w:rFonts w:hint="default"/>
      </w:rPr>
    </w:lvl>
    <w:lvl w:ilvl="8">
      <w:start w:val="1"/>
      <w:numFmt w:val="decimal"/>
      <w:isLgl/>
      <w:lvlText w:val="%1.%2.%3.%4.%5.%6.%7.%8.%9."/>
      <w:lvlJc w:val="left"/>
      <w:pPr>
        <w:ind w:left="9128" w:hanging="1440"/>
      </w:pPr>
      <w:rPr>
        <w:rFonts w:hint="default"/>
      </w:rPr>
    </w:lvl>
  </w:abstractNum>
  <w:abstractNum w:abstractNumId="23" w15:restartNumberingAfterBreak="0">
    <w:nsid w:val="4F803816"/>
    <w:multiLevelType w:val="hybridMultilevel"/>
    <w:tmpl w:val="0800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05F82"/>
    <w:multiLevelType w:val="multilevel"/>
    <w:tmpl w:val="9892B524"/>
    <w:lvl w:ilvl="0">
      <w:start w:val="3"/>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C0329A8"/>
    <w:multiLevelType w:val="hybridMultilevel"/>
    <w:tmpl w:val="52E0D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BC5E5F"/>
    <w:multiLevelType w:val="hybridMultilevel"/>
    <w:tmpl w:val="CFF8DB5C"/>
    <w:lvl w:ilvl="0" w:tplc="04090001">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27" w15:restartNumberingAfterBreak="0">
    <w:nsid w:val="64AA1EFC"/>
    <w:multiLevelType w:val="hybridMultilevel"/>
    <w:tmpl w:val="BC4AD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67816"/>
    <w:multiLevelType w:val="hybridMultilevel"/>
    <w:tmpl w:val="4D1E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D0151"/>
    <w:multiLevelType w:val="hybridMultilevel"/>
    <w:tmpl w:val="538C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31" w15:restartNumberingAfterBreak="0">
    <w:nsid w:val="672011CC"/>
    <w:multiLevelType w:val="hybridMultilevel"/>
    <w:tmpl w:val="AB6601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7C81E90"/>
    <w:multiLevelType w:val="hybridMultilevel"/>
    <w:tmpl w:val="C8A2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B0DB7"/>
    <w:multiLevelType w:val="hybridMultilevel"/>
    <w:tmpl w:val="C93C9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D0093"/>
    <w:multiLevelType w:val="multilevel"/>
    <w:tmpl w:val="8BCEE0E6"/>
    <w:lvl w:ilvl="0">
      <w:start w:val="1"/>
      <w:numFmt w:val="decimal"/>
      <w:lvlText w:val="%1."/>
      <w:lvlJc w:val="left"/>
      <w:pPr>
        <w:ind w:left="720" w:hanging="360"/>
      </w:pPr>
      <w:rPr>
        <w:rFonts w:hint="default"/>
      </w:rPr>
    </w:lvl>
    <w:lvl w:ilvl="1">
      <w:start w:val="7"/>
      <w:numFmt w:val="decimal"/>
      <w:isLgl/>
      <w:lvlText w:val="%1.%2"/>
      <w:lvlJc w:val="left"/>
      <w:pPr>
        <w:ind w:left="1050" w:hanging="6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EA9191F"/>
    <w:multiLevelType w:val="hybridMultilevel"/>
    <w:tmpl w:val="801409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EE341B8"/>
    <w:multiLevelType w:val="multilevel"/>
    <w:tmpl w:val="FE0CC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E14500"/>
    <w:multiLevelType w:val="multilevel"/>
    <w:tmpl w:val="29309704"/>
    <w:lvl w:ilvl="0">
      <w:start w:val="4"/>
      <w:numFmt w:val="decimal"/>
      <w:lvlText w:val="%1."/>
      <w:lvlJc w:val="left"/>
      <w:pPr>
        <w:ind w:left="540" w:hanging="540"/>
      </w:pPr>
      <w:rPr>
        <w:rFonts w:hint="default"/>
      </w:rPr>
    </w:lvl>
    <w:lvl w:ilvl="1">
      <w:start w:val="2"/>
      <w:numFmt w:val="decimal"/>
      <w:lvlText w:val="%1.%2."/>
      <w:lvlJc w:val="left"/>
      <w:pPr>
        <w:ind w:left="1146" w:hanging="720"/>
      </w:pPr>
      <w:rPr>
        <w:rFonts w:hint="default"/>
      </w:rPr>
    </w:lvl>
    <w:lvl w:ilvl="2">
      <w:start w:val="2"/>
      <w:numFmt w:val="decimal"/>
      <w:lvlText w:val="%1.%2.%3."/>
      <w:lvlJc w:val="left"/>
      <w:pPr>
        <w:ind w:left="3698" w:hanging="720"/>
      </w:pPr>
      <w:rPr>
        <w:rFonts w:asciiTheme="majorHAnsi" w:hAnsiTheme="majorHAnsi" w:cstheme="majorHAnsi"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774338"/>
    <w:multiLevelType w:val="hybridMultilevel"/>
    <w:tmpl w:val="0DF0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E3A29"/>
    <w:multiLevelType w:val="hybridMultilevel"/>
    <w:tmpl w:val="E4FE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F6527"/>
    <w:multiLevelType w:val="hybridMultilevel"/>
    <w:tmpl w:val="954E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843F5"/>
    <w:multiLevelType w:val="multilevel"/>
    <w:tmpl w:val="7F067C2A"/>
    <w:lvl w:ilvl="0">
      <w:start w:val="4"/>
      <w:numFmt w:val="decimal"/>
      <w:lvlText w:val="%1"/>
      <w:lvlJc w:val="left"/>
      <w:pPr>
        <w:ind w:left="480" w:hanging="480"/>
      </w:pPr>
      <w:rPr>
        <w:rFonts w:asciiTheme="majorHAnsi" w:hAnsiTheme="majorHAnsi" w:cstheme="majorHAnsi" w:hint="default"/>
      </w:rPr>
    </w:lvl>
    <w:lvl w:ilvl="1">
      <w:start w:val="3"/>
      <w:numFmt w:val="decimal"/>
      <w:lvlText w:val="%1.%2"/>
      <w:lvlJc w:val="left"/>
      <w:pPr>
        <w:ind w:left="972" w:hanging="480"/>
      </w:pPr>
      <w:rPr>
        <w:rFonts w:asciiTheme="majorHAnsi" w:hAnsiTheme="majorHAnsi" w:cstheme="majorHAnsi" w:hint="default"/>
      </w:rPr>
    </w:lvl>
    <w:lvl w:ilvl="2">
      <w:start w:val="9"/>
      <w:numFmt w:val="decimal"/>
      <w:lvlText w:val="%1.%2.%3"/>
      <w:lvlJc w:val="left"/>
      <w:pPr>
        <w:ind w:left="1855" w:hanging="720"/>
      </w:pPr>
      <w:rPr>
        <w:rFonts w:asciiTheme="majorHAnsi" w:hAnsiTheme="majorHAnsi" w:cstheme="majorHAnsi" w:hint="default"/>
      </w:rPr>
    </w:lvl>
    <w:lvl w:ilvl="3">
      <w:start w:val="1"/>
      <w:numFmt w:val="decimal"/>
      <w:lvlText w:val="%1.%2.%3.%4"/>
      <w:lvlJc w:val="left"/>
      <w:pPr>
        <w:ind w:left="2196" w:hanging="720"/>
      </w:pPr>
      <w:rPr>
        <w:rFonts w:asciiTheme="majorHAnsi" w:hAnsiTheme="majorHAnsi" w:cstheme="majorHAnsi" w:hint="default"/>
      </w:rPr>
    </w:lvl>
    <w:lvl w:ilvl="4">
      <w:start w:val="1"/>
      <w:numFmt w:val="decimal"/>
      <w:lvlText w:val="%1.%2.%3.%4.%5"/>
      <w:lvlJc w:val="left"/>
      <w:pPr>
        <w:ind w:left="3048" w:hanging="1080"/>
      </w:pPr>
      <w:rPr>
        <w:rFonts w:asciiTheme="majorHAnsi" w:hAnsiTheme="majorHAnsi" w:cstheme="majorHAnsi" w:hint="default"/>
      </w:rPr>
    </w:lvl>
    <w:lvl w:ilvl="5">
      <w:start w:val="1"/>
      <w:numFmt w:val="decimal"/>
      <w:lvlText w:val="%1.%2.%3.%4.%5.%6"/>
      <w:lvlJc w:val="left"/>
      <w:pPr>
        <w:ind w:left="3540" w:hanging="1080"/>
      </w:pPr>
      <w:rPr>
        <w:rFonts w:asciiTheme="majorHAnsi" w:hAnsiTheme="majorHAnsi" w:cstheme="majorHAnsi" w:hint="default"/>
      </w:rPr>
    </w:lvl>
    <w:lvl w:ilvl="6">
      <w:start w:val="1"/>
      <w:numFmt w:val="decimal"/>
      <w:lvlText w:val="%1.%2.%3.%4.%5.%6.%7"/>
      <w:lvlJc w:val="left"/>
      <w:pPr>
        <w:ind w:left="4392" w:hanging="1440"/>
      </w:pPr>
      <w:rPr>
        <w:rFonts w:asciiTheme="majorHAnsi" w:hAnsiTheme="majorHAnsi" w:cstheme="majorHAnsi" w:hint="default"/>
      </w:rPr>
    </w:lvl>
    <w:lvl w:ilvl="7">
      <w:start w:val="1"/>
      <w:numFmt w:val="decimal"/>
      <w:lvlText w:val="%1.%2.%3.%4.%5.%6.%7.%8"/>
      <w:lvlJc w:val="left"/>
      <w:pPr>
        <w:ind w:left="4884" w:hanging="1440"/>
      </w:pPr>
      <w:rPr>
        <w:rFonts w:asciiTheme="majorHAnsi" w:hAnsiTheme="majorHAnsi" w:cstheme="majorHAnsi" w:hint="default"/>
      </w:rPr>
    </w:lvl>
    <w:lvl w:ilvl="8">
      <w:start w:val="1"/>
      <w:numFmt w:val="decimal"/>
      <w:lvlText w:val="%1.%2.%3.%4.%5.%6.%7.%8.%9"/>
      <w:lvlJc w:val="left"/>
      <w:pPr>
        <w:ind w:left="5736" w:hanging="1800"/>
      </w:pPr>
      <w:rPr>
        <w:rFonts w:asciiTheme="majorHAnsi" w:hAnsiTheme="majorHAnsi" w:cstheme="majorHAnsi" w:hint="default"/>
      </w:rPr>
    </w:lvl>
  </w:abstractNum>
  <w:abstractNum w:abstractNumId="42" w15:restartNumberingAfterBreak="0">
    <w:nsid w:val="7A113123"/>
    <w:multiLevelType w:val="multilevel"/>
    <w:tmpl w:val="F8E4DD1E"/>
    <w:lvl w:ilvl="0">
      <w:start w:val="1"/>
      <w:numFmt w:val="bullet"/>
      <w:lvlText w:val=""/>
      <w:lvlJc w:val="left"/>
      <w:pPr>
        <w:ind w:left="720" w:hanging="360"/>
      </w:pPr>
      <w:rPr>
        <w:rFonts w:ascii="Symbol" w:hAnsi="Symbol" w:hint="default"/>
      </w:rPr>
    </w:lvl>
    <w:lvl w:ilvl="1">
      <w:start w:val="3"/>
      <w:numFmt w:val="decimal"/>
      <w:isLgl/>
      <w:lvlText w:val="%1.%2."/>
      <w:lvlJc w:val="left"/>
      <w:pPr>
        <w:ind w:left="984" w:hanging="700"/>
      </w:pPr>
      <w:rPr>
        <w:rFonts w:cstheme="majorBidi" w:hint="default"/>
        <w:b/>
        <w:i w:val="0"/>
        <w:color w:val="auto"/>
      </w:rPr>
    </w:lvl>
    <w:lvl w:ilvl="2">
      <w:start w:val="1"/>
      <w:numFmt w:val="decimal"/>
      <w:isLgl/>
      <w:lvlText w:val="%1.%2.%3."/>
      <w:lvlJc w:val="left"/>
      <w:pPr>
        <w:ind w:left="1004" w:hanging="720"/>
      </w:pPr>
      <w:rPr>
        <w:rFonts w:cstheme="majorBidi" w:hint="default"/>
        <w:b/>
        <w:i w:val="0"/>
        <w:color w:val="auto"/>
      </w:rPr>
    </w:lvl>
    <w:lvl w:ilvl="3">
      <w:start w:val="1"/>
      <w:numFmt w:val="decimal"/>
      <w:isLgl/>
      <w:lvlText w:val="%1.%2.%3.%4."/>
      <w:lvlJc w:val="left"/>
      <w:pPr>
        <w:ind w:left="1080" w:hanging="720"/>
      </w:pPr>
      <w:rPr>
        <w:rFonts w:cstheme="majorBidi" w:hint="default"/>
        <w:b/>
        <w:i w:val="0"/>
        <w:color w:val="auto"/>
      </w:rPr>
    </w:lvl>
    <w:lvl w:ilvl="4">
      <w:start w:val="1"/>
      <w:numFmt w:val="decimal"/>
      <w:isLgl/>
      <w:lvlText w:val="%1.%2.%3.%4.%5."/>
      <w:lvlJc w:val="left"/>
      <w:pPr>
        <w:ind w:left="1440" w:hanging="1080"/>
      </w:pPr>
      <w:rPr>
        <w:rFonts w:cstheme="majorBidi" w:hint="default"/>
        <w:b/>
        <w:i w:val="0"/>
        <w:color w:val="auto"/>
      </w:rPr>
    </w:lvl>
    <w:lvl w:ilvl="5">
      <w:start w:val="1"/>
      <w:numFmt w:val="decimal"/>
      <w:isLgl/>
      <w:lvlText w:val="%1.%2.%3.%4.%5.%6."/>
      <w:lvlJc w:val="left"/>
      <w:pPr>
        <w:ind w:left="1440" w:hanging="1080"/>
      </w:pPr>
      <w:rPr>
        <w:rFonts w:cstheme="majorBidi" w:hint="default"/>
        <w:b/>
        <w:i w:val="0"/>
        <w:color w:val="auto"/>
      </w:rPr>
    </w:lvl>
    <w:lvl w:ilvl="6">
      <w:start w:val="1"/>
      <w:numFmt w:val="decimal"/>
      <w:isLgl/>
      <w:lvlText w:val="%1.%2.%3.%4.%5.%6.%7."/>
      <w:lvlJc w:val="left"/>
      <w:pPr>
        <w:ind w:left="1800" w:hanging="1440"/>
      </w:pPr>
      <w:rPr>
        <w:rFonts w:cstheme="majorBidi" w:hint="default"/>
        <w:b/>
        <w:i w:val="0"/>
        <w:color w:val="auto"/>
      </w:rPr>
    </w:lvl>
    <w:lvl w:ilvl="7">
      <w:start w:val="1"/>
      <w:numFmt w:val="decimal"/>
      <w:isLgl/>
      <w:lvlText w:val="%1.%2.%3.%4.%5.%6.%7.%8."/>
      <w:lvlJc w:val="left"/>
      <w:pPr>
        <w:ind w:left="1800" w:hanging="1440"/>
      </w:pPr>
      <w:rPr>
        <w:rFonts w:cstheme="majorBidi" w:hint="default"/>
        <w:b/>
        <w:i w:val="0"/>
        <w:color w:val="auto"/>
      </w:rPr>
    </w:lvl>
    <w:lvl w:ilvl="8">
      <w:start w:val="1"/>
      <w:numFmt w:val="decimal"/>
      <w:isLgl/>
      <w:lvlText w:val="%1.%2.%3.%4.%5.%6.%7.%8.%9."/>
      <w:lvlJc w:val="left"/>
      <w:pPr>
        <w:ind w:left="2160" w:hanging="1800"/>
      </w:pPr>
      <w:rPr>
        <w:rFonts w:cstheme="majorBidi" w:hint="default"/>
        <w:b/>
        <w:i w:val="0"/>
        <w:color w:val="auto"/>
      </w:rPr>
    </w:lvl>
  </w:abstractNum>
  <w:abstractNum w:abstractNumId="43" w15:restartNumberingAfterBreak="0">
    <w:nsid w:val="7C564457"/>
    <w:multiLevelType w:val="multilevel"/>
    <w:tmpl w:val="E878D64E"/>
    <w:lvl w:ilvl="0">
      <w:start w:val="4"/>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7F763594"/>
    <w:multiLevelType w:val="hybridMultilevel"/>
    <w:tmpl w:val="6026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9"/>
  </w:num>
  <w:num w:numId="4">
    <w:abstractNumId w:val="19"/>
  </w:num>
  <w:num w:numId="5">
    <w:abstractNumId w:val="36"/>
  </w:num>
  <w:num w:numId="6">
    <w:abstractNumId w:val="38"/>
  </w:num>
  <w:num w:numId="7">
    <w:abstractNumId w:val="44"/>
  </w:num>
  <w:num w:numId="8">
    <w:abstractNumId w:val="31"/>
  </w:num>
  <w:num w:numId="9">
    <w:abstractNumId w:val="22"/>
  </w:num>
  <w:num w:numId="10">
    <w:abstractNumId w:val="23"/>
  </w:num>
  <w:num w:numId="11">
    <w:abstractNumId w:val="42"/>
  </w:num>
  <w:num w:numId="12">
    <w:abstractNumId w:val="39"/>
  </w:num>
  <w:num w:numId="13">
    <w:abstractNumId w:val="35"/>
  </w:num>
  <w:num w:numId="14">
    <w:abstractNumId w:val="18"/>
  </w:num>
  <w:num w:numId="15">
    <w:abstractNumId w:val="37"/>
  </w:num>
  <w:num w:numId="16">
    <w:abstractNumId w:val="13"/>
  </w:num>
  <w:num w:numId="17">
    <w:abstractNumId w:val="20"/>
  </w:num>
  <w:num w:numId="18">
    <w:abstractNumId w:val="8"/>
  </w:num>
  <w:num w:numId="19">
    <w:abstractNumId w:val="34"/>
  </w:num>
  <w:num w:numId="20">
    <w:abstractNumId w:val="2"/>
  </w:num>
  <w:num w:numId="21">
    <w:abstractNumId w:val="25"/>
  </w:num>
  <w:num w:numId="22">
    <w:abstractNumId w:val="12"/>
  </w:num>
  <w:num w:numId="23">
    <w:abstractNumId w:val="41"/>
  </w:num>
  <w:num w:numId="24">
    <w:abstractNumId w:val="43"/>
  </w:num>
  <w:num w:numId="25">
    <w:abstractNumId w:val="10"/>
  </w:num>
  <w:num w:numId="26">
    <w:abstractNumId w:val="6"/>
  </w:num>
  <w:num w:numId="27">
    <w:abstractNumId w:val="33"/>
  </w:num>
  <w:num w:numId="28">
    <w:abstractNumId w:val="27"/>
  </w:num>
  <w:num w:numId="29">
    <w:abstractNumId w:val="21"/>
  </w:num>
  <w:num w:numId="30">
    <w:abstractNumId w:val="7"/>
  </w:num>
  <w:num w:numId="31">
    <w:abstractNumId w:val="14"/>
  </w:num>
  <w:num w:numId="32">
    <w:abstractNumId w:val="40"/>
  </w:num>
  <w:num w:numId="33">
    <w:abstractNumId w:val="32"/>
  </w:num>
  <w:num w:numId="34">
    <w:abstractNumId w:val="16"/>
  </w:num>
  <w:num w:numId="35">
    <w:abstractNumId w:val="4"/>
  </w:num>
  <w:num w:numId="36">
    <w:abstractNumId w:val="15"/>
  </w:num>
  <w:num w:numId="37">
    <w:abstractNumId w:val="17"/>
  </w:num>
  <w:num w:numId="38">
    <w:abstractNumId w:val="5"/>
  </w:num>
  <w:num w:numId="39">
    <w:abstractNumId w:val="1"/>
  </w:num>
  <w:num w:numId="40">
    <w:abstractNumId w:val="29"/>
  </w:num>
  <w:num w:numId="41">
    <w:abstractNumId w:val="28"/>
  </w:num>
  <w:num w:numId="42">
    <w:abstractNumId w:val="26"/>
  </w:num>
  <w:num w:numId="43">
    <w:abstractNumId w:val="11"/>
  </w:num>
  <w:num w:numId="44">
    <w:abstractNumId w:val="0"/>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A3"/>
    <w:rsid w:val="00000574"/>
    <w:rsid w:val="00011013"/>
    <w:rsid w:val="0001336B"/>
    <w:rsid w:val="000135C7"/>
    <w:rsid w:val="00016C66"/>
    <w:rsid w:val="00021441"/>
    <w:rsid w:val="00024928"/>
    <w:rsid w:val="00036C78"/>
    <w:rsid w:val="000421CF"/>
    <w:rsid w:val="00045093"/>
    <w:rsid w:val="00047B75"/>
    <w:rsid w:val="00051835"/>
    <w:rsid w:val="00052552"/>
    <w:rsid w:val="00053F42"/>
    <w:rsid w:val="0005416B"/>
    <w:rsid w:val="00055BB4"/>
    <w:rsid w:val="000564B2"/>
    <w:rsid w:val="00056635"/>
    <w:rsid w:val="000572D9"/>
    <w:rsid w:val="0006442E"/>
    <w:rsid w:val="000667EF"/>
    <w:rsid w:val="0006702B"/>
    <w:rsid w:val="00070954"/>
    <w:rsid w:val="00074512"/>
    <w:rsid w:val="00074FF0"/>
    <w:rsid w:val="000754D1"/>
    <w:rsid w:val="000767B3"/>
    <w:rsid w:val="00084FAB"/>
    <w:rsid w:val="00085EA3"/>
    <w:rsid w:val="00087F51"/>
    <w:rsid w:val="000A0D97"/>
    <w:rsid w:val="000A1128"/>
    <w:rsid w:val="000A58D6"/>
    <w:rsid w:val="000A7429"/>
    <w:rsid w:val="000B6FD6"/>
    <w:rsid w:val="000C17E4"/>
    <w:rsid w:val="000C457C"/>
    <w:rsid w:val="000C4A1B"/>
    <w:rsid w:val="000D0D96"/>
    <w:rsid w:val="000D1EFF"/>
    <w:rsid w:val="000D27C8"/>
    <w:rsid w:val="000D3357"/>
    <w:rsid w:val="000D4EF3"/>
    <w:rsid w:val="000D7702"/>
    <w:rsid w:val="000E314F"/>
    <w:rsid w:val="000E484E"/>
    <w:rsid w:val="000E54A3"/>
    <w:rsid w:val="000E6529"/>
    <w:rsid w:val="000E691D"/>
    <w:rsid w:val="000E7523"/>
    <w:rsid w:val="000F02F7"/>
    <w:rsid w:val="000F3794"/>
    <w:rsid w:val="000F5C7A"/>
    <w:rsid w:val="00101EEF"/>
    <w:rsid w:val="0010204C"/>
    <w:rsid w:val="00104EC7"/>
    <w:rsid w:val="00105E62"/>
    <w:rsid w:val="00106302"/>
    <w:rsid w:val="00106590"/>
    <w:rsid w:val="0010682F"/>
    <w:rsid w:val="00106B86"/>
    <w:rsid w:val="0011143E"/>
    <w:rsid w:val="00111F13"/>
    <w:rsid w:val="001164B9"/>
    <w:rsid w:val="00116C29"/>
    <w:rsid w:val="001224AD"/>
    <w:rsid w:val="00124B68"/>
    <w:rsid w:val="0012676E"/>
    <w:rsid w:val="00127186"/>
    <w:rsid w:val="001274A5"/>
    <w:rsid w:val="00127DB1"/>
    <w:rsid w:val="00130317"/>
    <w:rsid w:val="00130505"/>
    <w:rsid w:val="00134A59"/>
    <w:rsid w:val="001367CB"/>
    <w:rsid w:val="00141273"/>
    <w:rsid w:val="00141704"/>
    <w:rsid w:val="00144821"/>
    <w:rsid w:val="00146936"/>
    <w:rsid w:val="00146E85"/>
    <w:rsid w:val="001501BC"/>
    <w:rsid w:val="001504EF"/>
    <w:rsid w:val="00150C38"/>
    <w:rsid w:val="00151901"/>
    <w:rsid w:val="00153F13"/>
    <w:rsid w:val="00154436"/>
    <w:rsid w:val="00160182"/>
    <w:rsid w:val="00161030"/>
    <w:rsid w:val="001735EE"/>
    <w:rsid w:val="00173968"/>
    <w:rsid w:val="001739E8"/>
    <w:rsid w:val="0018114C"/>
    <w:rsid w:val="00181294"/>
    <w:rsid w:val="001825BE"/>
    <w:rsid w:val="001829E6"/>
    <w:rsid w:val="00183001"/>
    <w:rsid w:val="0018358D"/>
    <w:rsid w:val="00184405"/>
    <w:rsid w:val="001856E1"/>
    <w:rsid w:val="001876F9"/>
    <w:rsid w:val="00190CBA"/>
    <w:rsid w:val="0019272B"/>
    <w:rsid w:val="00192F48"/>
    <w:rsid w:val="00195DF6"/>
    <w:rsid w:val="001A1785"/>
    <w:rsid w:val="001A1FB2"/>
    <w:rsid w:val="001A3B57"/>
    <w:rsid w:val="001A665B"/>
    <w:rsid w:val="001A7580"/>
    <w:rsid w:val="001B06C2"/>
    <w:rsid w:val="001B6241"/>
    <w:rsid w:val="001C03CB"/>
    <w:rsid w:val="001C1356"/>
    <w:rsid w:val="001C389E"/>
    <w:rsid w:val="001C537A"/>
    <w:rsid w:val="001C5A30"/>
    <w:rsid w:val="001D037A"/>
    <w:rsid w:val="001D0D32"/>
    <w:rsid w:val="001D118D"/>
    <w:rsid w:val="001D3C2F"/>
    <w:rsid w:val="001D4D57"/>
    <w:rsid w:val="001D775D"/>
    <w:rsid w:val="001E1711"/>
    <w:rsid w:val="001E3D7A"/>
    <w:rsid w:val="001E3FE0"/>
    <w:rsid w:val="001E551F"/>
    <w:rsid w:val="001E628B"/>
    <w:rsid w:val="001E702E"/>
    <w:rsid w:val="001E723D"/>
    <w:rsid w:val="001E76B3"/>
    <w:rsid w:val="001E77B2"/>
    <w:rsid w:val="001E7C17"/>
    <w:rsid w:val="001F41B9"/>
    <w:rsid w:val="001F5BA3"/>
    <w:rsid w:val="00200247"/>
    <w:rsid w:val="00200D8B"/>
    <w:rsid w:val="00202752"/>
    <w:rsid w:val="00202BE8"/>
    <w:rsid w:val="00205F53"/>
    <w:rsid w:val="00210106"/>
    <w:rsid w:val="00210344"/>
    <w:rsid w:val="00221E8B"/>
    <w:rsid w:val="00222543"/>
    <w:rsid w:val="00223C2F"/>
    <w:rsid w:val="00223C30"/>
    <w:rsid w:val="002314F2"/>
    <w:rsid w:val="00231B4E"/>
    <w:rsid w:val="00231C5E"/>
    <w:rsid w:val="00231DFE"/>
    <w:rsid w:val="00240B65"/>
    <w:rsid w:val="00243401"/>
    <w:rsid w:val="002505A0"/>
    <w:rsid w:val="00251E9E"/>
    <w:rsid w:val="00253568"/>
    <w:rsid w:val="0025614B"/>
    <w:rsid w:val="00256243"/>
    <w:rsid w:val="00256684"/>
    <w:rsid w:val="00257EDA"/>
    <w:rsid w:val="002601BB"/>
    <w:rsid w:val="00260A12"/>
    <w:rsid w:val="002611B2"/>
    <w:rsid w:val="00262235"/>
    <w:rsid w:val="002642E2"/>
    <w:rsid w:val="002646A1"/>
    <w:rsid w:val="002650C0"/>
    <w:rsid w:val="00265D4A"/>
    <w:rsid w:val="00266025"/>
    <w:rsid w:val="0027059A"/>
    <w:rsid w:val="00270704"/>
    <w:rsid w:val="00270879"/>
    <w:rsid w:val="002710DF"/>
    <w:rsid w:val="00273756"/>
    <w:rsid w:val="002737F0"/>
    <w:rsid w:val="0027438B"/>
    <w:rsid w:val="002751FC"/>
    <w:rsid w:val="00276280"/>
    <w:rsid w:val="00277C16"/>
    <w:rsid w:val="00281A0C"/>
    <w:rsid w:val="00282D5B"/>
    <w:rsid w:val="00285BB0"/>
    <w:rsid w:val="002867A8"/>
    <w:rsid w:val="00291A45"/>
    <w:rsid w:val="00293D9A"/>
    <w:rsid w:val="00294903"/>
    <w:rsid w:val="00295A75"/>
    <w:rsid w:val="002962F4"/>
    <w:rsid w:val="00296B36"/>
    <w:rsid w:val="002A0039"/>
    <w:rsid w:val="002A372D"/>
    <w:rsid w:val="002A483D"/>
    <w:rsid w:val="002A7564"/>
    <w:rsid w:val="002A7CEA"/>
    <w:rsid w:val="002B0C1F"/>
    <w:rsid w:val="002B2D26"/>
    <w:rsid w:val="002B5057"/>
    <w:rsid w:val="002B578D"/>
    <w:rsid w:val="002B6DAE"/>
    <w:rsid w:val="002C339D"/>
    <w:rsid w:val="002C4221"/>
    <w:rsid w:val="002C744D"/>
    <w:rsid w:val="002D1796"/>
    <w:rsid w:val="002D1FCF"/>
    <w:rsid w:val="002D4A31"/>
    <w:rsid w:val="002E07DC"/>
    <w:rsid w:val="002F048E"/>
    <w:rsid w:val="002F1B44"/>
    <w:rsid w:val="002F455A"/>
    <w:rsid w:val="002F4CEB"/>
    <w:rsid w:val="002F5DFD"/>
    <w:rsid w:val="00301025"/>
    <w:rsid w:val="00302AF1"/>
    <w:rsid w:val="00306053"/>
    <w:rsid w:val="003074E0"/>
    <w:rsid w:val="00307BFD"/>
    <w:rsid w:val="00311081"/>
    <w:rsid w:val="0031118B"/>
    <w:rsid w:val="00311E58"/>
    <w:rsid w:val="00313EF4"/>
    <w:rsid w:val="00316184"/>
    <w:rsid w:val="003173D9"/>
    <w:rsid w:val="00322A65"/>
    <w:rsid w:val="00325758"/>
    <w:rsid w:val="00326284"/>
    <w:rsid w:val="00330640"/>
    <w:rsid w:val="0033092A"/>
    <w:rsid w:val="00331197"/>
    <w:rsid w:val="00332AF4"/>
    <w:rsid w:val="00334A96"/>
    <w:rsid w:val="003356B9"/>
    <w:rsid w:val="00337958"/>
    <w:rsid w:val="003412D3"/>
    <w:rsid w:val="003428D6"/>
    <w:rsid w:val="00343204"/>
    <w:rsid w:val="00343316"/>
    <w:rsid w:val="00343488"/>
    <w:rsid w:val="00344619"/>
    <w:rsid w:val="003472B5"/>
    <w:rsid w:val="00353307"/>
    <w:rsid w:val="00353824"/>
    <w:rsid w:val="0035586D"/>
    <w:rsid w:val="003568FA"/>
    <w:rsid w:val="003612FA"/>
    <w:rsid w:val="00364E3D"/>
    <w:rsid w:val="00366823"/>
    <w:rsid w:val="00371431"/>
    <w:rsid w:val="00372F7C"/>
    <w:rsid w:val="00373158"/>
    <w:rsid w:val="00373255"/>
    <w:rsid w:val="0038217B"/>
    <w:rsid w:val="003823A8"/>
    <w:rsid w:val="00383989"/>
    <w:rsid w:val="00386051"/>
    <w:rsid w:val="0038752A"/>
    <w:rsid w:val="00387E21"/>
    <w:rsid w:val="00391ADC"/>
    <w:rsid w:val="00395E01"/>
    <w:rsid w:val="00396F36"/>
    <w:rsid w:val="003A0966"/>
    <w:rsid w:val="003A1DF7"/>
    <w:rsid w:val="003A1EFC"/>
    <w:rsid w:val="003A32B1"/>
    <w:rsid w:val="003A63F2"/>
    <w:rsid w:val="003B4C7B"/>
    <w:rsid w:val="003B5DB6"/>
    <w:rsid w:val="003C123E"/>
    <w:rsid w:val="003C53D6"/>
    <w:rsid w:val="003C7840"/>
    <w:rsid w:val="003D2910"/>
    <w:rsid w:val="003D37BB"/>
    <w:rsid w:val="003D415C"/>
    <w:rsid w:val="003D61CA"/>
    <w:rsid w:val="003E340D"/>
    <w:rsid w:val="003E36F0"/>
    <w:rsid w:val="003E42AD"/>
    <w:rsid w:val="003E710E"/>
    <w:rsid w:val="003E7BA0"/>
    <w:rsid w:val="003F01FA"/>
    <w:rsid w:val="003F12A0"/>
    <w:rsid w:val="003F2231"/>
    <w:rsid w:val="003F4105"/>
    <w:rsid w:val="003F6E0A"/>
    <w:rsid w:val="00400A15"/>
    <w:rsid w:val="00402031"/>
    <w:rsid w:val="00407D29"/>
    <w:rsid w:val="00412AE5"/>
    <w:rsid w:val="00414E8A"/>
    <w:rsid w:val="004179EF"/>
    <w:rsid w:val="00422011"/>
    <w:rsid w:val="0042284E"/>
    <w:rsid w:val="00424437"/>
    <w:rsid w:val="00425AC4"/>
    <w:rsid w:val="00425FBA"/>
    <w:rsid w:val="004274E8"/>
    <w:rsid w:val="00430B6F"/>
    <w:rsid w:val="0043137C"/>
    <w:rsid w:val="00431516"/>
    <w:rsid w:val="00431E30"/>
    <w:rsid w:val="00432FC0"/>
    <w:rsid w:val="00433A20"/>
    <w:rsid w:val="00433B20"/>
    <w:rsid w:val="00436847"/>
    <w:rsid w:val="00436F9B"/>
    <w:rsid w:val="00442EA1"/>
    <w:rsid w:val="00444A54"/>
    <w:rsid w:val="0044561A"/>
    <w:rsid w:val="00446D5A"/>
    <w:rsid w:val="00447863"/>
    <w:rsid w:val="00454B1C"/>
    <w:rsid w:val="00455073"/>
    <w:rsid w:val="004577DB"/>
    <w:rsid w:val="00457941"/>
    <w:rsid w:val="00461013"/>
    <w:rsid w:val="00463190"/>
    <w:rsid w:val="00466BCF"/>
    <w:rsid w:val="004755BC"/>
    <w:rsid w:val="00476842"/>
    <w:rsid w:val="00477C90"/>
    <w:rsid w:val="0048102A"/>
    <w:rsid w:val="00483B34"/>
    <w:rsid w:val="00487CFF"/>
    <w:rsid w:val="00492446"/>
    <w:rsid w:val="004943A7"/>
    <w:rsid w:val="00494D50"/>
    <w:rsid w:val="00495712"/>
    <w:rsid w:val="004A0298"/>
    <w:rsid w:val="004A12B7"/>
    <w:rsid w:val="004A14E3"/>
    <w:rsid w:val="004A495F"/>
    <w:rsid w:val="004B0F24"/>
    <w:rsid w:val="004B29C1"/>
    <w:rsid w:val="004B6C28"/>
    <w:rsid w:val="004B704D"/>
    <w:rsid w:val="004B76AC"/>
    <w:rsid w:val="004B77C9"/>
    <w:rsid w:val="004B7B8A"/>
    <w:rsid w:val="004C1F64"/>
    <w:rsid w:val="004C2261"/>
    <w:rsid w:val="004C34E1"/>
    <w:rsid w:val="004C4D15"/>
    <w:rsid w:val="004C688D"/>
    <w:rsid w:val="004D0B3E"/>
    <w:rsid w:val="004D1732"/>
    <w:rsid w:val="004D395C"/>
    <w:rsid w:val="004D532F"/>
    <w:rsid w:val="004D5641"/>
    <w:rsid w:val="004D5C26"/>
    <w:rsid w:val="004D6DC9"/>
    <w:rsid w:val="004E131E"/>
    <w:rsid w:val="004E231E"/>
    <w:rsid w:val="004E2E15"/>
    <w:rsid w:val="004E4212"/>
    <w:rsid w:val="004E4A5F"/>
    <w:rsid w:val="004E5DD3"/>
    <w:rsid w:val="004E6648"/>
    <w:rsid w:val="004E7FF5"/>
    <w:rsid w:val="004F2CC0"/>
    <w:rsid w:val="004F60F6"/>
    <w:rsid w:val="004F60FC"/>
    <w:rsid w:val="004F6F0E"/>
    <w:rsid w:val="0050190A"/>
    <w:rsid w:val="005040F3"/>
    <w:rsid w:val="00515F8D"/>
    <w:rsid w:val="00523043"/>
    <w:rsid w:val="00524A6B"/>
    <w:rsid w:val="005314E1"/>
    <w:rsid w:val="005315D2"/>
    <w:rsid w:val="00533E32"/>
    <w:rsid w:val="0053655C"/>
    <w:rsid w:val="00540171"/>
    <w:rsid w:val="00540742"/>
    <w:rsid w:val="00542419"/>
    <w:rsid w:val="00544F86"/>
    <w:rsid w:val="005455BC"/>
    <w:rsid w:val="0054650E"/>
    <w:rsid w:val="005478AD"/>
    <w:rsid w:val="00550750"/>
    <w:rsid w:val="00550B85"/>
    <w:rsid w:val="00551427"/>
    <w:rsid w:val="00553161"/>
    <w:rsid w:val="00554F6B"/>
    <w:rsid w:val="00556941"/>
    <w:rsid w:val="00556E4C"/>
    <w:rsid w:val="0056000A"/>
    <w:rsid w:val="00563A47"/>
    <w:rsid w:val="00563F6A"/>
    <w:rsid w:val="005647B3"/>
    <w:rsid w:val="00566013"/>
    <w:rsid w:val="00567C05"/>
    <w:rsid w:val="0057311C"/>
    <w:rsid w:val="00574EA4"/>
    <w:rsid w:val="005771C8"/>
    <w:rsid w:val="0058221E"/>
    <w:rsid w:val="00586B85"/>
    <w:rsid w:val="00586C01"/>
    <w:rsid w:val="005872F7"/>
    <w:rsid w:val="005877E9"/>
    <w:rsid w:val="005951C8"/>
    <w:rsid w:val="005971A3"/>
    <w:rsid w:val="005A12E5"/>
    <w:rsid w:val="005A1930"/>
    <w:rsid w:val="005A1A3C"/>
    <w:rsid w:val="005A2B5B"/>
    <w:rsid w:val="005A475E"/>
    <w:rsid w:val="005A491E"/>
    <w:rsid w:val="005A53E2"/>
    <w:rsid w:val="005B0420"/>
    <w:rsid w:val="005B4C1D"/>
    <w:rsid w:val="005B5082"/>
    <w:rsid w:val="005B5AA4"/>
    <w:rsid w:val="005C0D31"/>
    <w:rsid w:val="005C264E"/>
    <w:rsid w:val="005C5925"/>
    <w:rsid w:val="005C5C5E"/>
    <w:rsid w:val="005C7179"/>
    <w:rsid w:val="005D118F"/>
    <w:rsid w:val="005D4584"/>
    <w:rsid w:val="005E0EE6"/>
    <w:rsid w:val="005E10B4"/>
    <w:rsid w:val="005E4481"/>
    <w:rsid w:val="005E4D67"/>
    <w:rsid w:val="005E5981"/>
    <w:rsid w:val="005E6D94"/>
    <w:rsid w:val="005E7EC1"/>
    <w:rsid w:val="005F0734"/>
    <w:rsid w:val="005F1E22"/>
    <w:rsid w:val="005F4441"/>
    <w:rsid w:val="005F58F3"/>
    <w:rsid w:val="005F5A7B"/>
    <w:rsid w:val="0060036F"/>
    <w:rsid w:val="00601A2D"/>
    <w:rsid w:val="006024AD"/>
    <w:rsid w:val="00603E2E"/>
    <w:rsid w:val="006079B3"/>
    <w:rsid w:val="00610972"/>
    <w:rsid w:val="00610E59"/>
    <w:rsid w:val="00612090"/>
    <w:rsid w:val="006128BE"/>
    <w:rsid w:val="00612BA0"/>
    <w:rsid w:val="0061376A"/>
    <w:rsid w:val="006172F8"/>
    <w:rsid w:val="00617BE3"/>
    <w:rsid w:val="0062235A"/>
    <w:rsid w:val="00623BC8"/>
    <w:rsid w:val="00627173"/>
    <w:rsid w:val="006275A9"/>
    <w:rsid w:val="006329C0"/>
    <w:rsid w:val="00632BA7"/>
    <w:rsid w:val="00640311"/>
    <w:rsid w:val="00641DFC"/>
    <w:rsid w:val="0064231C"/>
    <w:rsid w:val="00645BCA"/>
    <w:rsid w:val="00646266"/>
    <w:rsid w:val="00650634"/>
    <w:rsid w:val="00651A23"/>
    <w:rsid w:val="006524F2"/>
    <w:rsid w:val="00652923"/>
    <w:rsid w:val="006530B9"/>
    <w:rsid w:val="0065324C"/>
    <w:rsid w:val="006567CA"/>
    <w:rsid w:val="00661211"/>
    <w:rsid w:val="00662E00"/>
    <w:rsid w:val="00663FB2"/>
    <w:rsid w:val="00667EC9"/>
    <w:rsid w:val="0067027E"/>
    <w:rsid w:val="00670D43"/>
    <w:rsid w:val="0067441E"/>
    <w:rsid w:val="00674B39"/>
    <w:rsid w:val="0067504B"/>
    <w:rsid w:val="0067537C"/>
    <w:rsid w:val="00675F94"/>
    <w:rsid w:val="00676878"/>
    <w:rsid w:val="00676BF3"/>
    <w:rsid w:val="0068003C"/>
    <w:rsid w:val="00680AE4"/>
    <w:rsid w:val="00681216"/>
    <w:rsid w:val="00681E3A"/>
    <w:rsid w:val="00684298"/>
    <w:rsid w:val="00684990"/>
    <w:rsid w:val="00684DA0"/>
    <w:rsid w:val="00684DE0"/>
    <w:rsid w:val="006857DF"/>
    <w:rsid w:val="006873B5"/>
    <w:rsid w:val="00687BAB"/>
    <w:rsid w:val="00687D87"/>
    <w:rsid w:val="00697012"/>
    <w:rsid w:val="0069706D"/>
    <w:rsid w:val="006A67AD"/>
    <w:rsid w:val="006B107F"/>
    <w:rsid w:val="006B3F55"/>
    <w:rsid w:val="006B4429"/>
    <w:rsid w:val="006B45B1"/>
    <w:rsid w:val="006B7A76"/>
    <w:rsid w:val="006C0C78"/>
    <w:rsid w:val="006C34C4"/>
    <w:rsid w:val="006C35B5"/>
    <w:rsid w:val="006C396A"/>
    <w:rsid w:val="006C41FA"/>
    <w:rsid w:val="006C6402"/>
    <w:rsid w:val="006C7524"/>
    <w:rsid w:val="006D1513"/>
    <w:rsid w:val="006D3FE8"/>
    <w:rsid w:val="006D7BE0"/>
    <w:rsid w:val="006E1051"/>
    <w:rsid w:val="006E4737"/>
    <w:rsid w:val="006E6972"/>
    <w:rsid w:val="006F051D"/>
    <w:rsid w:val="006F08C0"/>
    <w:rsid w:val="006F0B0C"/>
    <w:rsid w:val="006F13BD"/>
    <w:rsid w:val="006F18B3"/>
    <w:rsid w:val="006F285A"/>
    <w:rsid w:val="006F6088"/>
    <w:rsid w:val="006F74EA"/>
    <w:rsid w:val="007023C7"/>
    <w:rsid w:val="007031D4"/>
    <w:rsid w:val="00704AE0"/>
    <w:rsid w:val="00707BCD"/>
    <w:rsid w:val="00711E93"/>
    <w:rsid w:val="007138A2"/>
    <w:rsid w:val="00714E35"/>
    <w:rsid w:val="00715586"/>
    <w:rsid w:val="007211C1"/>
    <w:rsid w:val="0072728A"/>
    <w:rsid w:val="00735548"/>
    <w:rsid w:val="007373AF"/>
    <w:rsid w:val="00737F99"/>
    <w:rsid w:val="00740D26"/>
    <w:rsid w:val="00740E6D"/>
    <w:rsid w:val="0074196B"/>
    <w:rsid w:val="00751FE2"/>
    <w:rsid w:val="00752803"/>
    <w:rsid w:val="00753C81"/>
    <w:rsid w:val="00753F94"/>
    <w:rsid w:val="00754C68"/>
    <w:rsid w:val="0075556C"/>
    <w:rsid w:val="00761582"/>
    <w:rsid w:val="007628E2"/>
    <w:rsid w:val="00763363"/>
    <w:rsid w:val="00765887"/>
    <w:rsid w:val="00765F14"/>
    <w:rsid w:val="00765FE9"/>
    <w:rsid w:val="007755DF"/>
    <w:rsid w:val="0077637B"/>
    <w:rsid w:val="00777921"/>
    <w:rsid w:val="00777DCF"/>
    <w:rsid w:val="00784AEE"/>
    <w:rsid w:val="007858EA"/>
    <w:rsid w:val="00786C1D"/>
    <w:rsid w:val="007932F3"/>
    <w:rsid w:val="0079393F"/>
    <w:rsid w:val="00793F00"/>
    <w:rsid w:val="0079564C"/>
    <w:rsid w:val="00795797"/>
    <w:rsid w:val="00796EDC"/>
    <w:rsid w:val="007A2D82"/>
    <w:rsid w:val="007A369A"/>
    <w:rsid w:val="007A41B4"/>
    <w:rsid w:val="007B2D3E"/>
    <w:rsid w:val="007B4039"/>
    <w:rsid w:val="007B408F"/>
    <w:rsid w:val="007B4130"/>
    <w:rsid w:val="007B4236"/>
    <w:rsid w:val="007B4277"/>
    <w:rsid w:val="007B5DB3"/>
    <w:rsid w:val="007B72C6"/>
    <w:rsid w:val="007B77B4"/>
    <w:rsid w:val="007C126A"/>
    <w:rsid w:val="007C1B96"/>
    <w:rsid w:val="007C2803"/>
    <w:rsid w:val="007D0347"/>
    <w:rsid w:val="007D0747"/>
    <w:rsid w:val="007D2CA3"/>
    <w:rsid w:val="007D6C48"/>
    <w:rsid w:val="007D7327"/>
    <w:rsid w:val="007D7825"/>
    <w:rsid w:val="007D7B1D"/>
    <w:rsid w:val="007E33C4"/>
    <w:rsid w:val="007E613C"/>
    <w:rsid w:val="007E73D6"/>
    <w:rsid w:val="007F6E95"/>
    <w:rsid w:val="008002D6"/>
    <w:rsid w:val="00804522"/>
    <w:rsid w:val="0081130F"/>
    <w:rsid w:val="00813FD5"/>
    <w:rsid w:val="008142D6"/>
    <w:rsid w:val="00814F7D"/>
    <w:rsid w:val="008152C6"/>
    <w:rsid w:val="0082272C"/>
    <w:rsid w:val="00822816"/>
    <w:rsid w:val="008228A9"/>
    <w:rsid w:val="00822B1E"/>
    <w:rsid w:val="0082388F"/>
    <w:rsid w:val="00830895"/>
    <w:rsid w:val="00831C7F"/>
    <w:rsid w:val="0083441C"/>
    <w:rsid w:val="00841809"/>
    <w:rsid w:val="008432DE"/>
    <w:rsid w:val="00846BCB"/>
    <w:rsid w:val="00847786"/>
    <w:rsid w:val="008501EE"/>
    <w:rsid w:val="00852EE9"/>
    <w:rsid w:val="00855499"/>
    <w:rsid w:val="0085655F"/>
    <w:rsid w:val="008600D9"/>
    <w:rsid w:val="008630B6"/>
    <w:rsid w:val="00865418"/>
    <w:rsid w:val="008657AD"/>
    <w:rsid w:val="00871CB5"/>
    <w:rsid w:val="00871D6C"/>
    <w:rsid w:val="00873A78"/>
    <w:rsid w:val="00874A2E"/>
    <w:rsid w:val="008779CD"/>
    <w:rsid w:val="00881AEA"/>
    <w:rsid w:val="00882182"/>
    <w:rsid w:val="00883982"/>
    <w:rsid w:val="00884BB5"/>
    <w:rsid w:val="008908EE"/>
    <w:rsid w:val="00891B69"/>
    <w:rsid w:val="00893976"/>
    <w:rsid w:val="00894806"/>
    <w:rsid w:val="008A1AB5"/>
    <w:rsid w:val="008A56F3"/>
    <w:rsid w:val="008B1D7B"/>
    <w:rsid w:val="008B439D"/>
    <w:rsid w:val="008B4E9F"/>
    <w:rsid w:val="008B6B37"/>
    <w:rsid w:val="008C3771"/>
    <w:rsid w:val="008C3E3E"/>
    <w:rsid w:val="008C4C8C"/>
    <w:rsid w:val="008C5479"/>
    <w:rsid w:val="008C6EE7"/>
    <w:rsid w:val="008C72F0"/>
    <w:rsid w:val="008C7EC4"/>
    <w:rsid w:val="008D1494"/>
    <w:rsid w:val="008D484A"/>
    <w:rsid w:val="008D593F"/>
    <w:rsid w:val="008D66B3"/>
    <w:rsid w:val="008D672D"/>
    <w:rsid w:val="008D68D1"/>
    <w:rsid w:val="008D6B58"/>
    <w:rsid w:val="008E6819"/>
    <w:rsid w:val="008E6A80"/>
    <w:rsid w:val="008E75EB"/>
    <w:rsid w:val="008F000F"/>
    <w:rsid w:val="008F1766"/>
    <w:rsid w:val="008F2662"/>
    <w:rsid w:val="008F28DF"/>
    <w:rsid w:val="008F61EC"/>
    <w:rsid w:val="00900C68"/>
    <w:rsid w:val="009044C1"/>
    <w:rsid w:val="00906FB3"/>
    <w:rsid w:val="009103CC"/>
    <w:rsid w:val="009154A8"/>
    <w:rsid w:val="00915B0D"/>
    <w:rsid w:val="009175F2"/>
    <w:rsid w:val="00922DEA"/>
    <w:rsid w:val="009265F6"/>
    <w:rsid w:val="0092767C"/>
    <w:rsid w:val="009316C1"/>
    <w:rsid w:val="00932875"/>
    <w:rsid w:val="00935746"/>
    <w:rsid w:val="00937F37"/>
    <w:rsid w:val="00946941"/>
    <w:rsid w:val="00952CA5"/>
    <w:rsid w:val="009543AC"/>
    <w:rsid w:val="0095521C"/>
    <w:rsid w:val="00955463"/>
    <w:rsid w:val="009571E6"/>
    <w:rsid w:val="00957699"/>
    <w:rsid w:val="009605F7"/>
    <w:rsid w:val="0096305C"/>
    <w:rsid w:val="009632C2"/>
    <w:rsid w:val="00964FB6"/>
    <w:rsid w:val="009655B0"/>
    <w:rsid w:val="00973455"/>
    <w:rsid w:val="00974002"/>
    <w:rsid w:val="00974758"/>
    <w:rsid w:val="00974C87"/>
    <w:rsid w:val="0098103F"/>
    <w:rsid w:val="009917C5"/>
    <w:rsid w:val="00993B9D"/>
    <w:rsid w:val="00994CC9"/>
    <w:rsid w:val="00995AAC"/>
    <w:rsid w:val="0099687A"/>
    <w:rsid w:val="00997A6D"/>
    <w:rsid w:val="009A00F1"/>
    <w:rsid w:val="009A2CA2"/>
    <w:rsid w:val="009A360F"/>
    <w:rsid w:val="009A4BF7"/>
    <w:rsid w:val="009A50BE"/>
    <w:rsid w:val="009A562D"/>
    <w:rsid w:val="009A65B2"/>
    <w:rsid w:val="009A7A3B"/>
    <w:rsid w:val="009B16FB"/>
    <w:rsid w:val="009B3E6C"/>
    <w:rsid w:val="009B50BC"/>
    <w:rsid w:val="009B78AD"/>
    <w:rsid w:val="009B7AC0"/>
    <w:rsid w:val="009C1296"/>
    <w:rsid w:val="009C4831"/>
    <w:rsid w:val="009C48DC"/>
    <w:rsid w:val="009D2269"/>
    <w:rsid w:val="009D4D35"/>
    <w:rsid w:val="009D5105"/>
    <w:rsid w:val="009D55E2"/>
    <w:rsid w:val="009E1380"/>
    <w:rsid w:val="009E1545"/>
    <w:rsid w:val="009E2297"/>
    <w:rsid w:val="009E66EB"/>
    <w:rsid w:val="009E6E44"/>
    <w:rsid w:val="009E765A"/>
    <w:rsid w:val="009E77C5"/>
    <w:rsid w:val="009F06EB"/>
    <w:rsid w:val="009F1501"/>
    <w:rsid w:val="009F6878"/>
    <w:rsid w:val="009F6E7D"/>
    <w:rsid w:val="00A00B2F"/>
    <w:rsid w:val="00A0193B"/>
    <w:rsid w:val="00A03C37"/>
    <w:rsid w:val="00A04CB7"/>
    <w:rsid w:val="00A11D22"/>
    <w:rsid w:val="00A16E94"/>
    <w:rsid w:val="00A233CE"/>
    <w:rsid w:val="00A24423"/>
    <w:rsid w:val="00A26224"/>
    <w:rsid w:val="00A26B4C"/>
    <w:rsid w:val="00A2726B"/>
    <w:rsid w:val="00A306CA"/>
    <w:rsid w:val="00A3202D"/>
    <w:rsid w:val="00A33BD4"/>
    <w:rsid w:val="00A34DCC"/>
    <w:rsid w:val="00A362C4"/>
    <w:rsid w:val="00A3726A"/>
    <w:rsid w:val="00A4056B"/>
    <w:rsid w:val="00A406BC"/>
    <w:rsid w:val="00A4090F"/>
    <w:rsid w:val="00A42CDA"/>
    <w:rsid w:val="00A44ED0"/>
    <w:rsid w:val="00A47214"/>
    <w:rsid w:val="00A50155"/>
    <w:rsid w:val="00A51332"/>
    <w:rsid w:val="00A53AF7"/>
    <w:rsid w:val="00A54748"/>
    <w:rsid w:val="00A54794"/>
    <w:rsid w:val="00A621EA"/>
    <w:rsid w:val="00A62E0F"/>
    <w:rsid w:val="00A70EC0"/>
    <w:rsid w:val="00A726A8"/>
    <w:rsid w:val="00A72E06"/>
    <w:rsid w:val="00A779F5"/>
    <w:rsid w:val="00A8169B"/>
    <w:rsid w:val="00A81836"/>
    <w:rsid w:val="00A81C42"/>
    <w:rsid w:val="00A900BB"/>
    <w:rsid w:val="00A964C4"/>
    <w:rsid w:val="00A96C15"/>
    <w:rsid w:val="00AA090A"/>
    <w:rsid w:val="00AA1E95"/>
    <w:rsid w:val="00AA542F"/>
    <w:rsid w:val="00AA5CF3"/>
    <w:rsid w:val="00AB073C"/>
    <w:rsid w:val="00AB0937"/>
    <w:rsid w:val="00AB5223"/>
    <w:rsid w:val="00AB6D4F"/>
    <w:rsid w:val="00AC0B9A"/>
    <w:rsid w:val="00AC475B"/>
    <w:rsid w:val="00AD4FAE"/>
    <w:rsid w:val="00AD595D"/>
    <w:rsid w:val="00AE15AE"/>
    <w:rsid w:val="00AE2851"/>
    <w:rsid w:val="00AE4897"/>
    <w:rsid w:val="00AE661B"/>
    <w:rsid w:val="00AF09CA"/>
    <w:rsid w:val="00AF4084"/>
    <w:rsid w:val="00AF4B04"/>
    <w:rsid w:val="00AF75BB"/>
    <w:rsid w:val="00B01888"/>
    <w:rsid w:val="00B01AD8"/>
    <w:rsid w:val="00B034ED"/>
    <w:rsid w:val="00B0350C"/>
    <w:rsid w:val="00B04D36"/>
    <w:rsid w:val="00B0572F"/>
    <w:rsid w:val="00B07733"/>
    <w:rsid w:val="00B07874"/>
    <w:rsid w:val="00B10BC4"/>
    <w:rsid w:val="00B10F6D"/>
    <w:rsid w:val="00B13BCD"/>
    <w:rsid w:val="00B14170"/>
    <w:rsid w:val="00B15CFD"/>
    <w:rsid w:val="00B20A57"/>
    <w:rsid w:val="00B25EE7"/>
    <w:rsid w:val="00B260E7"/>
    <w:rsid w:val="00B316E6"/>
    <w:rsid w:val="00B31E7D"/>
    <w:rsid w:val="00B32879"/>
    <w:rsid w:val="00B43AFA"/>
    <w:rsid w:val="00B45115"/>
    <w:rsid w:val="00B4622E"/>
    <w:rsid w:val="00B6391B"/>
    <w:rsid w:val="00B64F3C"/>
    <w:rsid w:val="00B66CE6"/>
    <w:rsid w:val="00B6741E"/>
    <w:rsid w:val="00B72C3E"/>
    <w:rsid w:val="00B74B2B"/>
    <w:rsid w:val="00B77E10"/>
    <w:rsid w:val="00B91062"/>
    <w:rsid w:val="00B92AB2"/>
    <w:rsid w:val="00B94EF6"/>
    <w:rsid w:val="00B96AFD"/>
    <w:rsid w:val="00BA0A66"/>
    <w:rsid w:val="00BA16FD"/>
    <w:rsid w:val="00BA1EE0"/>
    <w:rsid w:val="00BA74D2"/>
    <w:rsid w:val="00BA7B4F"/>
    <w:rsid w:val="00BB43D4"/>
    <w:rsid w:val="00BB4744"/>
    <w:rsid w:val="00BB5382"/>
    <w:rsid w:val="00BC16EA"/>
    <w:rsid w:val="00BC21A0"/>
    <w:rsid w:val="00BC3BAB"/>
    <w:rsid w:val="00BC6BE2"/>
    <w:rsid w:val="00BC74B8"/>
    <w:rsid w:val="00BC7A6C"/>
    <w:rsid w:val="00BD0F12"/>
    <w:rsid w:val="00BD0FF7"/>
    <w:rsid w:val="00BD1687"/>
    <w:rsid w:val="00BD1B2F"/>
    <w:rsid w:val="00BD1E74"/>
    <w:rsid w:val="00BD1EEE"/>
    <w:rsid w:val="00BE7C35"/>
    <w:rsid w:val="00BE7C6E"/>
    <w:rsid w:val="00BF1E94"/>
    <w:rsid w:val="00BF2E42"/>
    <w:rsid w:val="00BF3925"/>
    <w:rsid w:val="00BF5551"/>
    <w:rsid w:val="00BF754E"/>
    <w:rsid w:val="00C008F2"/>
    <w:rsid w:val="00C02C86"/>
    <w:rsid w:val="00C07043"/>
    <w:rsid w:val="00C128B1"/>
    <w:rsid w:val="00C132E5"/>
    <w:rsid w:val="00C143E2"/>
    <w:rsid w:val="00C16257"/>
    <w:rsid w:val="00C20576"/>
    <w:rsid w:val="00C20ACB"/>
    <w:rsid w:val="00C24BAF"/>
    <w:rsid w:val="00C255BC"/>
    <w:rsid w:val="00C26B57"/>
    <w:rsid w:val="00C26DAD"/>
    <w:rsid w:val="00C31BD8"/>
    <w:rsid w:val="00C347EB"/>
    <w:rsid w:val="00C363A1"/>
    <w:rsid w:val="00C373B1"/>
    <w:rsid w:val="00C42201"/>
    <w:rsid w:val="00C43640"/>
    <w:rsid w:val="00C50159"/>
    <w:rsid w:val="00C545A5"/>
    <w:rsid w:val="00C54761"/>
    <w:rsid w:val="00C54DCC"/>
    <w:rsid w:val="00C56046"/>
    <w:rsid w:val="00C57937"/>
    <w:rsid w:val="00C6106A"/>
    <w:rsid w:val="00C63EFD"/>
    <w:rsid w:val="00C655E6"/>
    <w:rsid w:val="00C72467"/>
    <w:rsid w:val="00C745F3"/>
    <w:rsid w:val="00C7604D"/>
    <w:rsid w:val="00C76EB8"/>
    <w:rsid w:val="00C80AAD"/>
    <w:rsid w:val="00C80B0C"/>
    <w:rsid w:val="00C80F28"/>
    <w:rsid w:val="00C81A77"/>
    <w:rsid w:val="00C877CE"/>
    <w:rsid w:val="00C90093"/>
    <w:rsid w:val="00C908E1"/>
    <w:rsid w:val="00C919B6"/>
    <w:rsid w:val="00C926B5"/>
    <w:rsid w:val="00C93BE3"/>
    <w:rsid w:val="00C944B3"/>
    <w:rsid w:val="00C95A5D"/>
    <w:rsid w:val="00C95EAC"/>
    <w:rsid w:val="00CA006B"/>
    <w:rsid w:val="00CA05B1"/>
    <w:rsid w:val="00CA3018"/>
    <w:rsid w:val="00CA4BDF"/>
    <w:rsid w:val="00CA6511"/>
    <w:rsid w:val="00CA7B68"/>
    <w:rsid w:val="00CB3594"/>
    <w:rsid w:val="00CB40BF"/>
    <w:rsid w:val="00CB6FD5"/>
    <w:rsid w:val="00CC01F2"/>
    <w:rsid w:val="00CC5FAC"/>
    <w:rsid w:val="00CD0BF4"/>
    <w:rsid w:val="00CD2A1E"/>
    <w:rsid w:val="00CD2C29"/>
    <w:rsid w:val="00CD30EE"/>
    <w:rsid w:val="00CD7C5A"/>
    <w:rsid w:val="00CE08F7"/>
    <w:rsid w:val="00CE1437"/>
    <w:rsid w:val="00CE1EE4"/>
    <w:rsid w:val="00CE2761"/>
    <w:rsid w:val="00CE36DA"/>
    <w:rsid w:val="00CE441C"/>
    <w:rsid w:val="00CF13C7"/>
    <w:rsid w:val="00CF2DB1"/>
    <w:rsid w:val="00CF2DB3"/>
    <w:rsid w:val="00CF3BC4"/>
    <w:rsid w:val="00CF65B3"/>
    <w:rsid w:val="00CF6BC2"/>
    <w:rsid w:val="00D00A45"/>
    <w:rsid w:val="00D01465"/>
    <w:rsid w:val="00D05D65"/>
    <w:rsid w:val="00D1079D"/>
    <w:rsid w:val="00D10E2E"/>
    <w:rsid w:val="00D13311"/>
    <w:rsid w:val="00D139F8"/>
    <w:rsid w:val="00D142FE"/>
    <w:rsid w:val="00D1679A"/>
    <w:rsid w:val="00D16AAF"/>
    <w:rsid w:val="00D201FB"/>
    <w:rsid w:val="00D23280"/>
    <w:rsid w:val="00D2421B"/>
    <w:rsid w:val="00D27531"/>
    <w:rsid w:val="00D3126B"/>
    <w:rsid w:val="00D319F1"/>
    <w:rsid w:val="00D35471"/>
    <w:rsid w:val="00D378CC"/>
    <w:rsid w:val="00D444D1"/>
    <w:rsid w:val="00D45806"/>
    <w:rsid w:val="00D4605C"/>
    <w:rsid w:val="00D47ADB"/>
    <w:rsid w:val="00D528CA"/>
    <w:rsid w:val="00D52BCE"/>
    <w:rsid w:val="00D542F1"/>
    <w:rsid w:val="00D566B7"/>
    <w:rsid w:val="00D579A7"/>
    <w:rsid w:val="00D60118"/>
    <w:rsid w:val="00D612B2"/>
    <w:rsid w:val="00D61DBF"/>
    <w:rsid w:val="00D62DF0"/>
    <w:rsid w:val="00D63B68"/>
    <w:rsid w:val="00D64947"/>
    <w:rsid w:val="00D6675A"/>
    <w:rsid w:val="00D67D05"/>
    <w:rsid w:val="00D707B5"/>
    <w:rsid w:val="00D70EC6"/>
    <w:rsid w:val="00D71A55"/>
    <w:rsid w:val="00D71FCD"/>
    <w:rsid w:val="00D73F1E"/>
    <w:rsid w:val="00D75A46"/>
    <w:rsid w:val="00D76208"/>
    <w:rsid w:val="00D76E88"/>
    <w:rsid w:val="00D76F22"/>
    <w:rsid w:val="00D83160"/>
    <w:rsid w:val="00D865B8"/>
    <w:rsid w:val="00D905B1"/>
    <w:rsid w:val="00D926DA"/>
    <w:rsid w:val="00D93162"/>
    <w:rsid w:val="00D94B44"/>
    <w:rsid w:val="00DA0B85"/>
    <w:rsid w:val="00DA31C4"/>
    <w:rsid w:val="00DA4345"/>
    <w:rsid w:val="00DA5319"/>
    <w:rsid w:val="00DA6A20"/>
    <w:rsid w:val="00DA71F6"/>
    <w:rsid w:val="00DB14E1"/>
    <w:rsid w:val="00DB1713"/>
    <w:rsid w:val="00DB3A70"/>
    <w:rsid w:val="00DB4DFE"/>
    <w:rsid w:val="00DC0364"/>
    <w:rsid w:val="00DC1C69"/>
    <w:rsid w:val="00DC303A"/>
    <w:rsid w:val="00DC4265"/>
    <w:rsid w:val="00DC4C8F"/>
    <w:rsid w:val="00DD26CF"/>
    <w:rsid w:val="00DD3A92"/>
    <w:rsid w:val="00DD42B7"/>
    <w:rsid w:val="00DD651F"/>
    <w:rsid w:val="00DD6D76"/>
    <w:rsid w:val="00DE1C71"/>
    <w:rsid w:val="00DE1E76"/>
    <w:rsid w:val="00DE1FCA"/>
    <w:rsid w:val="00DE2810"/>
    <w:rsid w:val="00DE587B"/>
    <w:rsid w:val="00DF113D"/>
    <w:rsid w:val="00DF1DAF"/>
    <w:rsid w:val="00E00181"/>
    <w:rsid w:val="00E02904"/>
    <w:rsid w:val="00E031FA"/>
    <w:rsid w:val="00E033B9"/>
    <w:rsid w:val="00E03C05"/>
    <w:rsid w:val="00E03F9D"/>
    <w:rsid w:val="00E051F1"/>
    <w:rsid w:val="00E0572A"/>
    <w:rsid w:val="00E058D9"/>
    <w:rsid w:val="00E06226"/>
    <w:rsid w:val="00E1074F"/>
    <w:rsid w:val="00E13BE6"/>
    <w:rsid w:val="00E15198"/>
    <w:rsid w:val="00E16DFF"/>
    <w:rsid w:val="00E212A0"/>
    <w:rsid w:val="00E21E7B"/>
    <w:rsid w:val="00E264DC"/>
    <w:rsid w:val="00E26EB7"/>
    <w:rsid w:val="00E278F9"/>
    <w:rsid w:val="00E305AA"/>
    <w:rsid w:val="00E3252D"/>
    <w:rsid w:val="00E428BC"/>
    <w:rsid w:val="00E4448A"/>
    <w:rsid w:val="00E45299"/>
    <w:rsid w:val="00E4638C"/>
    <w:rsid w:val="00E474F9"/>
    <w:rsid w:val="00E50172"/>
    <w:rsid w:val="00E51733"/>
    <w:rsid w:val="00E51A07"/>
    <w:rsid w:val="00E523AF"/>
    <w:rsid w:val="00E54931"/>
    <w:rsid w:val="00E54934"/>
    <w:rsid w:val="00E55E87"/>
    <w:rsid w:val="00E63171"/>
    <w:rsid w:val="00E645DF"/>
    <w:rsid w:val="00E65A43"/>
    <w:rsid w:val="00E67EF3"/>
    <w:rsid w:val="00E73FFE"/>
    <w:rsid w:val="00E75851"/>
    <w:rsid w:val="00E826C2"/>
    <w:rsid w:val="00E82CEC"/>
    <w:rsid w:val="00E83B4C"/>
    <w:rsid w:val="00E83CF8"/>
    <w:rsid w:val="00E83D8F"/>
    <w:rsid w:val="00E84144"/>
    <w:rsid w:val="00E90697"/>
    <w:rsid w:val="00E913CD"/>
    <w:rsid w:val="00EA06B6"/>
    <w:rsid w:val="00EA0FF9"/>
    <w:rsid w:val="00EA208C"/>
    <w:rsid w:val="00EA3097"/>
    <w:rsid w:val="00EA430D"/>
    <w:rsid w:val="00EA4570"/>
    <w:rsid w:val="00EA5D10"/>
    <w:rsid w:val="00EB1232"/>
    <w:rsid w:val="00EB1C7B"/>
    <w:rsid w:val="00EB2481"/>
    <w:rsid w:val="00EB3867"/>
    <w:rsid w:val="00EB49D9"/>
    <w:rsid w:val="00EC1419"/>
    <w:rsid w:val="00EC2696"/>
    <w:rsid w:val="00EC6924"/>
    <w:rsid w:val="00ED002E"/>
    <w:rsid w:val="00ED35AD"/>
    <w:rsid w:val="00ED37FB"/>
    <w:rsid w:val="00ED454E"/>
    <w:rsid w:val="00ED5183"/>
    <w:rsid w:val="00EE09E1"/>
    <w:rsid w:val="00EE5FAE"/>
    <w:rsid w:val="00EE68B9"/>
    <w:rsid w:val="00EF019A"/>
    <w:rsid w:val="00EF02BA"/>
    <w:rsid w:val="00EF20C2"/>
    <w:rsid w:val="00F004BA"/>
    <w:rsid w:val="00F0251B"/>
    <w:rsid w:val="00F05012"/>
    <w:rsid w:val="00F1247E"/>
    <w:rsid w:val="00F13196"/>
    <w:rsid w:val="00F14597"/>
    <w:rsid w:val="00F16CD7"/>
    <w:rsid w:val="00F174B4"/>
    <w:rsid w:val="00F17F60"/>
    <w:rsid w:val="00F21C10"/>
    <w:rsid w:val="00F2268B"/>
    <w:rsid w:val="00F242D4"/>
    <w:rsid w:val="00F24A72"/>
    <w:rsid w:val="00F24ECD"/>
    <w:rsid w:val="00F264DB"/>
    <w:rsid w:val="00F329C1"/>
    <w:rsid w:val="00F33483"/>
    <w:rsid w:val="00F34040"/>
    <w:rsid w:val="00F345E3"/>
    <w:rsid w:val="00F34D08"/>
    <w:rsid w:val="00F4164E"/>
    <w:rsid w:val="00F41837"/>
    <w:rsid w:val="00F45D84"/>
    <w:rsid w:val="00F461B5"/>
    <w:rsid w:val="00F47DEE"/>
    <w:rsid w:val="00F50C5E"/>
    <w:rsid w:val="00F60C8C"/>
    <w:rsid w:val="00F60D74"/>
    <w:rsid w:val="00F61147"/>
    <w:rsid w:val="00F61FBA"/>
    <w:rsid w:val="00F64554"/>
    <w:rsid w:val="00F66574"/>
    <w:rsid w:val="00F670E4"/>
    <w:rsid w:val="00F717F5"/>
    <w:rsid w:val="00F74A85"/>
    <w:rsid w:val="00F757A8"/>
    <w:rsid w:val="00F75A6D"/>
    <w:rsid w:val="00F814EA"/>
    <w:rsid w:val="00F83859"/>
    <w:rsid w:val="00F850B0"/>
    <w:rsid w:val="00F857AD"/>
    <w:rsid w:val="00F86DD8"/>
    <w:rsid w:val="00F90A17"/>
    <w:rsid w:val="00F91609"/>
    <w:rsid w:val="00F941C7"/>
    <w:rsid w:val="00F97A5D"/>
    <w:rsid w:val="00FA0DC8"/>
    <w:rsid w:val="00FB3209"/>
    <w:rsid w:val="00FB3337"/>
    <w:rsid w:val="00FB33E1"/>
    <w:rsid w:val="00FB60C0"/>
    <w:rsid w:val="00FB62E8"/>
    <w:rsid w:val="00FC06A1"/>
    <w:rsid w:val="00FC2F5F"/>
    <w:rsid w:val="00FC603B"/>
    <w:rsid w:val="00FD07D6"/>
    <w:rsid w:val="00FD3FAD"/>
    <w:rsid w:val="00FD4C26"/>
    <w:rsid w:val="00FD552A"/>
    <w:rsid w:val="00FD5E09"/>
    <w:rsid w:val="00FE1A9F"/>
    <w:rsid w:val="00FE315B"/>
    <w:rsid w:val="00FE3DEC"/>
    <w:rsid w:val="00FE457E"/>
    <w:rsid w:val="00FE4C63"/>
    <w:rsid w:val="00FE7BED"/>
    <w:rsid w:val="00FE7ED9"/>
    <w:rsid w:val="00FF0964"/>
    <w:rsid w:val="00FF1F70"/>
    <w:rsid w:val="00FF1FB7"/>
    <w:rsid w:val="00FF22FE"/>
    <w:rsid w:val="00FF3AB1"/>
    <w:rsid w:val="00FF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58F7EA-4A3F-4609-93A2-24AF561B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C87"/>
  </w:style>
  <w:style w:type="paragraph" w:styleId="1">
    <w:name w:val="heading 1"/>
    <w:basedOn w:val="a"/>
    <w:next w:val="a"/>
    <w:link w:val="10"/>
    <w:uiPriority w:val="9"/>
    <w:qFormat/>
    <w:rsid w:val="00974C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74C87"/>
    <w:pPr>
      <w:keepNext/>
      <w:keepLines/>
      <w:spacing w:before="40" w:after="0"/>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974C87"/>
    <w:pPr>
      <w:keepNext/>
      <w:keepLines/>
      <w:spacing w:after="0"/>
      <w:ind w:right="288"/>
      <w:jc w:val="both"/>
      <w:outlineLvl w:val="2"/>
    </w:pPr>
    <w:rPr>
      <w:rFonts w:ascii="Times New Roman" w:eastAsiaTheme="majorEastAsia" w:hAnsi="Times New Roman" w:cstheme="majorBidi"/>
      <w:b/>
      <w:i/>
      <w:sz w:val="28"/>
      <w:szCs w:val="24"/>
    </w:rPr>
  </w:style>
  <w:style w:type="paragraph" w:styleId="4">
    <w:name w:val="heading 4"/>
    <w:basedOn w:val="a"/>
    <w:next w:val="a"/>
    <w:link w:val="40"/>
    <w:uiPriority w:val="9"/>
    <w:unhideWhenUsed/>
    <w:qFormat/>
    <w:rsid w:val="00974C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C8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74C87"/>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974C87"/>
    <w:rPr>
      <w:rFonts w:ascii="Times New Roman" w:eastAsiaTheme="majorEastAsia" w:hAnsi="Times New Roman" w:cstheme="majorBidi"/>
      <w:b/>
      <w:i/>
      <w:sz w:val="28"/>
      <w:szCs w:val="24"/>
    </w:rPr>
  </w:style>
  <w:style w:type="character" w:customStyle="1" w:styleId="40">
    <w:name w:val="Заголовок 4 Знак"/>
    <w:basedOn w:val="a0"/>
    <w:link w:val="4"/>
    <w:uiPriority w:val="9"/>
    <w:rsid w:val="00974C87"/>
    <w:rPr>
      <w:rFonts w:asciiTheme="majorHAnsi" w:eastAsiaTheme="majorEastAsia" w:hAnsiTheme="majorHAnsi" w:cstheme="majorBidi"/>
      <w:i/>
      <w:iCs/>
      <w:color w:val="2E74B5" w:themeColor="accent1" w:themeShade="BF"/>
    </w:rPr>
  </w:style>
  <w:style w:type="paragraph" w:customStyle="1" w:styleId="CharChar1">
    <w:name w:val="Char Char1"/>
    <w:basedOn w:val="a"/>
    <w:rsid w:val="00974C87"/>
    <w:pPr>
      <w:spacing w:line="240" w:lineRule="exact"/>
    </w:pPr>
    <w:rPr>
      <w:rFonts w:ascii="Arial" w:eastAsia="Batang" w:hAnsi="Arial" w:cs="Arial"/>
      <w:sz w:val="20"/>
      <w:szCs w:val="20"/>
    </w:rPr>
  </w:style>
  <w:style w:type="paragraph" w:customStyle="1" w:styleId="11">
    <w:name w:val="Стиль1"/>
    <w:basedOn w:val="a3"/>
    <w:link w:val="12"/>
    <w:autoRedefine/>
    <w:qFormat/>
    <w:rsid w:val="00974C87"/>
    <w:pPr>
      <w:ind w:firstLine="0"/>
    </w:pPr>
    <w:rPr>
      <w:rFonts w:ascii="Calibri Light" w:eastAsia="Times New Roman" w:hAnsi="Calibri Light"/>
      <w:sz w:val="16"/>
      <w:szCs w:val="16"/>
    </w:rPr>
  </w:style>
  <w:style w:type="paragraph" w:styleId="a3">
    <w:name w:val="Normal (Web)"/>
    <w:aliases w:val="Знак,Обычный (веб) Знак2,Обычный (веб) Знак1 Знак,Обычный (веб) Знак Знак Знак,Знак Знак Знак Знак,Знак Знак1 Знак,Обычный (веб) Знак Знак1,Знак Знак2, Знак,Текст сноски1,Текст сноски11,footnote text,Cha,FOOTNOTES,Footnote Text Char1"/>
    <w:basedOn w:val="a"/>
    <w:link w:val="a4"/>
    <w:uiPriority w:val="99"/>
    <w:unhideWhenUsed/>
    <w:qFormat/>
    <w:rsid w:val="00974C87"/>
    <w:pPr>
      <w:spacing w:after="0" w:line="240" w:lineRule="auto"/>
      <w:ind w:firstLine="567"/>
      <w:jc w:val="both"/>
    </w:pPr>
    <w:rPr>
      <w:rFonts w:ascii="Times New Roman" w:hAnsi="Times New Roman" w:cs="Times New Roman"/>
      <w:sz w:val="24"/>
      <w:szCs w:val="24"/>
    </w:rPr>
  </w:style>
  <w:style w:type="character" w:customStyle="1" w:styleId="a4">
    <w:name w:val="Обычный (веб) Знак"/>
    <w:aliases w:val="Знак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Знак Знак,Текст сноски1 Знак,Cha Знак"/>
    <w:basedOn w:val="a0"/>
    <w:link w:val="a3"/>
    <w:uiPriority w:val="99"/>
    <w:rsid w:val="00974C87"/>
    <w:rPr>
      <w:rFonts w:ascii="Times New Roman" w:hAnsi="Times New Roman" w:cs="Times New Roman"/>
      <w:sz w:val="24"/>
      <w:szCs w:val="24"/>
    </w:rPr>
  </w:style>
  <w:style w:type="character" w:customStyle="1" w:styleId="12">
    <w:name w:val="Стиль1 Знак"/>
    <w:basedOn w:val="a4"/>
    <w:link w:val="11"/>
    <w:rsid w:val="00974C87"/>
    <w:rPr>
      <w:rFonts w:ascii="Calibri Light" w:eastAsia="Times New Roman" w:hAnsi="Calibri Light" w:cs="Times New Roman"/>
      <w:sz w:val="16"/>
      <w:szCs w:val="16"/>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974C87"/>
    <w:pPr>
      <w:spacing w:after="0" w:line="240" w:lineRule="auto"/>
      <w:jc w:val="both"/>
    </w:pPr>
    <w:rPr>
      <w:rFonts w:ascii="Times New Roman" w:eastAsia="Times New Roman" w:hAnsi="Times New Roman" w:cs="Times New Roman"/>
      <w:sz w:val="20"/>
      <w:szCs w:val="20"/>
      <w:lang w:val="ro-RO" w:eastAsia="ro-RO"/>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uiPriority w:val="99"/>
    <w:rsid w:val="00974C87"/>
    <w:rPr>
      <w:rFonts w:ascii="Times New Roman" w:eastAsia="Times New Roman" w:hAnsi="Times New Roman" w:cs="Times New Roman"/>
      <w:sz w:val="20"/>
      <w:szCs w:val="20"/>
      <w:lang w:val="ro-RO" w:eastAsia="ro-RO"/>
    </w:rPr>
  </w:style>
  <w:style w:type="paragraph" w:styleId="a7">
    <w:name w:val="header"/>
    <w:basedOn w:val="a"/>
    <w:link w:val="a8"/>
    <w:uiPriority w:val="99"/>
    <w:unhideWhenUsed/>
    <w:rsid w:val="00974C87"/>
    <w:pPr>
      <w:tabs>
        <w:tab w:val="center" w:pos="4680"/>
        <w:tab w:val="right" w:pos="9360"/>
      </w:tabs>
      <w:spacing w:after="0" w:line="240" w:lineRule="auto"/>
      <w:jc w:val="both"/>
    </w:pPr>
    <w:rPr>
      <w:rFonts w:ascii="Times New Roman" w:eastAsia="Times New Roman" w:hAnsi="Times New Roman" w:cs="Times New Roman"/>
      <w:sz w:val="28"/>
      <w:szCs w:val="24"/>
      <w:lang w:val="ro-RO" w:eastAsia="ro-RO"/>
    </w:rPr>
  </w:style>
  <w:style w:type="character" w:customStyle="1" w:styleId="a8">
    <w:name w:val="Верхний колонтитул Знак"/>
    <w:basedOn w:val="a0"/>
    <w:link w:val="a7"/>
    <w:uiPriority w:val="99"/>
    <w:rsid w:val="00974C87"/>
    <w:rPr>
      <w:rFonts w:ascii="Times New Roman" w:eastAsia="Times New Roman" w:hAnsi="Times New Roman" w:cs="Times New Roman"/>
      <w:sz w:val="28"/>
      <w:szCs w:val="24"/>
      <w:lang w:val="ro-RO" w:eastAsia="ro-RO"/>
    </w:rPr>
  </w:style>
  <w:style w:type="paragraph" w:styleId="a9">
    <w:name w:val="footer"/>
    <w:basedOn w:val="a"/>
    <w:link w:val="aa"/>
    <w:uiPriority w:val="99"/>
    <w:unhideWhenUsed/>
    <w:rsid w:val="00974C87"/>
    <w:pPr>
      <w:tabs>
        <w:tab w:val="center" w:pos="4680"/>
        <w:tab w:val="right" w:pos="9360"/>
      </w:tabs>
      <w:spacing w:after="0" w:line="240" w:lineRule="auto"/>
      <w:jc w:val="both"/>
    </w:pPr>
    <w:rPr>
      <w:rFonts w:ascii="Times New Roman" w:eastAsia="Times New Roman" w:hAnsi="Times New Roman" w:cs="Times New Roman"/>
      <w:sz w:val="28"/>
      <w:szCs w:val="24"/>
      <w:lang w:val="ro-RO" w:eastAsia="ro-RO"/>
    </w:rPr>
  </w:style>
  <w:style w:type="character" w:customStyle="1" w:styleId="aa">
    <w:name w:val="Нижний колонтитул Знак"/>
    <w:basedOn w:val="a0"/>
    <w:link w:val="a9"/>
    <w:uiPriority w:val="99"/>
    <w:rsid w:val="00974C87"/>
    <w:rPr>
      <w:rFonts w:ascii="Times New Roman" w:eastAsia="Times New Roman" w:hAnsi="Times New Roman" w:cs="Times New Roman"/>
      <w:sz w:val="28"/>
      <w:szCs w:val="24"/>
      <w:lang w:val="ro-RO" w:eastAsia="ro-RO"/>
    </w:rPr>
  </w:style>
  <w:style w:type="character" w:styleId="ab">
    <w:name w:val="footnote reference"/>
    <w:aliases w:val="ftref,Times 10 Point,Exposant 3 Point,Footnote symbol,Footnote reference number,EN Footnote Reference,note TESI,16 Point,Superscript 6 Point,BVI fnr,FOOTNOTES Char1,fn Char1,single space Char1,ft Char1,Ref"/>
    <w:basedOn w:val="a0"/>
    <w:link w:val="FNRefeCharChar"/>
    <w:uiPriority w:val="99"/>
    <w:unhideWhenUsed/>
    <w:rsid w:val="00974C87"/>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b"/>
    <w:uiPriority w:val="99"/>
    <w:qFormat/>
    <w:rsid w:val="00974C87"/>
    <w:pPr>
      <w:spacing w:line="240" w:lineRule="exact"/>
    </w:pPr>
    <w:rPr>
      <w:vertAlign w:val="superscript"/>
    </w:rPr>
  </w:style>
  <w:style w:type="paragraph" w:styleId="ac">
    <w:name w:val="List Paragraph"/>
    <w:aliases w:val="Scriptoria bullet points,List Paragraph 1,Абзац списка1,strikethrough,standaard met opsomming"/>
    <w:basedOn w:val="a"/>
    <w:link w:val="ad"/>
    <w:uiPriority w:val="34"/>
    <w:qFormat/>
    <w:rsid w:val="00974C87"/>
    <w:pPr>
      <w:spacing w:after="0" w:line="240" w:lineRule="auto"/>
      <w:ind w:left="720"/>
      <w:contextualSpacing/>
      <w:jc w:val="both"/>
    </w:pPr>
    <w:rPr>
      <w:rFonts w:ascii="Times New Roman" w:eastAsia="Times New Roman" w:hAnsi="Times New Roman" w:cs="Times New Roman"/>
      <w:sz w:val="28"/>
      <w:szCs w:val="24"/>
      <w:lang w:val="ro-RO" w:eastAsia="ro-RO"/>
    </w:rPr>
  </w:style>
  <w:style w:type="character" w:customStyle="1" w:styleId="ad">
    <w:name w:val="Абзац списка Знак"/>
    <w:aliases w:val="Scriptoria bullet points Знак,List Paragraph 1 Знак,Абзац списка1 Знак,strikethrough Знак,standaard met opsomming Знак"/>
    <w:link w:val="ac"/>
    <w:uiPriority w:val="34"/>
    <w:locked/>
    <w:rsid w:val="00974C87"/>
    <w:rPr>
      <w:rFonts w:ascii="Times New Roman" w:eastAsia="Times New Roman" w:hAnsi="Times New Roman" w:cs="Times New Roman"/>
      <w:sz w:val="28"/>
      <w:szCs w:val="24"/>
      <w:lang w:val="ro-RO" w:eastAsia="ro-RO"/>
    </w:rPr>
  </w:style>
  <w:style w:type="table" w:styleId="ae">
    <w:name w:val="Table Grid"/>
    <w:basedOn w:val="a1"/>
    <w:uiPriority w:val="39"/>
    <w:rsid w:val="0097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74C87"/>
    <w:rPr>
      <w:color w:val="0563C1" w:themeColor="hyperlink"/>
      <w:u w:val="single"/>
    </w:rPr>
  </w:style>
  <w:style w:type="paragraph" w:customStyle="1" w:styleId="cp">
    <w:name w:val="cp"/>
    <w:basedOn w:val="a"/>
    <w:rsid w:val="00974C8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rsid w:val="00974C87"/>
    <w:pPr>
      <w:spacing w:after="0" w:line="240" w:lineRule="auto"/>
      <w:jc w:val="right"/>
    </w:pPr>
    <w:rPr>
      <w:rFonts w:ascii="Times New Roman" w:eastAsia="Times New Roman" w:hAnsi="Times New Roman" w:cs="Times New Roman"/>
      <w:sz w:val="24"/>
      <w:szCs w:val="24"/>
    </w:rPr>
  </w:style>
  <w:style w:type="character" w:customStyle="1" w:styleId="af0">
    <w:name w:val="Текст выноски Знак"/>
    <w:basedOn w:val="a0"/>
    <w:link w:val="af1"/>
    <w:uiPriority w:val="99"/>
    <w:semiHidden/>
    <w:rsid w:val="00974C87"/>
    <w:rPr>
      <w:rFonts w:ascii="Segoe UI" w:hAnsi="Segoe UI" w:cs="Segoe UI"/>
      <w:sz w:val="18"/>
      <w:szCs w:val="18"/>
    </w:rPr>
  </w:style>
  <w:style w:type="paragraph" w:styleId="af1">
    <w:name w:val="Balloon Text"/>
    <w:basedOn w:val="a"/>
    <w:link w:val="af0"/>
    <w:uiPriority w:val="99"/>
    <w:semiHidden/>
    <w:unhideWhenUsed/>
    <w:rsid w:val="00974C87"/>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974C87"/>
    <w:rPr>
      <w:rFonts w:ascii="Segoe UI" w:hAnsi="Segoe UI" w:cs="Segoe UI"/>
      <w:sz w:val="18"/>
      <w:szCs w:val="18"/>
    </w:rPr>
  </w:style>
  <w:style w:type="paragraph" w:customStyle="1" w:styleId="cb">
    <w:name w:val="cb"/>
    <w:basedOn w:val="a"/>
    <w:rsid w:val="00974C87"/>
    <w:pPr>
      <w:spacing w:after="0" w:line="240" w:lineRule="auto"/>
      <w:jc w:val="center"/>
    </w:pPr>
    <w:rPr>
      <w:rFonts w:ascii="Times New Roman" w:eastAsia="Times New Roman" w:hAnsi="Times New Roman" w:cs="Times New Roman"/>
      <w:b/>
      <w:bCs/>
      <w:sz w:val="24"/>
      <w:szCs w:val="24"/>
    </w:rPr>
  </w:style>
  <w:style w:type="paragraph" w:styleId="af2">
    <w:name w:val="No Spacing"/>
    <w:link w:val="af3"/>
    <w:uiPriority w:val="1"/>
    <w:qFormat/>
    <w:rsid w:val="00974C87"/>
    <w:pPr>
      <w:spacing w:after="0" w:line="240" w:lineRule="auto"/>
    </w:pPr>
    <w:rPr>
      <w:rFonts w:eastAsiaTheme="minorEastAsia"/>
    </w:rPr>
  </w:style>
  <w:style w:type="character" w:customStyle="1" w:styleId="af3">
    <w:name w:val="Без интервала Знак"/>
    <w:basedOn w:val="a0"/>
    <w:link w:val="af2"/>
    <w:uiPriority w:val="1"/>
    <w:rsid w:val="00974C87"/>
    <w:rPr>
      <w:rFonts w:eastAsiaTheme="minorEastAsia"/>
    </w:rPr>
  </w:style>
  <w:style w:type="paragraph" w:styleId="af4">
    <w:name w:val="TOC Heading"/>
    <w:basedOn w:val="1"/>
    <w:next w:val="a"/>
    <w:uiPriority w:val="39"/>
    <w:unhideWhenUsed/>
    <w:qFormat/>
    <w:rsid w:val="00974C87"/>
    <w:pPr>
      <w:outlineLvl w:val="9"/>
    </w:pPr>
    <w:rPr>
      <w:rFonts w:ascii="Times New Roman" w:hAnsi="Times New Roman"/>
      <w:b/>
      <w:caps/>
      <w:color w:val="000000" w:themeColor="text1"/>
    </w:rPr>
  </w:style>
  <w:style w:type="paragraph" w:styleId="13">
    <w:name w:val="toc 1"/>
    <w:basedOn w:val="a"/>
    <w:next w:val="a"/>
    <w:autoRedefine/>
    <w:uiPriority w:val="39"/>
    <w:unhideWhenUsed/>
    <w:rsid w:val="00974C87"/>
    <w:pPr>
      <w:tabs>
        <w:tab w:val="left" w:pos="284"/>
        <w:tab w:val="left" w:pos="426"/>
        <w:tab w:val="right" w:leader="dot" w:pos="9629"/>
      </w:tabs>
      <w:spacing w:before="120" w:after="0" w:line="240" w:lineRule="auto"/>
      <w:jc w:val="both"/>
    </w:pPr>
    <w:rPr>
      <w:rFonts w:asciiTheme="majorHAnsi" w:eastAsia="Calibri" w:hAnsiTheme="majorHAnsi" w:cstheme="majorHAnsi"/>
      <w:b/>
      <w:noProof/>
      <w:lang w:val="ro-RO"/>
    </w:rPr>
  </w:style>
  <w:style w:type="paragraph" w:styleId="21">
    <w:name w:val="toc 2"/>
    <w:basedOn w:val="a"/>
    <w:next w:val="a"/>
    <w:autoRedefine/>
    <w:uiPriority w:val="39"/>
    <w:unhideWhenUsed/>
    <w:rsid w:val="00974C87"/>
    <w:pPr>
      <w:tabs>
        <w:tab w:val="left" w:pos="284"/>
        <w:tab w:val="right" w:leader="dot" w:pos="9629"/>
      </w:tabs>
      <w:spacing w:after="0" w:line="240" w:lineRule="auto"/>
      <w:jc w:val="both"/>
    </w:pPr>
    <w:rPr>
      <w:rFonts w:ascii="Times New Roman" w:eastAsia="Times New Roman" w:hAnsi="Times New Roman" w:cs="Times New Roman"/>
      <w:b/>
      <w:noProof/>
      <w:lang w:val="ro-RO"/>
    </w:rPr>
  </w:style>
  <w:style w:type="paragraph" w:styleId="31">
    <w:name w:val="toc 3"/>
    <w:basedOn w:val="a"/>
    <w:next w:val="a"/>
    <w:autoRedefine/>
    <w:uiPriority w:val="39"/>
    <w:unhideWhenUsed/>
    <w:rsid w:val="00974C87"/>
    <w:pPr>
      <w:tabs>
        <w:tab w:val="left" w:pos="284"/>
        <w:tab w:val="left" w:pos="426"/>
        <w:tab w:val="left" w:pos="1861"/>
      </w:tabs>
      <w:spacing w:before="120" w:after="100" w:line="240" w:lineRule="auto"/>
      <w:jc w:val="both"/>
    </w:pPr>
    <w:rPr>
      <w:rFonts w:ascii="Times New Roman" w:eastAsia="Times New Roman" w:hAnsi="Times New Roman" w:cs="Times New Roman"/>
      <w:b/>
      <w:i/>
      <w:noProof/>
      <w:lang w:val="ro-RO"/>
    </w:rPr>
  </w:style>
  <w:style w:type="character" w:customStyle="1" w:styleId="22">
    <w:name w:val="Основной текст (2)_"/>
    <w:basedOn w:val="a0"/>
    <w:link w:val="23"/>
    <w:rsid w:val="00974C87"/>
    <w:rPr>
      <w:rFonts w:ascii="Book Antiqua" w:eastAsia="Book Antiqua" w:hAnsi="Book Antiqua" w:cs="Book Antiqua"/>
      <w:sz w:val="18"/>
      <w:szCs w:val="18"/>
      <w:shd w:val="clear" w:color="auto" w:fill="FFFFFF"/>
    </w:rPr>
  </w:style>
  <w:style w:type="paragraph" w:customStyle="1" w:styleId="23">
    <w:name w:val="Основной текст (2)"/>
    <w:basedOn w:val="a"/>
    <w:link w:val="22"/>
    <w:rsid w:val="00974C87"/>
    <w:pPr>
      <w:widowControl w:val="0"/>
      <w:shd w:val="clear" w:color="auto" w:fill="FFFFFF"/>
      <w:spacing w:before="720" w:after="260" w:line="245" w:lineRule="exact"/>
    </w:pPr>
    <w:rPr>
      <w:rFonts w:ascii="Book Antiqua" w:eastAsia="Book Antiqua" w:hAnsi="Book Antiqua" w:cs="Book Antiqua"/>
      <w:sz w:val="18"/>
      <w:szCs w:val="18"/>
    </w:rPr>
  </w:style>
  <w:style w:type="paragraph" w:customStyle="1" w:styleId="tt">
    <w:name w:val="tt"/>
    <w:basedOn w:val="a"/>
    <w:rsid w:val="00974C87"/>
    <w:pPr>
      <w:spacing w:after="0" w:line="240" w:lineRule="auto"/>
      <w:jc w:val="center"/>
    </w:pPr>
    <w:rPr>
      <w:rFonts w:ascii="Times New Roman" w:eastAsia="Times New Roman" w:hAnsi="Times New Roman" w:cs="Times New Roman"/>
      <w:b/>
      <w:bCs/>
      <w:sz w:val="24"/>
      <w:szCs w:val="24"/>
      <w:lang w:val="ro-RO" w:eastAsia="ru-RU"/>
    </w:rPr>
  </w:style>
  <w:style w:type="paragraph" w:styleId="af5">
    <w:name w:val="Body Text"/>
    <w:basedOn w:val="a"/>
    <w:link w:val="af6"/>
    <w:rsid w:val="00974C87"/>
    <w:pPr>
      <w:spacing w:after="0" w:line="240" w:lineRule="auto"/>
      <w:ind w:firstLine="709"/>
      <w:jc w:val="both"/>
    </w:pPr>
    <w:rPr>
      <w:rFonts w:ascii="Times New Roman" w:eastAsia="Times New Roman" w:hAnsi="Times New Roman" w:cs="Times New Roman"/>
      <w:sz w:val="24"/>
      <w:szCs w:val="24"/>
      <w:lang w:val="ro-RO" w:eastAsia="ru-RU"/>
    </w:rPr>
  </w:style>
  <w:style w:type="character" w:customStyle="1" w:styleId="af6">
    <w:name w:val="Основной текст Знак"/>
    <w:basedOn w:val="a0"/>
    <w:link w:val="af5"/>
    <w:rsid w:val="00974C87"/>
    <w:rPr>
      <w:rFonts w:ascii="Times New Roman" w:eastAsia="Times New Roman" w:hAnsi="Times New Roman" w:cs="Times New Roman"/>
      <w:sz w:val="24"/>
      <w:szCs w:val="24"/>
      <w:lang w:val="ro-RO" w:eastAsia="ru-RU"/>
    </w:rPr>
  </w:style>
  <w:style w:type="paragraph" w:customStyle="1" w:styleId="cn">
    <w:name w:val="cn"/>
    <w:basedOn w:val="a"/>
    <w:rsid w:val="00974C87"/>
    <w:pPr>
      <w:spacing w:after="0" w:line="240" w:lineRule="auto"/>
      <w:jc w:val="center"/>
    </w:pPr>
    <w:rPr>
      <w:rFonts w:ascii="Times New Roman" w:eastAsia="Times New Roman" w:hAnsi="Times New Roman" w:cs="Times New Roman"/>
      <w:sz w:val="24"/>
      <w:szCs w:val="24"/>
    </w:rPr>
  </w:style>
  <w:style w:type="paragraph" w:customStyle="1" w:styleId="md">
    <w:name w:val="md"/>
    <w:basedOn w:val="a"/>
    <w:rsid w:val="00974C87"/>
    <w:pPr>
      <w:spacing w:after="0" w:line="240" w:lineRule="auto"/>
      <w:ind w:firstLine="567"/>
      <w:jc w:val="both"/>
    </w:pPr>
    <w:rPr>
      <w:rFonts w:ascii="Times New Roman" w:eastAsia="Times New Roman" w:hAnsi="Times New Roman" w:cs="Times New Roman"/>
      <w:i/>
      <w:iCs/>
      <w:color w:val="663300"/>
      <w:sz w:val="20"/>
      <w:szCs w:val="20"/>
    </w:rPr>
  </w:style>
  <w:style w:type="character" w:customStyle="1" w:styleId="ListParagraphChar">
    <w:name w:val="List Paragraph Char"/>
    <w:aliases w:val="Scriptoria bullet points Char,List Paragraph 1 Char,Абзац списка1 Char"/>
    <w:basedOn w:val="a0"/>
    <w:locked/>
    <w:rsid w:val="00974C87"/>
  </w:style>
  <w:style w:type="paragraph" w:customStyle="1" w:styleId="pb">
    <w:name w:val="pb"/>
    <w:basedOn w:val="a"/>
    <w:rsid w:val="00974C87"/>
    <w:pPr>
      <w:spacing w:after="0" w:line="240" w:lineRule="auto"/>
      <w:jc w:val="center"/>
    </w:pPr>
    <w:rPr>
      <w:rFonts w:ascii="Times New Roman" w:eastAsia="Times New Roman" w:hAnsi="Times New Roman" w:cs="Times New Roman"/>
      <w:i/>
      <w:iCs/>
      <w:color w:val="663300"/>
      <w:sz w:val="20"/>
      <w:szCs w:val="20"/>
    </w:rPr>
  </w:style>
  <w:style w:type="paragraph" w:styleId="z-">
    <w:name w:val="HTML Top of Form"/>
    <w:basedOn w:val="a"/>
    <w:next w:val="a"/>
    <w:link w:val="z-0"/>
    <w:hidden/>
    <w:uiPriority w:val="99"/>
    <w:semiHidden/>
    <w:unhideWhenUsed/>
    <w:rsid w:val="00974C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74C8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74C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74C87"/>
    <w:rPr>
      <w:rFonts w:ascii="Arial" w:eastAsia="Times New Roman" w:hAnsi="Arial" w:cs="Arial"/>
      <w:vanish/>
      <w:sz w:val="16"/>
      <w:szCs w:val="16"/>
    </w:rPr>
  </w:style>
  <w:style w:type="character" w:customStyle="1" w:styleId="field-content">
    <w:name w:val="field-content"/>
    <w:basedOn w:val="a0"/>
    <w:rsid w:val="00974C87"/>
  </w:style>
  <w:style w:type="paragraph" w:customStyle="1" w:styleId="rtejustify">
    <w:name w:val="rtejustify"/>
    <w:basedOn w:val="a"/>
    <w:rsid w:val="00974C8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974C87"/>
    <w:rPr>
      <w:i/>
      <w:iCs/>
    </w:rPr>
  </w:style>
  <w:style w:type="paragraph" w:styleId="af8">
    <w:name w:val="Revision"/>
    <w:hidden/>
    <w:uiPriority w:val="99"/>
    <w:semiHidden/>
    <w:rsid w:val="00974C87"/>
    <w:pPr>
      <w:spacing w:after="0" w:line="240" w:lineRule="auto"/>
    </w:pPr>
  </w:style>
  <w:style w:type="character" w:styleId="af9">
    <w:name w:val="annotation reference"/>
    <w:basedOn w:val="a0"/>
    <w:uiPriority w:val="99"/>
    <w:semiHidden/>
    <w:unhideWhenUsed/>
    <w:rsid w:val="00974C87"/>
    <w:rPr>
      <w:sz w:val="16"/>
      <w:szCs w:val="16"/>
    </w:rPr>
  </w:style>
  <w:style w:type="paragraph" w:styleId="afa">
    <w:name w:val="annotation text"/>
    <w:basedOn w:val="a"/>
    <w:link w:val="afb"/>
    <w:uiPriority w:val="99"/>
    <w:semiHidden/>
    <w:unhideWhenUsed/>
    <w:rsid w:val="00974C87"/>
    <w:pPr>
      <w:spacing w:line="240" w:lineRule="auto"/>
    </w:pPr>
    <w:rPr>
      <w:sz w:val="20"/>
      <w:szCs w:val="20"/>
    </w:rPr>
  </w:style>
  <w:style w:type="character" w:customStyle="1" w:styleId="afb">
    <w:name w:val="Текст примечания Знак"/>
    <w:basedOn w:val="a0"/>
    <w:link w:val="afa"/>
    <w:uiPriority w:val="99"/>
    <w:semiHidden/>
    <w:rsid w:val="00974C87"/>
    <w:rPr>
      <w:sz w:val="20"/>
      <w:szCs w:val="20"/>
    </w:rPr>
  </w:style>
  <w:style w:type="paragraph" w:styleId="afc">
    <w:name w:val="annotation subject"/>
    <w:basedOn w:val="afa"/>
    <w:next w:val="afa"/>
    <w:link w:val="afd"/>
    <w:uiPriority w:val="99"/>
    <w:semiHidden/>
    <w:unhideWhenUsed/>
    <w:rsid w:val="00974C87"/>
    <w:rPr>
      <w:b/>
      <w:bCs/>
    </w:rPr>
  </w:style>
  <w:style w:type="character" w:customStyle="1" w:styleId="afd">
    <w:name w:val="Тема примечания Знак"/>
    <w:basedOn w:val="afb"/>
    <w:link w:val="afc"/>
    <w:uiPriority w:val="99"/>
    <w:semiHidden/>
    <w:rsid w:val="00974C87"/>
    <w:rPr>
      <w:b/>
      <w:bCs/>
      <w:sz w:val="20"/>
      <w:szCs w:val="20"/>
    </w:rPr>
  </w:style>
  <w:style w:type="paragraph" w:customStyle="1" w:styleId="Default">
    <w:name w:val="Default"/>
    <w:rsid w:val="00974C87"/>
    <w:pPr>
      <w:autoSpaceDE w:val="0"/>
      <w:autoSpaceDN w:val="0"/>
      <w:adjustRightInd w:val="0"/>
      <w:spacing w:after="0" w:line="240" w:lineRule="auto"/>
    </w:pPr>
    <w:rPr>
      <w:rFonts w:ascii="Calibri" w:hAnsi="Calibri" w:cs="Calibri"/>
      <w:color w:val="000000"/>
      <w:sz w:val="24"/>
      <w:szCs w:val="24"/>
    </w:rPr>
  </w:style>
  <w:style w:type="paragraph" w:styleId="afe">
    <w:name w:val="Plain Text"/>
    <w:basedOn w:val="a"/>
    <w:link w:val="aff"/>
    <w:rsid w:val="00974C87"/>
    <w:pPr>
      <w:spacing w:after="0" w:line="240" w:lineRule="auto"/>
    </w:pPr>
    <w:rPr>
      <w:rFonts w:ascii="Courier New" w:eastAsia="Times New Roman" w:hAnsi="Courier New" w:cs="Courier New"/>
      <w:sz w:val="20"/>
      <w:szCs w:val="20"/>
      <w:lang w:val="ru-RU" w:eastAsia="ru-RU"/>
    </w:rPr>
  </w:style>
  <w:style w:type="character" w:customStyle="1" w:styleId="aff">
    <w:name w:val="Текст Знак"/>
    <w:basedOn w:val="a0"/>
    <w:link w:val="afe"/>
    <w:rsid w:val="00974C87"/>
    <w:rPr>
      <w:rFonts w:ascii="Courier New" w:eastAsia="Times New Roman" w:hAnsi="Courier New" w:cs="Courier New"/>
      <w:sz w:val="20"/>
      <w:szCs w:val="20"/>
      <w:lang w:val="ru-RU" w:eastAsia="ru-RU"/>
    </w:rPr>
  </w:style>
  <w:style w:type="paragraph" w:customStyle="1" w:styleId="Liubash">
    <w:name w:val="Liubash"/>
    <w:basedOn w:val="a"/>
    <w:link w:val="LiubashChar"/>
    <w:qFormat/>
    <w:rsid w:val="00974C87"/>
    <w:pPr>
      <w:spacing w:after="0" w:line="240" w:lineRule="auto"/>
      <w:jc w:val="both"/>
    </w:pPr>
    <w:rPr>
      <w:rFonts w:ascii="Times New Roman" w:eastAsia="Times New Roman" w:hAnsi="Times New Roman" w:cs="Times New Roman"/>
      <w:sz w:val="28"/>
      <w:szCs w:val="24"/>
      <w:lang w:eastAsia="ru-RU"/>
    </w:rPr>
  </w:style>
  <w:style w:type="character" w:customStyle="1" w:styleId="LiubashChar">
    <w:name w:val="Liubash Char"/>
    <w:link w:val="Liubash"/>
    <w:rsid w:val="00974C87"/>
    <w:rPr>
      <w:rFonts w:ascii="Times New Roman" w:eastAsia="Times New Roman" w:hAnsi="Times New Roman" w:cs="Times New Roman"/>
      <w:sz w:val="28"/>
      <w:szCs w:val="24"/>
      <w:lang w:eastAsia="ru-RU"/>
    </w:rPr>
  </w:style>
  <w:style w:type="character" w:customStyle="1" w:styleId="aff0">
    <w:name w:val="a"/>
    <w:basedOn w:val="a0"/>
    <w:rsid w:val="00974C87"/>
  </w:style>
  <w:style w:type="paragraph" w:customStyle="1" w:styleId="24">
    <w:name w:val="Стиль2"/>
    <w:basedOn w:val="a"/>
    <w:link w:val="25"/>
    <w:qFormat/>
    <w:rsid w:val="00974C87"/>
    <w:pPr>
      <w:spacing w:after="0"/>
    </w:pPr>
    <w:rPr>
      <w:rFonts w:asciiTheme="majorHAnsi" w:hAnsiTheme="majorHAnsi" w:cstheme="majorHAnsi"/>
      <w:b/>
      <w:sz w:val="28"/>
      <w:szCs w:val="28"/>
    </w:rPr>
  </w:style>
  <w:style w:type="paragraph" w:customStyle="1" w:styleId="32">
    <w:name w:val="Стиль3"/>
    <w:basedOn w:val="a"/>
    <w:link w:val="33"/>
    <w:qFormat/>
    <w:rsid w:val="00974C87"/>
    <w:pPr>
      <w:spacing w:before="120" w:after="120"/>
    </w:pPr>
    <w:rPr>
      <w:rFonts w:asciiTheme="majorHAnsi" w:eastAsia="Times New Roman" w:hAnsiTheme="majorHAnsi" w:cstheme="majorHAnsi"/>
      <w:b/>
      <w:bCs/>
      <w:sz w:val="28"/>
      <w:szCs w:val="28"/>
    </w:rPr>
  </w:style>
  <w:style w:type="character" w:customStyle="1" w:styleId="25">
    <w:name w:val="Стиль2 Знак"/>
    <w:basedOn w:val="a0"/>
    <w:link w:val="24"/>
    <w:rsid w:val="00974C87"/>
    <w:rPr>
      <w:rFonts w:asciiTheme="majorHAnsi" w:hAnsiTheme="majorHAnsi" w:cstheme="majorHAnsi"/>
      <w:b/>
      <w:sz w:val="28"/>
      <w:szCs w:val="28"/>
    </w:rPr>
  </w:style>
  <w:style w:type="paragraph" w:customStyle="1" w:styleId="41">
    <w:name w:val="Стиль4"/>
    <w:basedOn w:val="a"/>
    <w:link w:val="42"/>
    <w:qFormat/>
    <w:rsid w:val="00974C87"/>
    <w:pPr>
      <w:spacing w:before="120" w:after="0"/>
      <w:jc w:val="center"/>
    </w:pPr>
    <w:rPr>
      <w:rFonts w:asciiTheme="majorHAnsi" w:hAnsiTheme="majorHAnsi" w:cstheme="majorHAnsi"/>
      <w:b/>
      <w:sz w:val="24"/>
      <w:szCs w:val="24"/>
    </w:rPr>
  </w:style>
  <w:style w:type="character" w:customStyle="1" w:styleId="33">
    <w:name w:val="Стиль3 Знак"/>
    <w:basedOn w:val="a0"/>
    <w:link w:val="32"/>
    <w:rsid w:val="00974C87"/>
    <w:rPr>
      <w:rFonts w:asciiTheme="majorHAnsi" w:eastAsia="Times New Roman" w:hAnsiTheme="majorHAnsi" w:cstheme="majorHAnsi"/>
      <w:b/>
      <w:bCs/>
      <w:sz w:val="28"/>
      <w:szCs w:val="28"/>
    </w:rPr>
  </w:style>
  <w:style w:type="character" w:customStyle="1" w:styleId="42">
    <w:name w:val="Стиль4 Знак"/>
    <w:basedOn w:val="a0"/>
    <w:link w:val="41"/>
    <w:rsid w:val="00974C87"/>
    <w:rPr>
      <w:rFonts w:asciiTheme="majorHAnsi" w:hAnsiTheme="majorHAnsi" w:cstheme="majorHAnsi"/>
      <w:b/>
      <w:sz w:val="24"/>
      <w:szCs w:val="24"/>
    </w:rPr>
  </w:style>
  <w:style w:type="paragraph" w:styleId="aff1">
    <w:name w:val="Subtitle"/>
    <w:basedOn w:val="a"/>
    <w:next w:val="a"/>
    <w:link w:val="aff2"/>
    <w:uiPriority w:val="11"/>
    <w:qFormat/>
    <w:rsid w:val="00974C87"/>
    <w:pPr>
      <w:numPr>
        <w:ilvl w:val="1"/>
      </w:numPr>
    </w:pPr>
    <w:rPr>
      <w:rFonts w:eastAsiaTheme="minorEastAsia"/>
      <w:color w:val="5A5A5A" w:themeColor="text1" w:themeTint="A5"/>
      <w:spacing w:val="15"/>
    </w:rPr>
  </w:style>
  <w:style w:type="character" w:customStyle="1" w:styleId="aff2">
    <w:name w:val="Подзаголовок Знак"/>
    <w:basedOn w:val="a0"/>
    <w:link w:val="aff1"/>
    <w:uiPriority w:val="11"/>
    <w:rsid w:val="00974C87"/>
    <w:rPr>
      <w:rFonts w:eastAsiaTheme="minorEastAsia"/>
      <w:color w:val="5A5A5A" w:themeColor="text1" w:themeTint="A5"/>
      <w:spacing w:val="15"/>
    </w:rPr>
  </w:style>
  <w:style w:type="paragraph" w:styleId="43">
    <w:name w:val="toc 4"/>
    <w:basedOn w:val="a"/>
    <w:next w:val="a"/>
    <w:autoRedefine/>
    <w:uiPriority w:val="39"/>
    <w:unhideWhenUsed/>
    <w:rsid w:val="00974C87"/>
    <w:pPr>
      <w:tabs>
        <w:tab w:val="left" w:pos="426"/>
        <w:tab w:val="right" w:leader="dot" w:pos="9530"/>
      </w:tabs>
      <w:spacing w:after="0"/>
      <w:jc w:val="both"/>
    </w:pPr>
    <w:rPr>
      <w:rFonts w:asciiTheme="majorHAnsi" w:hAnsiTheme="majorHAnsi" w:cstheme="majorHAnsi"/>
      <w:b/>
      <w:i/>
      <w:noProof/>
    </w:rPr>
  </w:style>
  <w:style w:type="paragraph" w:customStyle="1" w:styleId="msonormalmailrucssattributepostfix">
    <w:name w:val="msonormal_mailru_css_attribute_postfix"/>
    <w:basedOn w:val="a"/>
    <w:rsid w:val="00974C87"/>
    <w:pPr>
      <w:spacing w:before="100" w:beforeAutospacing="1" w:after="100" w:afterAutospacing="1" w:line="240" w:lineRule="auto"/>
    </w:pPr>
    <w:rPr>
      <w:rFonts w:ascii="Times New Roman" w:hAnsi="Times New Roman" w:cs="Times New Roman"/>
      <w:sz w:val="24"/>
      <w:szCs w:val="24"/>
    </w:rPr>
  </w:style>
  <w:style w:type="character" w:styleId="aff3">
    <w:name w:val="Strong"/>
    <w:basedOn w:val="a0"/>
    <w:uiPriority w:val="22"/>
    <w:qFormat/>
    <w:rsid w:val="00974C87"/>
    <w:rPr>
      <w:b/>
      <w:bCs/>
    </w:rPr>
  </w:style>
  <w:style w:type="table" w:customStyle="1" w:styleId="TableGrid1">
    <w:name w:val="Table Grid1"/>
    <w:basedOn w:val="a1"/>
    <w:next w:val="ae"/>
    <w:uiPriority w:val="39"/>
    <w:rsid w:val="00974C8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e"/>
    <w:uiPriority w:val="39"/>
    <w:rsid w:val="00974C8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a1"/>
    <w:uiPriority w:val="47"/>
    <w:rsid w:val="00974C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41">
    <w:name w:val="Plain Table 41"/>
    <w:basedOn w:val="a1"/>
    <w:uiPriority w:val="44"/>
    <w:rsid w:val="00974C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a1"/>
    <w:next w:val="ae"/>
    <w:uiPriority w:val="39"/>
    <w:rsid w:val="00974C87"/>
    <w:pPr>
      <w:spacing w:before="240" w:after="0" w:line="240" w:lineRule="auto"/>
      <w:ind w:right="850" w:firstLine="706"/>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ocheader1">
    <w:name w:val="doc_header1"/>
    <w:basedOn w:val="a0"/>
    <w:rsid w:val="00974C87"/>
    <w:rPr>
      <w:rFonts w:ascii="Times New Roman" w:hAnsi="Times New Roman" w:cs="Times New Roman" w:hint="default"/>
      <w:b/>
      <w:bCs/>
      <w:color w:val="000000"/>
      <w:sz w:val="24"/>
      <w:szCs w:val="24"/>
    </w:rPr>
  </w:style>
  <w:style w:type="table" w:customStyle="1" w:styleId="GridTable2-Accent52">
    <w:name w:val="Grid Table 2 - Accent 52"/>
    <w:basedOn w:val="a1"/>
    <w:uiPriority w:val="47"/>
    <w:rsid w:val="003472B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f4">
    <w:name w:val="Placeholder Text"/>
    <w:basedOn w:val="a0"/>
    <w:uiPriority w:val="99"/>
    <w:semiHidden/>
    <w:rsid w:val="00265D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9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c.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accent1">
            <a:lumMod val="20000"/>
            <a:lumOff val="80000"/>
          </a:schemeClr>
        </a:solidFill>
      </c:spPr>
    </c:sideWall>
    <c:backWall>
      <c:thickness val="0"/>
      <c:spPr>
        <a:solidFill>
          <a:schemeClr val="accent1">
            <a:lumMod val="20000"/>
            <a:lumOff val="80000"/>
          </a:schemeClr>
        </a:solidFill>
      </c:spPr>
    </c:backWall>
    <c:plotArea>
      <c:layout/>
      <c:bar3DChart>
        <c:barDir val="col"/>
        <c:grouping val="clustered"/>
        <c:varyColors val="0"/>
        <c:ser>
          <c:idx val="0"/>
          <c:order val="0"/>
          <c:tx>
            <c:strRef>
              <c:f>Лист1!$B$1</c:f>
              <c:strCache>
                <c:ptCount val="1"/>
                <c:pt idx="0">
                  <c:v>Codru</c:v>
                </c:pt>
              </c:strCache>
            </c:strRef>
          </c:tx>
          <c:invertIfNegative val="0"/>
          <c:dLbls>
            <c:spPr>
              <a:solidFill>
                <a:srgbClr val="92D050"/>
              </a:solidFill>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15</c:v>
                </c:pt>
                <c:pt idx="1">
                  <c:v>3</c:v>
                </c:pt>
                <c:pt idx="2">
                  <c:v>3</c:v>
                </c:pt>
              </c:numCache>
            </c:numRef>
          </c:val>
          <c:extLst xmlns:c16r2="http://schemas.microsoft.com/office/drawing/2015/06/chart">
            <c:ext xmlns:c16="http://schemas.microsoft.com/office/drawing/2014/chart" uri="{C3380CC4-5D6E-409C-BE32-E72D297353CC}">
              <c16:uniqueId val="{00000000-7BCA-457F-AEB1-6E0240960B0A}"/>
            </c:ext>
          </c:extLst>
        </c:ser>
        <c:ser>
          <c:idx val="1"/>
          <c:order val="1"/>
          <c:tx>
            <c:strRef>
              <c:f>Лист1!$C$1</c:f>
              <c:strCache>
                <c:ptCount val="1"/>
                <c:pt idx="0">
                  <c:v>Ștefan Vodă</c:v>
                </c:pt>
              </c:strCache>
            </c:strRef>
          </c:tx>
          <c:invertIfNegative val="0"/>
          <c:dLbls>
            <c:spPr>
              <a:solidFill>
                <a:srgbClr val="92D050"/>
              </a:solidFill>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10</c:v>
                </c:pt>
                <c:pt idx="1">
                  <c:v>0</c:v>
                </c:pt>
                <c:pt idx="2">
                  <c:v>1</c:v>
                </c:pt>
              </c:numCache>
            </c:numRef>
          </c:val>
          <c:extLst xmlns:c16r2="http://schemas.microsoft.com/office/drawing/2015/06/chart">
            <c:ext xmlns:c16="http://schemas.microsoft.com/office/drawing/2014/chart" uri="{C3380CC4-5D6E-409C-BE32-E72D297353CC}">
              <c16:uniqueId val="{00000001-7BCA-457F-AEB1-6E0240960B0A}"/>
            </c:ext>
          </c:extLst>
        </c:ser>
        <c:ser>
          <c:idx val="2"/>
          <c:order val="2"/>
          <c:tx>
            <c:strRef>
              <c:f>Лист1!$D$1</c:f>
              <c:strCache>
                <c:ptCount val="1"/>
                <c:pt idx="0">
                  <c:v>Valul lui Taian</c:v>
                </c:pt>
              </c:strCache>
            </c:strRef>
          </c:tx>
          <c:spPr>
            <a:solidFill>
              <a:srgbClr val="FF0000"/>
            </a:solidFill>
          </c:spPr>
          <c:invertIfNegative val="0"/>
          <c:dLbls>
            <c:spPr>
              <a:solidFill>
                <a:srgbClr val="92D050"/>
              </a:solidFill>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Лист1!$D$2:$D$4</c:f>
              <c:numCache>
                <c:formatCode>General</c:formatCode>
                <c:ptCount val="3"/>
                <c:pt idx="0">
                  <c:v>29</c:v>
                </c:pt>
                <c:pt idx="1">
                  <c:v>4</c:v>
                </c:pt>
                <c:pt idx="2">
                  <c:v>2</c:v>
                </c:pt>
              </c:numCache>
            </c:numRef>
          </c:val>
          <c:extLst xmlns:c16r2="http://schemas.microsoft.com/office/drawing/2015/06/chart">
            <c:ext xmlns:c16="http://schemas.microsoft.com/office/drawing/2014/chart" uri="{C3380CC4-5D6E-409C-BE32-E72D297353CC}">
              <c16:uniqueId val="{00000002-7BCA-457F-AEB1-6E0240960B0A}"/>
            </c:ext>
          </c:extLst>
        </c:ser>
        <c:ser>
          <c:idx val="3"/>
          <c:order val="3"/>
          <c:tx>
            <c:strRef>
              <c:f>Лист1!$E$1</c:f>
              <c:strCache>
                <c:ptCount val="1"/>
                <c:pt idx="0">
                  <c:v>Divin</c:v>
                </c:pt>
              </c:strCache>
            </c:strRef>
          </c:tx>
          <c:invertIfNegative val="0"/>
          <c:dLbls>
            <c:spPr>
              <a:solidFill>
                <a:srgbClr val="92D050"/>
              </a:solidFill>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Лист1!$E$2:$E$4</c:f>
              <c:numCache>
                <c:formatCode>General</c:formatCode>
                <c:ptCount val="3"/>
                <c:pt idx="0">
                  <c:v>0</c:v>
                </c:pt>
                <c:pt idx="1">
                  <c:v>2</c:v>
                </c:pt>
                <c:pt idx="2">
                  <c:v>1</c:v>
                </c:pt>
              </c:numCache>
            </c:numRef>
          </c:val>
          <c:extLst xmlns:c16r2="http://schemas.microsoft.com/office/drawing/2015/06/chart">
            <c:ext xmlns:c16="http://schemas.microsoft.com/office/drawing/2014/chart" uri="{C3380CC4-5D6E-409C-BE32-E72D297353CC}">
              <c16:uniqueId val="{00000003-7BCA-457F-AEB1-6E0240960B0A}"/>
            </c:ext>
          </c:extLst>
        </c:ser>
        <c:dLbls>
          <c:showLegendKey val="0"/>
          <c:showVal val="0"/>
          <c:showCatName val="0"/>
          <c:showSerName val="0"/>
          <c:showPercent val="0"/>
          <c:showBubbleSize val="0"/>
        </c:dLbls>
        <c:gapWidth val="150"/>
        <c:shape val="cylinder"/>
        <c:axId val="284273240"/>
        <c:axId val="284272456"/>
        <c:axId val="0"/>
      </c:bar3DChart>
      <c:catAx>
        <c:axId val="284273240"/>
        <c:scaling>
          <c:orientation val="minMax"/>
        </c:scaling>
        <c:delete val="0"/>
        <c:axPos val="b"/>
        <c:numFmt formatCode="General" sourceLinked="1"/>
        <c:majorTickMark val="out"/>
        <c:minorTickMark val="none"/>
        <c:tickLblPos val="nextTo"/>
        <c:txPr>
          <a:bodyPr/>
          <a:lstStyle/>
          <a:p>
            <a:pPr>
              <a:defRPr b="1"/>
            </a:pPr>
            <a:endParaRPr lang="ru-RU"/>
          </a:p>
        </c:txPr>
        <c:crossAx val="284272456"/>
        <c:crosses val="autoZero"/>
        <c:auto val="1"/>
        <c:lblAlgn val="ctr"/>
        <c:lblOffset val="100"/>
        <c:noMultiLvlLbl val="0"/>
      </c:catAx>
      <c:valAx>
        <c:axId val="284272456"/>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284273240"/>
        <c:crosses val="autoZero"/>
        <c:crossBetween val="between"/>
      </c:valAx>
    </c:plotArea>
    <c:legend>
      <c:legendPos val="b"/>
      <c:overlay val="0"/>
      <c:txPr>
        <a:bodyPr/>
        <a:lstStyle/>
        <a:p>
          <a:pPr>
            <a:defRPr sz="900" b="1"/>
          </a:pPr>
          <a:endParaRPr lang="ru-RU"/>
        </a:p>
      </c:txPr>
    </c:legend>
    <c:plotVisOnly val="1"/>
    <c:dispBlanksAs val="gap"/>
    <c:showDLblsOverMax val="0"/>
  </c:chart>
  <c:spPr>
    <a:scene3d>
      <a:camera prst="orthographicFront"/>
      <a:lightRig rig="threePt" dir="t"/>
    </a:scene3d>
    <a:sp3d>
      <a:bevelB/>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2016</c:v>
                </c:pt>
              </c:strCache>
            </c:strRef>
          </c:tx>
          <c:spPr>
            <a:solidFill>
              <a:srgbClr val="FF0000"/>
            </a:solidFill>
          </c:spPr>
          <c:invertIfNegative val="0"/>
          <c:dLbls>
            <c:numFmt formatCode="#,##0" sourceLinked="0"/>
            <c:spPr>
              <a:solidFill>
                <a:srgbClr val="FFFF00"/>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Codru</c:v>
                </c:pt>
                <c:pt idx="1">
                  <c:v>Ștefan Vodă</c:v>
                </c:pt>
                <c:pt idx="2">
                  <c:v>Valul lui Traian</c:v>
                </c:pt>
                <c:pt idx="3">
                  <c:v>Divin</c:v>
                </c:pt>
              </c:strCache>
            </c:strRef>
          </c:cat>
          <c:val>
            <c:numRef>
              <c:f>Лист1!$B$2:$B$5</c:f>
              <c:numCache>
                <c:formatCode>General</c:formatCode>
                <c:ptCount val="4"/>
                <c:pt idx="0">
                  <c:v>16</c:v>
                </c:pt>
                <c:pt idx="1">
                  <c:v>10</c:v>
                </c:pt>
                <c:pt idx="2">
                  <c:v>29</c:v>
                </c:pt>
                <c:pt idx="3">
                  <c:v>0</c:v>
                </c:pt>
              </c:numCache>
            </c:numRef>
          </c:val>
          <c:extLst xmlns:c16r2="http://schemas.microsoft.com/office/drawing/2015/06/chart">
            <c:ext xmlns:c16="http://schemas.microsoft.com/office/drawing/2014/chart" uri="{C3380CC4-5D6E-409C-BE32-E72D297353CC}">
              <c16:uniqueId val="{00000000-1725-44D6-BFC0-F2E3752AB5FD}"/>
            </c:ext>
          </c:extLst>
        </c:ser>
        <c:ser>
          <c:idx val="1"/>
          <c:order val="1"/>
          <c:tx>
            <c:strRef>
              <c:f>Лист1!$C$1</c:f>
              <c:strCache>
                <c:ptCount val="1"/>
                <c:pt idx="0">
                  <c:v>2017</c:v>
                </c:pt>
              </c:strCache>
            </c:strRef>
          </c:tx>
          <c:spPr>
            <a:solidFill>
              <a:srgbClr val="00B0F0"/>
            </a:solidFill>
          </c:spPr>
          <c:invertIfNegative val="0"/>
          <c:dLbls>
            <c:spPr>
              <a:solidFill>
                <a:srgbClr val="FFFF00"/>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Codru</c:v>
                </c:pt>
                <c:pt idx="1">
                  <c:v>Ștefan Vodă</c:v>
                </c:pt>
                <c:pt idx="2">
                  <c:v>Valul lui Traian</c:v>
                </c:pt>
                <c:pt idx="3">
                  <c:v>Divin</c:v>
                </c:pt>
              </c:strCache>
            </c:strRef>
          </c:cat>
          <c:val>
            <c:numRef>
              <c:f>Лист1!$C$2:$C$5</c:f>
              <c:numCache>
                <c:formatCode>General</c:formatCode>
                <c:ptCount val="4"/>
                <c:pt idx="0">
                  <c:v>3</c:v>
                </c:pt>
                <c:pt idx="1">
                  <c:v>0</c:v>
                </c:pt>
                <c:pt idx="2">
                  <c:v>4</c:v>
                </c:pt>
                <c:pt idx="3">
                  <c:v>2</c:v>
                </c:pt>
              </c:numCache>
            </c:numRef>
          </c:val>
          <c:extLst xmlns:c16r2="http://schemas.microsoft.com/office/drawing/2015/06/chart">
            <c:ext xmlns:c16="http://schemas.microsoft.com/office/drawing/2014/chart" uri="{C3380CC4-5D6E-409C-BE32-E72D297353CC}">
              <c16:uniqueId val="{00000001-1725-44D6-BFC0-F2E3752AB5FD}"/>
            </c:ext>
          </c:extLst>
        </c:ser>
        <c:ser>
          <c:idx val="2"/>
          <c:order val="2"/>
          <c:tx>
            <c:strRef>
              <c:f>Лист1!$D$1</c:f>
              <c:strCache>
                <c:ptCount val="1"/>
                <c:pt idx="0">
                  <c:v>2018</c:v>
                </c:pt>
              </c:strCache>
            </c:strRef>
          </c:tx>
          <c:spPr>
            <a:solidFill>
              <a:srgbClr val="FFC000"/>
            </a:solidFill>
          </c:spPr>
          <c:invertIfNegative val="0"/>
          <c:dLbls>
            <c:dLbl>
              <c:idx val="0"/>
              <c:layout>
                <c:manualLayout>
                  <c:x val="2.6073049705087125E-2"/>
                  <c:y val="-1.242381243760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725-44D6-BFC0-F2E3752AB5FD}"/>
                </c:ext>
                <c:ext xmlns:c15="http://schemas.microsoft.com/office/drawing/2012/chart" uri="{CE6537A1-D6FC-4f65-9D91-7224C49458BB}"/>
              </c:extLst>
            </c:dLbl>
            <c:dLbl>
              <c:idx val="1"/>
              <c:layout>
                <c:manualLayout>
                  <c:x val="1.7382033136724744E-2"/>
                  <c:y val="-4.34833435316203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725-44D6-BFC0-F2E3752AB5FD}"/>
                </c:ext>
                <c:ext xmlns:c15="http://schemas.microsoft.com/office/drawing/2012/chart" uri="{CE6537A1-D6FC-4f65-9D91-7224C49458BB}"/>
              </c:extLst>
            </c:dLbl>
            <c:dLbl>
              <c:idx val="2"/>
              <c:layout>
                <c:manualLayout>
                  <c:x val="2.6073049705087125E-2"/>
                  <c:y val="-2.4847624875211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725-44D6-BFC0-F2E3752AB5FD}"/>
                </c:ext>
                <c:ext xmlns:c15="http://schemas.microsoft.com/office/drawing/2012/chart" uri="{CE6537A1-D6FC-4f65-9D91-7224C49458BB}"/>
              </c:extLst>
            </c:dLbl>
            <c:dLbl>
              <c:idx val="3"/>
              <c:layout>
                <c:manualLayout>
                  <c:x val="3.0418557989268308E-2"/>
                  <c:y val="-2.4847624875211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725-44D6-BFC0-F2E3752AB5FD}"/>
                </c:ext>
                <c:ext xmlns:c15="http://schemas.microsoft.com/office/drawing/2012/chart" uri="{CE6537A1-D6FC-4f65-9D91-7224C49458BB}"/>
              </c:extLst>
            </c:dLbl>
            <c:spPr>
              <a:solidFill>
                <a:srgbClr val="FFFF00"/>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Codru</c:v>
                </c:pt>
                <c:pt idx="1">
                  <c:v>Ștefan Vodă</c:v>
                </c:pt>
                <c:pt idx="2">
                  <c:v>Valul lui Traian</c:v>
                </c:pt>
                <c:pt idx="3">
                  <c:v>Divin</c:v>
                </c:pt>
              </c:strCache>
            </c:strRef>
          </c:cat>
          <c:val>
            <c:numRef>
              <c:f>Лист1!$D$2:$D$5</c:f>
              <c:numCache>
                <c:formatCode>General</c:formatCode>
                <c:ptCount val="4"/>
                <c:pt idx="0">
                  <c:v>3</c:v>
                </c:pt>
                <c:pt idx="1">
                  <c:v>1</c:v>
                </c:pt>
                <c:pt idx="2">
                  <c:v>2</c:v>
                </c:pt>
                <c:pt idx="3">
                  <c:v>1</c:v>
                </c:pt>
              </c:numCache>
            </c:numRef>
          </c:val>
          <c:extLst xmlns:c16r2="http://schemas.microsoft.com/office/drawing/2015/06/chart">
            <c:ext xmlns:c16="http://schemas.microsoft.com/office/drawing/2014/chart" uri="{C3380CC4-5D6E-409C-BE32-E72D297353CC}">
              <c16:uniqueId val="{00000006-1725-44D6-BFC0-F2E3752AB5FD}"/>
            </c:ext>
          </c:extLst>
        </c:ser>
        <c:dLbls>
          <c:showLegendKey val="0"/>
          <c:showVal val="0"/>
          <c:showCatName val="0"/>
          <c:showSerName val="0"/>
          <c:showPercent val="0"/>
          <c:showBubbleSize val="0"/>
        </c:dLbls>
        <c:gapWidth val="150"/>
        <c:shape val="cylinder"/>
        <c:axId val="296159576"/>
        <c:axId val="296159968"/>
        <c:axId val="0"/>
      </c:bar3DChart>
      <c:catAx>
        <c:axId val="296159576"/>
        <c:scaling>
          <c:orientation val="minMax"/>
        </c:scaling>
        <c:delete val="0"/>
        <c:axPos val="b"/>
        <c:numFmt formatCode="General" sourceLinked="1"/>
        <c:majorTickMark val="out"/>
        <c:minorTickMark val="none"/>
        <c:tickLblPos val="nextTo"/>
        <c:txPr>
          <a:bodyPr/>
          <a:lstStyle/>
          <a:p>
            <a:pPr>
              <a:defRPr sz="900" b="1"/>
            </a:pPr>
            <a:endParaRPr lang="ru-RU"/>
          </a:p>
        </c:txPr>
        <c:crossAx val="296159968"/>
        <c:crosses val="autoZero"/>
        <c:auto val="1"/>
        <c:lblAlgn val="ctr"/>
        <c:lblOffset val="100"/>
        <c:noMultiLvlLbl val="0"/>
      </c:catAx>
      <c:valAx>
        <c:axId val="296159968"/>
        <c:scaling>
          <c:orientation val="minMax"/>
        </c:scaling>
        <c:delete val="0"/>
        <c:axPos val="l"/>
        <c:majorGridlines/>
        <c:numFmt formatCode="General" sourceLinked="1"/>
        <c:majorTickMark val="out"/>
        <c:minorTickMark val="none"/>
        <c:tickLblPos val="nextTo"/>
        <c:crossAx val="296159576"/>
        <c:crosses val="autoZero"/>
        <c:crossBetween val="between"/>
      </c:valAx>
    </c:plotArea>
    <c:legend>
      <c:legendPos val="b"/>
      <c:overlay val="0"/>
      <c:txPr>
        <a:bodyPr/>
        <a:lstStyle/>
        <a:p>
          <a:pPr>
            <a:defRPr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A704-AF38-4F76-9407-16424167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72</Pages>
  <Words>22391</Words>
  <Characters>127635</Characters>
  <Application>Microsoft Office Word</Application>
  <DocSecurity>0</DocSecurity>
  <Lines>1063</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Tatiana</dc:creator>
  <cp:lastModifiedBy>Paiu Eugenia</cp:lastModifiedBy>
  <cp:revision>5</cp:revision>
  <cp:lastPrinted>2019-12-04T13:02:00Z</cp:lastPrinted>
  <dcterms:created xsi:type="dcterms:W3CDTF">2019-12-04T12:38:00Z</dcterms:created>
  <dcterms:modified xsi:type="dcterms:W3CDTF">2019-12-04T13:09:00Z</dcterms:modified>
</cp:coreProperties>
</file>