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F2" w:rsidRPr="006C6F8D" w:rsidRDefault="00A131F2" w:rsidP="00A131F2">
      <w:pPr>
        <w:spacing w:after="0" w:line="276" w:lineRule="auto"/>
        <w:jc w:val="right"/>
        <w:rPr>
          <w:rFonts w:asciiTheme="majorHAnsi" w:hAnsiTheme="majorHAnsi" w:cstheme="majorHAnsi"/>
          <w:sz w:val="24"/>
          <w:szCs w:val="24"/>
          <w:lang w:val="ru-MD"/>
        </w:rPr>
      </w:pPr>
      <w:bookmarkStart w:id="0" w:name="_GoBack"/>
      <w:bookmarkEnd w:id="0"/>
      <w:r w:rsidRPr="006C6F8D">
        <w:rPr>
          <w:noProof/>
          <w:szCs w:val="28"/>
          <w:lang w:val="ru-RU" w:eastAsia="ru-RU"/>
        </w:rPr>
        <w:drawing>
          <wp:inline distT="0" distB="0" distL="0" distR="0" wp14:anchorId="2857013B" wp14:editId="2CD6FD6A">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6C6F8D">
        <w:rPr>
          <w:rFonts w:asciiTheme="majorHAnsi" w:hAnsiTheme="majorHAnsi" w:cstheme="majorHAnsi"/>
          <w:sz w:val="24"/>
          <w:szCs w:val="24"/>
          <w:lang w:val="ru-MD"/>
        </w:rPr>
        <w:t>Перевод</w:t>
      </w:r>
    </w:p>
    <w:p w:rsidR="00A131F2" w:rsidRPr="006C6F8D" w:rsidRDefault="00A131F2" w:rsidP="00A131F2">
      <w:pPr>
        <w:spacing w:after="0" w:line="276" w:lineRule="auto"/>
        <w:jc w:val="center"/>
        <w:rPr>
          <w:rFonts w:asciiTheme="majorHAnsi" w:eastAsia="Times New Roman" w:hAnsiTheme="majorHAnsi" w:cstheme="majorHAnsi"/>
          <w:b/>
          <w:bCs/>
          <w:sz w:val="24"/>
          <w:szCs w:val="24"/>
          <w:lang w:val="ru-MD"/>
        </w:rPr>
      </w:pPr>
      <w:bookmarkStart w:id="1" w:name="_Toc450123757"/>
      <w:r w:rsidRPr="006C6F8D">
        <w:rPr>
          <w:rFonts w:asciiTheme="majorHAnsi" w:eastAsia="Times New Roman" w:hAnsiTheme="majorHAnsi" w:cstheme="majorHAnsi"/>
          <w:b/>
          <w:bCs/>
          <w:sz w:val="24"/>
          <w:szCs w:val="24"/>
          <w:lang w:val="ru-MD"/>
        </w:rPr>
        <w:t xml:space="preserve">ПОСТАНОВЛЕНИЕ </w:t>
      </w:r>
      <w:bookmarkEnd w:id="1"/>
      <w:r w:rsidRPr="006C6F8D">
        <w:rPr>
          <w:rFonts w:asciiTheme="majorHAnsi" w:eastAsia="Times New Roman" w:hAnsiTheme="majorHAnsi" w:cstheme="majorHAnsi"/>
          <w:b/>
          <w:bCs/>
          <w:sz w:val="24"/>
          <w:szCs w:val="24"/>
          <w:lang w:val="ru-MD"/>
        </w:rPr>
        <w:t>№</w:t>
      </w:r>
      <w:r w:rsidR="005B028E" w:rsidRPr="006C6F8D">
        <w:rPr>
          <w:rFonts w:asciiTheme="majorHAnsi" w:eastAsia="Times New Roman" w:hAnsiTheme="majorHAnsi" w:cstheme="majorHAnsi"/>
          <w:b/>
          <w:bCs/>
          <w:sz w:val="24"/>
          <w:szCs w:val="24"/>
          <w:lang w:val="ru-MD"/>
        </w:rPr>
        <w:t>77</w:t>
      </w:r>
    </w:p>
    <w:p w:rsidR="00A131F2" w:rsidRPr="006C6F8D" w:rsidRDefault="005B028E" w:rsidP="00A131F2">
      <w:pPr>
        <w:spacing w:after="0" w:line="276" w:lineRule="auto"/>
        <w:jc w:val="center"/>
        <w:rPr>
          <w:rFonts w:asciiTheme="majorHAnsi" w:eastAsia="Times New Roman" w:hAnsiTheme="majorHAnsi" w:cstheme="majorHAnsi"/>
          <w:bCs/>
          <w:sz w:val="24"/>
          <w:szCs w:val="24"/>
          <w:lang w:val="ru-MD"/>
        </w:rPr>
      </w:pPr>
      <w:r w:rsidRPr="006C6F8D">
        <w:rPr>
          <w:rFonts w:asciiTheme="majorHAnsi" w:eastAsia="Times New Roman" w:hAnsiTheme="majorHAnsi" w:cstheme="majorHAnsi"/>
          <w:bCs/>
          <w:sz w:val="24"/>
          <w:szCs w:val="24"/>
          <w:lang w:val="ru-MD"/>
        </w:rPr>
        <w:t>о</w:t>
      </w:r>
      <w:r w:rsidR="00A131F2" w:rsidRPr="006C6F8D">
        <w:rPr>
          <w:rFonts w:asciiTheme="majorHAnsi" w:eastAsia="Times New Roman" w:hAnsiTheme="majorHAnsi" w:cstheme="majorHAnsi"/>
          <w:bCs/>
          <w:sz w:val="24"/>
          <w:szCs w:val="24"/>
          <w:lang w:val="ru-MD"/>
        </w:rPr>
        <w:t>т</w:t>
      </w:r>
      <w:r w:rsidRPr="006C6F8D">
        <w:rPr>
          <w:rFonts w:asciiTheme="majorHAnsi" w:eastAsia="Times New Roman" w:hAnsiTheme="majorHAnsi" w:cstheme="majorHAnsi"/>
          <w:bCs/>
          <w:sz w:val="24"/>
          <w:szCs w:val="24"/>
          <w:lang w:val="ru-MD"/>
        </w:rPr>
        <w:t xml:space="preserve"> 23</w:t>
      </w:r>
      <w:r w:rsidR="00A131F2" w:rsidRPr="006C6F8D">
        <w:rPr>
          <w:rFonts w:asciiTheme="majorHAnsi" w:eastAsia="Times New Roman" w:hAnsiTheme="majorHAnsi" w:cstheme="majorHAnsi"/>
          <w:bCs/>
          <w:sz w:val="24"/>
          <w:szCs w:val="24"/>
          <w:lang w:val="ru-MD"/>
        </w:rPr>
        <w:t>.11.2018</w:t>
      </w:r>
    </w:p>
    <w:p w:rsidR="00A131F2" w:rsidRPr="006C6F8D" w:rsidRDefault="00A131F2" w:rsidP="00A131F2">
      <w:pPr>
        <w:spacing w:after="0" w:line="276" w:lineRule="auto"/>
        <w:jc w:val="center"/>
        <w:rPr>
          <w:rFonts w:asciiTheme="majorHAnsi" w:eastAsia="Times New Roman" w:hAnsiTheme="majorHAnsi" w:cstheme="majorHAnsi"/>
          <w:b/>
          <w:bCs/>
          <w:sz w:val="24"/>
          <w:szCs w:val="24"/>
          <w:lang w:val="ru-MD" w:eastAsia="ru-RU"/>
        </w:rPr>
      </w:pPr>
    </w:p>
    <w:p w:rsidR="00A131F2" w:rsidRPr="006C6F8D" w:rsidRDefault="00A131F2" w:rsidP="00A131F2">
      <w:pPr>
        <w:spacing w:after="0" w:line="276" w:lineRule="auto"/>
        <w:jc w:val="center"/>
        <w:rPr>
          <w:rFonts w:asciiTheme="majorHAnsi" w:hAnsiTheme="majorHAnsi" w:cstheme="majorHAnsi"/>
          <w:b/>
          <w:sz w:val="24"/>
          <w:szCs w:val="24"/>
          <w:lang w:val="ru-MD"/>
        </w:rPr>
      </w:pPr>
      <w:r w:rsidRPr="006C6F8D">
        <w:rPr>
          <w:rFonts w:asciiTheme="majorHAnsi" w:eastAsia="Times New Roman" w:hAnsiTheme="majorHAnsi" w:cstheme="majorHAnsi"/>
          <w:b/>
          <w:bCs/>
          <w:sz w:val="24"/>
          <w:szCs w:val="24"/>
          <w:lang w:val="ru-MD"/>
        </w:rPr>
        <w:t xml:space="preserve">по Отчету аудита </w:t>
      </w:r>
      <w:r w:rsidRPr="006C6F8D">
        <w:rPr>
          <w:rFonts w:asciiTheme="majorHAnsi" w:eastAsia="Times New Roman" w:hAnsiTheme="majorHAnsi" w:cstheme="majorHAnsi"/>
          <w:b/>
          <w:sz w:val="24"/>
          <w:szCs w:val="24"/>
          <w:lang w:val="ru-MD"/>
        </w:rPr>
        <w:t>финансов</w:t>
      </w:r>
      <w:r w:rsidRPr="006C6F8D">
        <w:rPr>
          <w:rFonts w:asciiTheme="majorHAnsi" w:hAnsiTheme="majorHAnsi" w:cstheme="majorHAnsi"/>
          <w:b/>
          <w:sz w:val="24"/>
          <w:szCs w:val="24"/>
          <w:lang w:val="ru-MD"/>
        </w:rPr>
        <w:t xml:space="preserve">ой </w:t>
      </w:r>
      <w:r w:rsidRPr="006C6F8D">
        <w:rPr>
          <w:rFonts w:asciiTheme="majorHAnsi" w:eastAsia="Times New Roman" w:hAnsiTheme="majorHAnsi" w:cstheme="majorHAnsi"/>
          <w:b/>
          <w:sz w:val="24"/>
          <w:szCs w:val="24"/>
          <w:lang w:val="ru-MD"/>
        </w:rPr>
        <w:t>отчетности г</w:t>
      </w:r>
      <w:r w:rsidRPr="006C6F8D">
        <w:rPr>
          <w:rFonts w:asciiTheme="majorHAnsi" w:hAnsiTheme="majorHAnsi" w:cstheme="majorHAnsi"/>
          <w:b/>
          <w:sz w:val="24"/>
          <w:szCs w:val="24"/>
          <w:lang w:val="ru-MD"/>
        </w:rPr>
        <w:t xml:space="preserve">. Кодру, </w:t>
      </w:r>
    </w:p>
    <w:p w:rsidR="00A131F2" w:rsidRPr="006C6F8D" w:rsidRDefault="00A131F2" w:rsidP="00A131F2">
      <w:pPr>
        <w:spacing w:after="0" w:line="276" w:lineRule="auto"/>
        <w:jc w:val="center"/>
        <w:rPr>
          <w:rFonts w:asciiTheme="majorHAnsi" w:eastAsia="Times New Roman" w:hAnsiTheme="majorHAnsi" w:cstheme="majorHAnsi"/>
          <w:b/>
          <w:bCs/>
          <w:sz w:val="24"/>
          <w:szCs w:val="24"/>
          <w:lang w:val="ru-MD"/>
        </w:rPr>
      </w:pPr>
      <w:r w:rsidRPr="006C6F8D">
        <w:rPr>
          <w:rFonts w:asciiTheme="majorHAnsi" w:hAnsiTheme="majorHAnsi" w:cstheme="majorHAnsi"/>
          <w:b/>
          <w:sz w:val="24"/>
          <w:szCs w:val="24"/>
          <w:lang w:val="ru-MD"/>
        </w:rPr>
        <w:t xml:space="preserve">составленной по состоянию на 31.12.2017 </w:t>
      </w:r>
    </w:p>
    <w:p w:rsidR="00A131F2" w:rsidRPr="006C6F8D" w:rsidRDefault="00A131F2" w:rsidP="00A131F2">
      <w:pPr>
        <w:spacing w:after="0" w:line="276" w:lineRule="auto"/>
        <w:jc w:val="center"/>
        <w:rPr>
          <w:rFonts w:asciiTheme="majorHAnsi" w:eastAsia="Times New Roman" w:hAnsiTheme="majorHAnsi" w:cstheme="majorHAnsi"/>
          <w:b/>
          <w:bCs/>
          <w:sz w:val="24"/>
          <w:szCs w:val="24"/>
          <w:lang w:val="ru-MD" w:eastAsia="ru-RU"/>
        </w:rPr>
      </w:pPr>
    </w:p>
    <w:p w:rsidR="00267A83" w:rsidRPr="006C6F8D" w:rsidRDefault="00A131F2" w:rsidP="00267A83">
      <w:pPr>
        <w:spacing w:after="0" w:line="276" w:lineRule="auto"/>
        <w:ind w:firstLine="709"/>
        <w:jc w:val="both"/>
        <w:rPr>
          <w:rFonts w:asciiTheme="majorHAnsi" w:hAnsiTheme="majorHAnsi" w:cstheme="majorHAnsi"/>
          <w:sz w:val="24"/>
          <w:szCs w:val="24"/>
          <w:lang w:val="ru-MD"/>
        </w:rPr>
      </w:pPr>
      <w:r w:rsidRPr="006C6F8D">
        <w:rPr>
          <w:rFonts w:asciiTheme="majorHAnsi" w:eastAsia="Times New Roman" w:hAnsiTheme="majorHAnsi" w:cstheme="majorHAnsi"/>
          <w:sz w:val="24"/>
          <w:szCs w:val="24"/>
          <w:lang w:val="ru-MD" w:eastAsia="ru-RU"/>
        </w:rPr>
        <w:t>Счетная палата</w:t>
      </w:r>
      <w:r w:rsidRPr="006C6F8D">
        <w:rPr>
          <w:rFonts w:asciiTheme="majorHAnsi" w:eastAsia="Times New Roman" w:hAnsiTheme="majorHAnsi" w:cstheme="majorHAnsi"/>
          <w:sz w:val="24"/>
          <w:szCs w:val="24"/>
          <w:lang w:val="ru-MD"/>
        </w:rPr>
        <w:t xml:space="preserve"> в присутствии г-на Владимира Мунтяну, примара г.</w:t>
      </w:r>
      <w:r w:rsidR="00267A83" w:rsidRPr="006C6F8D">
        <w:rPr>
          <w:rFonts w:asciiTheme="majorHAnsi" w:eastAsia="Times New Roman" w:hAnsiTheme="majorHAnsi" w:cstheme="majorHAnsi"/>
          <w:sz w:val="24"/>
          <w:szCs w:val="24"/>
          <w:lang w:val="ru-MD"/>
        </w:rPr>
        <w:t xml:space="preserve"> </w:t>
      </w:r>
      <w:r w:rsidRPr="006C6F8D">
        <w:rPr>
          <w:rFonts w:asciiTheme="majorHAnsi" w:eastAsia="Times New Roman" w:hAnsiTheme="majorHAnsi" w:cstheme="majorHAnsi"/>
          <w:sz w:val="24"/>
          <w:szCs w:val="24"/>
          <w:lang w:val="ru-MD"/>
        </w:rPr>
        <w:t xml:space="preserve">Кодру; </w:t>
      </w:r>
      <w:r w:rsidR="00267A83" w:rsidRPr="006C6F8D">
        <w:rPr>
          <w:rFonts w:asciiTheme="majorHAnsi" w:eastAsia="Times New Roman" w:hAnsiTheme="majorHAnsi" w:cstheme="majorHAnsi"/>
          <w:sz w:val="24"/>
          <w:szCs w:val="24"/>
          <w:lang w:val="ru-MD"/>
        </w:rPr>
        <w:t xml:space="preserve">г-на Эдуарда Векверта, заместителя начальника </w:t>
      </w:r>
      <w:r w:rsidR="00267A83" w:rsidRPr="006C6F8D">
        <w:rPr>
          <w:rFonts w:asciiTheme="majorHAnsi" w:hAnsiTheme="majorHAnsi" w:cstheme="majorHAnsi"/>
          <w:sz w:val="24"/>
          <w:szCs w:val="24"/>
          <w:lang w:val="ru-MD"/>
        </w:rPr>
        <w:t xml:space="preserve">Территориального офиса Кишинэу Государственной канцелярии; г-на Георгия Кроитору, начальника Отдела в рамках Управления градостроительства Министерства экономики и инфраструктуры; г-жи Дианы Стичь, начальника Отдела операционного </w:t>
      </w:r>
      <w:r w:rsidR="00267A83" w:rsidRPr="006C6F8D">
        <w:rPr>
          <w:rFonts w:asciiTheme="majorHAnsi" w:eastAsia="Times New Roman" w:hAnsiTheme="majorHAnsi" w:cstheme="majorHAnsi"/>
          <w:sz w:val="24"/>
          <w:szCs w:val="24"/>
          <w:lang w:val="ru-MD" w:eastAsia="ru-RU"/>
        </w:rPr>
        <w:t>менеджмента</w:t>
      </w:r>
      <w:r w:rsidR="00267A83" w:rsidRPr="006C6F8D">
        <w:rPr>
          <w:rFonts w:asciiTheme="majorHAnsi" w:hAnsiTheme="majorHAnsi" w:cstheme="majorHAnsi"/>
          <w:sz w:val="24"/>
          <w:szCs w:val="24"/>
          <w:lang w:val="ru-MD"/>
        </w:rPr>
        <w:t xml:space="preserve"> Государственной налоговой службы; г-жи Софии Курмей, начальника Отдела налогового уче</w:t>
      </w:r>
      <w:r w:rsidR="00267A83" w:rsidRPr="006C6F8D">
        <w:rPr>
          <w:rFonts w:asciiTheme="majorHAnsi" w:eastAsia="Times New Roman" w:hAnsiTheme="majorHAnsi" w:cstheme="majorHAnsi"/>
          <w:sz w:val="24"/>
          <w:szCs w:val="24"/>
          <w:lang w:val="ru-MD" w:eastAsia="ru-RU"/>
        </w:rPr>
        <w:t>та</w:t>
      </w:r>
      <w:r w:rsidR="00267A83" w:rsidRPr="006C6F8D">
        <w:rPr>
          <w:rFonts w:asciiTheme="majorHAnsi" w:hAnsiTheme="majorHAnsi" w:cstheme="majorHAnsi"/>
          <w:sz w:val="24"/>
          <w:szCs w:val="24"/>
          <w:lang w:val="ru-MD"/>
        </w:rPr>
        <w:t xml:space="preserve"> Государственной налоговой службы; г-жи Людмилы Мицовой, главного инспектора Управления местных налогов и других доходов Государственной налоговой службы; г-жи Зинаиды Жалоба, заместителя начальника Главного управления </w:t>
      </w:r>
      <w:r w:rsidR="00267A83" w:rsidRPr="006C6F8D">
        <w:rPr>
          <w:rFonts w:asciiTheme="majorHAnsi" w:eastAsia="Times New Roman" w:hAnsiTheme="majorHAnsi" w:cstheme="majorHAnsi"/>
          <w:sz w:val="24"/>
          <w:szCs w:val="24"/>
          <w:lang w:val="ru-MD"/>
        </w:rPr>
        <w:t>финансов</w:t>
      </w:r>
      <w:r w:rsidR="00267A83" w:rsidRPr="006C6F8D">
        <w:rPr>
          <w:rFonts w:asciiTheme="majorHAnsi" w:hAnsiTheme="majorHAnsi" w:cstheme="majorHAnsi"/>
          <w:sz w:val="24"/>
          <w:szCs w:val="24"/>
          <w:lang w:val="ru-MD"/>
        </w:rPr>
        <w:t xml:space="preserve"> Муниципального совета Кишинэу; г-жи Анны Василой, главного </w:t>
      </w:r>
      <w:r w:rsidR="00267A83" w:rsidRPr="006C6F8D">
        <w:rPr>
          <w:rFonts w:asciiTheme="majorHAnsi" w:eastAsia="Times New Roman" w:hAnsiTheme="majorHAnsi" w:cstheme="majorHAnsi"/>
          <w:sz w:val="24"/>
          <w:szCs w:val="24"/>
          <w:lang w:val="ru-MD"/>
        </w:rPr>
        <w:t>бухгалтера</w:t>
      </w:r>
      <w:r w:rsidR="00267A83" w:rsidRPr="006C6F8D">
        <w:rPr>
          <w:rFonts w:asciiTheme="majorHAnsi" w:hAnsiTheme="majorHAnsi" w:cstheme="majorHAnsi"/>
          <w:sz w:val="24"/>
          <w:szCs w:val="24"/>
          <w:lang w:val="ru-MD"/>
        </w:rPr>
        <w:t xml:space="preserve"> Главного управления </w:t>
      </w:r>
      <w:r w:rsidR="00267A83" w:rsidRPr="006C6F8D">
        <w:rPr>
          <w:rFonts w:asciiTheme="majorHAnsi" w:eastAsia="Times New Roman" w:hAnsiTheme="majorHAnsi" w:cstheme="majorHAnsi"/>
          <w:sz w:val="24"/>
          <w:szCs w:val="24"/>
          <w:lang w:val="ru-MD"/>
        </w:rPr>
        <w:t>финансов</w:t>
      </w:r>
      <w:r w:rsidR="00267A83" w:rsidRPr="006C6F8D">
        <w:rPr>
          <w:rFonts w:asciiTheme="majorHAnsi" w:hAnsiTheme="majorHAnsi" w:cstheme="majorHAnsi"/>
          <w:sz w:val="24"/>
          <w:szCs w:val="24"/>
          <w:lang w:val="ru-MD"/>
        </w:rPr>
        <w:t xml:space="preserve"> Муниципального совета Кишинэу, а также других </w:t>
      </w:r>
      <w:r w:rsidR="00267A83" w:rsidRPr="006C6F8D">
        <w:rPr>
          <w:rFonts w:asciiTheme="majorHAnsi" w:eastAsia="Times New Roman" w:hAnsiTheme="majorHAnsi" w:cstheme="majorHAnsi"/>
          <w:sz w:val="24"/>
          <w:szCs w:val="24"/>
          <w:lang w:val="ru-MD" w:eastAsia="ru-RU"/>
        </w:rPr>
        <w:t>ответственн</w:t>
      </w:r>
      <w:r w:rsidR="00267A83" w:rsidRPr="006C6F8D">
        <w:rPr>
          <w:rFonts w:asciiTheme="majorHAnsi" w:hAnsiTheme="majorHAnsi" w:cstheme="majorHAnsi"/>
          <w:sz w:val="24"/>
          <w:szCs w:val="24"/>
          <w:lang w:val="ru-MD"/>
        </w:rPr>
        <w:t xml:space="preserve">ых лиц, </w:t>
      </w:r>
      <w:r w:rsidR="00267A83" w:rsidRPr="006C6F8D">
        <w:rPr>
          <w:rFonts w:asciiTheme="majorHAnsi" w:eastAsia="Times New Roman" w:hAnsiTheme="majorHAnsi" w:cstheme="majorHAnsi"/>
          <w:sz w:val="24"/>
          <w:szCs w:val="24"/>
          <w:lang w:val="ru-MD"/>
        </w:rPr>
        <w:t xml:space="preserve">руководствуясь ст.3 (1), ст.5 (1) a) и ст.31 (1) a) </w:t>
      </w:r>
      <w:r w:rsidR="00267A83" w:rsidRPr="006C6F8D">
        <w:rPr>
          <w:rFonts w:asciiTheme="majorHAnsi" w:eastAsia="Times New Roman" w:hAnsiTheme="majorHAnsi" w:cstheme="majorHAnsi"/>
          <w:sz w:val="24"/>
          <w:szCs w:val="24"/>
          <w:lang w:val="ru-MD" w:eastAsia="ru-RU"/>
        </w:rPr>
        <w:t xml:space="preserve">Закона об организации и </w:t>
      </w:r>
      <w:r w:rsidR="00267A83" w:rsidRPr="006C6F8D">
        <w:rPr>
          <w:rFonts w:asciiTheme="majorHAnsi" w:eastAsia="Times New Roman" w:hAnsiTheme="majorHAnsi" w:cstheme="majorHAnsi"/>
          <w:color w:val="000000"/>
          <w:sz w:val="24"/>
          <w:szCs w:val="24"/>
          <w:lang w:val="ru-MD" w:eastAsia="ru-RU"/>
        </w:rPr>
        <w:t>функционировании</w:t>
      </w:r>
      <w:r w:rsidR="00267A83" w:rsidRPr="006C6F8D">
        <w:rPr>
          <w:rFonts w:asciiTheme="majorHAnsi" w:eastAsia="Times New Roman" w:hAnsiTheme="majorHAnsi" w:cstheme="majorHAnsi"/>
          <w:color w:val="000000" w:themeColor="text1"/>
          <w:sz w:val="24"/>
          <w:szCs w:val="24"/>
          <w:lang w:val="ru-MD" w:eastAsia="ru-RU"/>
        </w:rPr>
        <w:t xml:space="preserve"> </w:t>
      </w:r>
      <w:r w:rsidR="00267A83" w:rsidRPr="006C6F8D">
        <w:rPr>
          <w:rFonts w:asciiTheme="majorHAnsi" w:eastAsia="Times New Roman" w:hAnsiTheme="majorHAnsi" w:cstheme="majorHAnsi"/>
          <w:sz w:val="24"/>
          <w:szCs w:val="24"/>
          <w:lang w:val="ru-MD" w:eastAsia="ru-RU"/>
        </w:rPr>
        <w:t>Счетной палаты Республики Молдова №</w:t>
      </w:r>
      <w:r w:rsidR="00267A83" w:rsidRPr="006C6F8D">
        <w:rPr>
          <w:rFonts w:asciiTheme="majorHAnsi" w:eastAsia="Times New Roman" w:hAnsiTheme="majorHAnsi" w:cstheme="majorHAnsi"/>
          <w:sz w:val="24"/>
          <w:szCs w:val="24"/>
          <w:lang w:val="ru-MD"/>
        </w:rPr>
        <w:t>260 от 07.12.2017</w:t>
      </w:r>
      <w:r w:rsidR="00267A83" w:rsidRPr="006C6F8D">
        <w:rPr>
          <w:rStyle w:val="a5"/>
          <w:rFonts w:asciiTheme="majorHAnsi" w:eastAsia="Times New Roman" w:hAnsiTheme="majorHAnsi" w:cstheme="majorHAnsi"/>
          <w:sz w:val="24"/>
          <w:szCs w:val="24"/>
          <w:lang w:val="ru-MD"/>
        </w:rPr>
        <w:footnoteReference w:id="1"/>
      </w:r>
      <w:r w:rsidR="00267A83" w:rsidRPr="006C6F8D">
        <w:rPr>
          <w:rFonts w:asciiTheme="majorHAnsi" w:eastAsia="Times New Roman" w:hAnsiTheme="majorHAnsi" w:cstheme="majorHAnsi"/>
          <w:sz w:val="24"/>
          <w:szCs w:val="24"/>
          <w:lang w:val="ru-MD"/>
        </w:rPr>
        <w:t>, рассмотрела Отчет аудита финансовой отчетности г</w:t>
      </w:r>
      <w:r w:rsidR="00267A83" w:rsidRPr="006C6F8D">
        <w:rPr>
          <w:rFonts w:asciiTheme="majorHAnsi" w:hAnsiTheme="majorHAnsi" w:cstheme="majorHAnsi"/>
          <w:sz w:val="24"/>
          <w:szCs w:val="24"/>
          <w:lang w:val="ru-MD"/>
        </w:rPr>
        <w:t>. Кодру, составленной по состоянию на 31.12.2017.</w:t>
      </w:r>
    </w:p>
    <w:p w:rsidR="00A131F2" w:rsidRPr="006C6F8D" w:rsidRDefault="00A131F2" w:rsidP="00A131F2">
      <w:pPr>
        <w:spacing w:after="0" w:line="276" w:lineRule="auto"/>
        <w:ind w:firstLine="709"/>
        <w:jc w:val="both"/>
        <w:rPr>
          <w:rFonts w:asciiTheme="majorHAnsi" w:eastAsia="Times New Roman" w:hAnsiTheme="majorHAnsi" w:cstheme="majorHAnsi"/>
          <w:bCs/>
          <w:sz w:val="24"/>
          <w:szCs w:val="24"/>
          <w:lang w:val="ru-MD"/>
        </w:rPr>
      </w:pPr>
      <w:r w:rsidRPr="006C6F8D">
        <w:rPr>
          <w:rFonts w:asciiTheme="majorHAnsi" w:hAnsiTheme="majorHAnsi" w:cstheme="majorHAnsi"/>
          <w:sz w:val="24"/>
          <w:szCs w:val="24"/>
          <w:lang w:val="ru-MD"/>
        </w:rPr>
        <w:t xml:space="preserve">Аудиторская миссия была проведена </w:t>
      </w:r>
      <w:r w:rsidRPr="006C6F8D">
        <w:rPr>
          <w:rFonts w:asciiTheme="majorHAnsi" w:eastAsia="Times New Roman" w:hAnsiTheme="majorHAnsi" w:cstheme="majorHAnsi"/>
          <w:sz w:val="24"/>
          <w:szCs w:val="24"/>
          <w:lang w:val="ru-MD"/>
        </w:rPr>
        <w:t xml:space="preserve">в </w:t>
      </w:r>
      <w:r w:rsidRPr="006C6F8D">
        <w:rPr>
          <w:rFonts w:asciiTheme="majorHAnsi" w:eastAsia="Times New Roman" w:hAnsiTheme="majorHAnsi" w:cstheme="majorHAnsi"/>
          <w:sz w:val="24"/>
          <w:szCs w:val="24"/>
          <w:lang w:val="ru-MD" w:eastAsia="ru-RU"/>
        </w:rPr>
        <w:t>соответствии с Программой аудиторской деятельности Счетной палаты на 2018 год</w:t>
      </w:r>
      <w:r w:rsidRPr="006C6F8D">
        <w:rPr>
          <w:rStyle w:val="a5"/>
          <w:rFonts w:asciiTheme="majorHAnsi" w:eastAsia="Times New Roman" w:hAnsiTheme="majorHAnsi" w:cstheme="majorHAnsi"/>
          <w:sz w:val="24"/>
          <w:szCs w:val="24"/>
          <w:lang w:val="ru-MD"/>
        </w:rPr>
        <w:footnoteReference w:id="2"/>
      </w:r>
      <w:r w:rsidRPr="006C6F8D">
        <w:rPr>
          <w:rFonts w:asciiTheme="majorHAnsi" w:eastAsia="Times New Roman" w:hAnsiTheme="majorHAnsi" w:cstheme="majorHAnsi"/>
          <w:sz w:val="24"/>
          <w:szCs w:val="24"/>
          <w:lang w:val="ru-MD"/>
        </w:rPr>
        <w:t xml:space="preserve"> с целью предоставления убедительного подтверждения то</w:t>
      </w:r>
      <w:r w:rsidR="00DB750C" w:rsidRPr="006C6F8D">
        <w:rPr>
          <w:rFonts w:asciiTheme="majorHAnsi" w:eastAsia="Times New Roman" w:hAnsiTheme="majorHAnsi" w:cstheme="majorHAnsi"/>
          <w:sz w:val="24"/>
          <w:szCs w:val="24"/>
          <w:lang w:val="ru-MD"/>
        </w:rPr>
        <w:t>го</w:t>
      </w:r>
      <w:r w:rsidRPr="006C6F8D">
        <w:rPr>
          <w:rFonts w:asciiTheme="majorHAnsi" w:eastAsia="Times New Roman" w:hAnsiTheme="majorHAnsi" w:cstheme="majorHAnsi"/>
          <w:sz w:val="24"/>
          <w:szCs w:val="24"/>
          <w:lang w:val="ru-MD"/>
        </w:rPr>
        <w:t>, что финансовая отчетность г</w:t>
      </w:r>
      <w:r w:rsidRPr="006C6F8D">
        <w:rPr>
          <w:rFonts w:asciiTheme="majorHAnsi" w:hAnsiTheme="majorHAnsi" w:cstheme="majorHAnsi"/>
          <w:sz w:val="24"/>
          <w:szCs w:val="24"/>
          <w:lang w:val="ru-MD"/>
        </w:rPr>
        <w:t xml:space="preserve">. Кодру составлена и представлена </w:t>
      </w:r>
      <w:r w:rsidRPr="006C6F8D">
        <w:rPr>
          <w:rFonts w:asciiTheme="majorHAnsi" w:eastAsia="Times New Roman" w:hAnsiTheme="majorHAnsi" w:cstheme="majorHAnsi"/>
          <w:bCs/>
          <w:color w:val="000000"/>
          <w:sz w:val="24"/>
          <w:szCs w:val="24"/>
          <w:lang w:val="ru-MD" w:eastAsia="ru-RU"/>
        </w:rPr>
        <w:t xml:space="preserve">по состоянию на </w:t>
      </w:r>
      <w:r w:rsidRPr="006C6F8D">
        <w:rPr>
          <w:rFonts w:asciiTheme="majorHAnsi" w:hAnsiTheme="majorHAnsi" w:cstheme="majorHAnsi"/>
          <w:sz w:val="24"/>
          <w:szCs w:val="24"/>
          <w:lang w:val="ru-MD"/>
        </w:rPr>
        <w:t xml:space="preserve">31.12.2017 в </w:t>
      </w:r>
      <w:r w:rsidRPr="006C6F8D">
        <w:rPr>
          <w:rFonts w:asciiTheme="majorHAnsi" w:eastAsia="Times New Roman" w:hAnsiTheme="majorHAnsi" w:cstheme="majorHAnsi"/>
          <w:sz w:val="24"/>
          <w:szCs w:val="24"/>
          <w:lang w:val="ru-MD" w:eastAsia="ru-RU"/>
        </w:rPr>
        <w:t xml:space="preserve">соответствии с применяемой базой по составлению финансовой отчетности, предоставляет надежное и достоверное отражение ситуации и не содержит существенных искажений, связанных с мошенничеством или ошибками. </w:t>
      </w:r>
    </w:p>
    <w:p w:rsidR="008B040D" w:rsidRPr="006C6F8D" w:rsidRDefault="00A131F2" w:rsidP="008B040D">
      <w:pPr>
        <w:tabs>
          <w:tab w:val="left" w:pos="720"/>
        </w:tabs>
        <w:spacing w:after="0" w:line="276" w:lineRule="auto"/>
        <w:ind w:firstLine="709"/>
        <w:contextualSpacing/>
        <w:jc w:val="both"/>
        <w:rPr>
          <w:rFonts w:asciiTheme="majorHAnsi" w:hAnsiTheme="majorHAnsi" w:cstheme="majorHAnsi"/>
          <w:sz w:val="24"/>
          <w:szCs w:val="24"/>
          <w:lang w:val="ru-MD"/>
        </w:rPr>
      </w:pPr>
      <w:r w:rsidRPr="006C6F8D">
        <w:rPr>
          <w:rFonts w:asciiTheme="majorHAnsi" w:hAnsiTheme="majorHAnsi" w:cstheme="majorHAnsi"/>
          <w:sz w:val="24"/>
          <w:szCs w:val="24"/>
          <w:lang w:val="ru-MD"/>
        </w:rPr>
        <w:t>Внешний публичны</w:t>
      </w:r>
      <w:r w:rsidR="008B040D" w:rsidRPr="006C6F8D">
        <w:rPr>
          <w:rFonts w:asciiTheme="majorHAnsi" w:hAnsiTheme="majorHAnsi" w:cstheme="majorHAnsi"/>
          <w:sz w:val="24"/>
          <w:szCs w:val="24"/>
          <w:lang w:val="ru-MD"/>
        </w:rPr>
        <w:t xml:space="preserve">й аудит был проведен в </w:t>
      </w:r>
      <w:r w:rsidR="008B040D" w:rsidRPr="006C6F8D">
        <w:rPr>
          <w:rFonts w:asciiTheme="majorHAnsi" w:eastAsia="Times New Roman" w:hAnsiTheme="majorHAnsi" w:cstheme="majorHAnsi"/>
          <w:sz w:val="24"/>
          <w:szCs w:val="24"/>
          <w:lang w:val="ru-MD" w:eastAsia="ru-RU"/>
        </w:rPr>
        <w:t xml:space="preserve">соответствии с </w:t>
      </w:r>
      <w:r w:rsidR="008B040D" w:rsidRPr="006C6F8D">
        <w:rPr>
          <w:rFonts w:asciiTheme="majorHAnsi" w:eastAsia="Times New Roman" w:hAnsiTheme="majorHAnsi" w:cstheme="majorHAnsi"/>
          <w:bCs/>
          <w:sz w:val="24"/>
          <w:szCs w:val="24"/>
          <w:lang w:val="ru-MD"/>
        </w:rPr>
        <w:t xml:space="preserve">Международными стандартами аудита Высших органов аудита: </w:t>
      </w:r>
      <w:r w:rsidR="008B040D" w:rsidRPr="006C6F8D">
        <w:rPr>
          <w:rFonts w:asciiTheme="majorHAnsi" w:eastAsia="Times New Roman" w:hAnsiTheme="majorHAnsi" w:cstheme="majorHAnsi"/>
          <w:sz w:val="24"/>
          <w:szCs w:val="24"/>
          <w:lang w:val="ru-MD"/>
        </w:rPr>
        <w:t>„</w:t>
      </w:r>
      <w:r w:rsidR="008B040D" w:rsidRPr="006C6F8D">
        <w:rPr>
          <w:rFonts w:asciiTheme="majorHAnsi" w:hAnsiTheme="majorHAnsi" w:cstheme="majorHAnsi"/>
          <w:sz w:val="24"/>
          <w:szCs w:val="24"/>
          <w:lang w:val="ru-MD"/>
        </w:rPr>
        <w:t xml:space="preserve">ISSAI 100 </w:t>
      </w:r>
      <w:r w:rsidR="008B040D" w:rsidRPr="006C6F8D">
        <w:rPr>
          <w:rFonts w:asciiTheme="majorHAnsi" w:eastAsia="Times New Roman" w:hAnsiTheme="majorHAnsi" w:cstheme="majorHAnsi"/>
          <w:sz w:val="24"/>
          <w:szCs w:val="24"/>
          <w:lang w:val="ru-MD"/>
        </w:rPr>
        <w:t xml:space="preserve">„Основополагающие принципы аудита публичного сектора”, ISSAI 200 „Основополагающие принципы финансового аудита” и </w:t>
      </w:r>
      <w:r w:rsidR="008B040D" w:rsidRPr="006C6F8D">
        <w:rPr>
          <w:rFonts w:asciiTheme="majorHAnsi" w:hAnsiTheme="majorHAnsi" w:cstheme="majorHAnsi"/>
          <w:sz w:val="24"/>
          <w:szCs w:val="24"/>
          <w:lang w:val="ru-MD"/>
        </w:rPr>
        <w:t>Руководящими направлениями аудита</w:t>
      </w:r>
      <w:r w:rsidR="008B040D" w:rsidRPr="006C6F8D">
        <w:rPr>
          <w:rStyle w:val="a5"/>
          <w:rFonts w:asciiTheme="majorHAnsi" w:hAnsiTheme="majorHAnsi" w:cstheme="majorHAnsi"/>
          <w:color w:val="000000"/>
          <w:sz w:val="24"/>
          <w:szCs w:val="24"/>
          <w:lang w:val="ru-MD"/>
        </w:rPr>
        <w:footnoteReference w:id="3"/>
      </w:r>
      <w:r w:rsidR="008B040D" w:rsidRPr="006C6F8D">
        <w:rPr>
          <w:rFonts w:asciiTheme="majorHAnsi" w:hAnsiTheme="majorHAnsi" w:cstheme="majorHAnsi"/>
          <w:sz w:val="24"/>
          <w:szCs w:val="24"/>
          <w:lang w:val="ru-MD"/>
        </w:rPr>
        <w:t>.</w:t>
      </w:r>
    </w:p>
    <w:p w:rsidR="008B040D" w:rsidRPr="006C6F8D" w:rsidRDefault="008B040D" w:rsidP="008B040D">
      <w:pPr>
        <w:spacing w:after="120" w:line="276" w:lineRule="auto"/>
        <w:ind w:firstLine="709"/>
        <w:jc w:val="both"/>
        <w:rPr>
          <w:rFonts w:asciiTheme="majorHAnsi" w:hAnsiTheme="majorHAnsi" w:cstheme="majorHAnsi"/>
          <w:color w:val="000000" w:themeColor="text1"/>
          <w:sz w:val="24"/>
          <w:szCs w:val="24"/>
          <w:lang w:val="ru-MD" w:eastAsia="ro-RO"/>
        </w:rPr>
      </w:pPr>
      <w:r w:rsidRPr="006C6F8D">
        <w:rPr>
          <w:rFonts w:asciiTheme="majorHAnsi" w:hAnsiTheme="majorHAnsi" w:cstheme="majorHAnsi"/>
          <w:color w:val="000000" w:themeColor="text1"/>
          <w:sz w:val="24"/>
          <w:szCs w:val="24"/>
          <w:lang w:val="ru-MD" w:eastAsia="ro-RO"/>
        </w:rPr>
        <w:lastRenderedPageBreak/>
        <w:t xml:space="preserve">Рассмотрев Отчет аудита, а также объяснения ответственных лиц, присутствующих на публичном заседании, Счетная палата </w:t>
      </w:r>
    </w:p>
    <w:p w:rsidR="008B040D" w:rsidRPr="006C6F8D" w:rsidRDefault="008B040D" w:rsidP="008B040D">
      <w:pPr>
        <w:spacing w:after="120" w:line="240" w:lineRule="auto"/>
        <w:jc w:val="center"/>
        <w:rPr>
          <w:rFonts w:asciiTheme="majorHAnsi" w:hAnsiTheme="majorHAnsi" w:cstheme="majorHAnsi"/>
          <w:b/>
          <w:color w:val="000000" w:themeColor="text1"/>
          <w:sz w:val="24"/>
          <w:szCs w:val="24"/>
          <w:lang w:val="ru-MD" w:eastAsia="ro-RO"/>
        </w:rPr>
      </w:pPr>
      <w:r w:rsidRPr="006C6F8D">
        <w:rPr>
          <w:rFonts w:asciiTheme="majorHAnsi" w:hAnsiTheme="majorHAnsi" w:cstheme="majorHAnsi"/>
          <w:b/>
          <w:color w:val="000000" w:themeColor="text1"/>
          <w:sz w:val="24"/>
          <w:szCs w:val="24"/>
          <w:lang w:val="ru-MD" w:eastAsia="ro-RO"/>
        </w:rPr>
        <w:t>УСТАНОВИЛА:</w:t>
      </w:r>
    </w:p>
    <w:p w:rsidR="008B040D" w:rsidRPr="006C6F8D" w:rsidRDefault="008B040D" w:rsidP="008B040D">
      <w:pPr>
        <w:tabs>
          <w:tab w:val="left" w:pos="993"/>
        </w:tabs>
        <w:spacing w:after="0" w:line="276" w:lineRule="auto"/>
        <w:ind w:firstLine="709"/>
        <w:jc w:val="both"/>
        <w:rPr>
          <w:rFonts w:asciiTheme="majorHAnsi" w:hAnsiTheme="majorHAnsi" w:cstheme="majorHAnsi"/>
          <w:sz w:val="24"/>
          <w:szCs w:val="24"/>
          <w:lang w:val="ru-MD"/>
        </w:rPr>
      </w:pPr>
      <w:r w:rsidRPr="006C6F8D">
        <w:rPr>
          <w:rFonts w:asciiTheme="majorHAnsi" w:hAnsiTheme="majorHAnsi" w:cstheme="majorHAnsi"/>
          <w:sz w:val="24"/>
          <w:szCs w:val="24"/>
          <w:lang w:val="ru-MD"/>
        </w:rPr>
        <w:t>Примэрия г. Кодру не внед</w:t>
      </w:r>
      <w:r w:rsidRPr="006C6F8D">
        <w:rPr>
          <w:rFonts w:asciiTheme="majorHAnsi" w:eastAsia="Times New Roman" w:hAnsiTheme="majorHAnsi" w:cstheme="majorHAnsi"/>
          <w:sz w:val="24"/>
          <w:szCs w:val="24"/>
          <w:lang w:val="ru-MD" w:eastAsia="ru-RU"/>
        </w:rPr>
        <w:t xml:space="preserve">рила систему финансового менеджмента и контроля и не составила декларацию о надлежащем управлении на </w:t>
      </w:r>
      <w:r w:rsidRPr="006C6F8D">
        <w:rPr>
          <w:rFonts w:asciiTheme="majorHAnsi" w:hAnsiTheme="majorHAnsi" w:cstheme="majorHAnsi"/>
          <w:sz w:val="24"/>
          <w:szCs w:val="24"/>
          <w:lang w:val="ru-MD"/>
        </w:rPr>
        <w:t xml:space="preserve">2017 год. Некоторые </w:t>
      </w:r>
      <w:r w:rsidRPr="006C6F8D">
        <w:rPr>
          <w:rFonts w:asciiTheme="majorHAnsi" w:hAnsiTheme="majorHAnsi" w:cstheme="majorHAnsi"/>
          <w:sz w:val="24"/>
          <w:szCs w:val="24"/>
          <w:lang w:val="ru-MD" w:eastAsia="ru-RU"/>
        </w:rPr>
        <w:t>недостатк</w:t>
      </w:r>
      <w:r w:rsidRPr="006C6F8D">
        <w:rPr>
          <w:rFonts w:asciiTheme="majorHAnsi" w:hAnsiTheme="majorHAnsi" w:cstheme="majorHAnsi"/>
          <w:sz w:val="24"/>
          <w:szCs w:val="24"/>
          <w:lang w:val="ru-MD"/>
        </w:rPr>
        <w:t>и и не</w:t>
      </w:r>
      <w:r w:rsidRPr="006C6F8D">
        <w:rPr>
          <w:rFonts w:asciiTheme="majorHAnsi" w:eastAsia="Times New Roman" w:hAnsiTheme="majorHAnsi" w:cstheme="majorHAnsi"/>
          <w:sz w:val="24"/>
          <w:szCs w:val="24"/>
          <w:lang w:val="ru-MD" w:eastAsia="ru-RU"/>
        </w:rPr>
        <w:t>соответствия, установленные в рамках аудита и изложенные в Отчете аудита, являются следствием невнедрения системы финансового менеджмента и контроля.</w:t>
      </w:r>
    </w:p>
    <w:p w:rsidR="00827CA2" w:rsidRPr="006C6F8D" w:rsidRDefault="008B040D" w:rsidP="00827CA2">
      <w:pPr>
        <w:spacing w:after="0" w:line="276" w:lineRule="auto"/>
        <w:ind w:firstLine="709"/>
        <w:jc w:val="both"/>
        <w:rPr>
          <w:rFonts w:asciiTheme="majorHAnsi" w:hAnsiTheme="majorHAnsi" w:cstheme="majorHAnsi"/>
          <w:sz w:val="24"/>
          <w:szCs w:val="24"/>
          <w:lang w:val="ru-MD"/>
        </w:rPr>
      </w:pPr>
      <w:r w:rsidRPr="006C6F8D">
        <w:rPr>
          <w:rFonts w:asciiTheme="majorHAnsi" w:hAnsiTheme="majorHAnsi" w:cstheme="majorHAnsi"/>
          <w:sz w:val="24"/>
          <w:szCs w:val="24"/>
          <w:lang w:val="ru-MD"/>
        </w:rPr>
        <w:t xml:space="preserve">Деятельность, проведенная с целью сбора достаточных и адекватных </w:t>
      </w:r>
      <w:r w:rsidRPr="006C6F8D">
        <w:rPr>
          <w:rFonts w:asciiTheme="majorHAnsi" w:eastAsia="Times New Roman" w:hAnsiTheme="majorHAnsi" w:cstheme="majorHAnsi"/>
          <w:sz w:val="24"/>
          <w:szCs w:val="24"/>
          <w:lang w:val="ru-MD" w:eastAsia="ru-RU"/>
        </w:rPr>
        <w:t xml:space="preserve">доказательств, а также констатации, изложенные в Отчете аудита, обусловили </w:t>
      </w:r>
      <w:r w:rsidRPr="006C6F8D">
        <w:rPr>
          <w:rFonts w:asciiTheme="majorHAnsi" w:eastAsia="Calibri" w:hAnsiTheme="majorHAnsi" w:cstheme="majorHAnsi"/>
          <w:sz w:val="24"/>
          <w:szCs w:val="24"/>
          <w:lang w:val="ru-MD" w:eastAsia="ru-RU"/>
        </w:rPr>
        <w:t xml:space="preserve">аудиторскую группу </w:t>
      </w:r>
      <w:r w:rsidR="00DB750C" w:rsidRPr="006C6F8D">
        <w:rPr>
          <w:rFonts w:asciiTheme="majorHAnsi" w:eastAsia="Calibri" w:hAnsiTheme="majorHAnsi" w:cstheme="majorHAnsi"/>
          <w:sz w:val="24"/>
          <w:szCs w:val="24"/>
          <w:lang w:val="ru-MD" w:eastAsia="ru-RU"/>
        </w:rPr>
        <w:t>выраз</w:t>
      </w:r>
      <w:r w:rsidRPr="006C6F8D">
        <w:rPr>
          <w:rFonts w:asciiTheme="majorHAnsi" w:eastAsia="Calibri" w:hAnsiTheme="majorHAnsi" w:cstheme="majorHAnsi"/>
          <w:sz w:val="24"/>
          <w:szCs w:val="24"/>
          <w:lang w:val="ru-MD" w:eastAsia="ru-RU"/>
        </w:rPr>
        <w:t xml:space="preserve">ить отрицательное мнение о </w:t>
      </w:r>
      <w:r w:rsidRPr="006C6F8D">
        <w:rPr>
          <w:rFonts w:asciiTheme="majorHAnsi" w:eastAsia="Times New Roman" w:hAnsiTheme="majorHAnsi" w:cstheme="majorHAnsi"/>
          <w:sz w:val="24"/>
          <w:szCs w:val="24"/>
          <w:lang w:val="ru-MD" w:eastAsia="ru-RU"/>
        </w:rPr>
        <w:t>финансов</w:t>
      </w:r>
      <w:r w:rsidRPr="006C6F8D">
        <w:rPr>
          <w:rFonts w:asciiTheme="majorHAnsi" w:eastAsia="Calibri" w:hAnsiTheme="majorHAnsi" w:cstheme="majorHAnsi"/>
          <w:sz w:val="24"/>
          <w:szCs w:val="24"/>
          <w:lang w:val="ru-MD" w:eastAsia="ru-RU"/>
        </w:rPr>
        <w:t xml:space="preserve">ой </w:t>
      </w:r>
      <w:r w:rsidRPr="006C6F8D">
        <w:rPr>
          <w:rFonts w:asciiTheme="majorHAnsi" w:eastAsia="Times New Roman" w:hAnsiTheme="majorHAnsi" w:cstheme="majorHAnsi"/>
          <w:sz w:val="24"/>
          <w:szCs w:val="24"/>
          <w:lang w:val="ru-MD" w:eastAsia="ru-RU"/>
        </w:rPr>
        <w:t xml:space="preserve">отчетности </w:t>
      </w:r>
      <w:r w:rsidR="00827CA2" w:rsidRPr="006C6F8D">
        <w:rPr>
          <w:rFonts w:asciiTheme="majorHAnsi" w:eastAsia="Times New Roman" w:hAnsiTheme="majorHAnsi" w:cstheme="majorHAnsi"/>
          <w:sz w:val="24"/>
          <w:szCs w:val="24"/>
          <w:lang w:val="ru-MD" w:eastAsia="ru-RU"/>
        </w:rPr>
        <w:t>г</w:t>
      </w:r>
      <w:r w:rsidRPr="006C6F8D">
        <w:rPr>
          <w:rFonts w:asciiTheme="majorHAnsi" w:hAnsiTheme="majorHAnsi" w:cstheme="majorHAnsi"/>
          <w:sz w:val="24"/>
          <w:szCs w:val="24"/>
          <w:lang w:val="ru-MD"/>
        </w:rPr>
        <w:t>.</w:t>
      </w:r>
      <w:r w:rsidR="00827CA2" w:rsidRPr="006C6F8D">
        <w:rPr>
          <w:rFonts w:asciiTheme="majorHAnsi" w:hAnsiTheme="majorHAnsi" w:cstheme="majorHAnsi"/>
          <w:sz w:val="24"/>
          <w:szCs w:val="24"/>
          <w:lang w:val="ru-MD"/>
        </w:rPr>
        <w:t xml:space="preserve"> Кодру</w:t>
      </w:r>
      <w:r w:rsidRPr="006C6F8D">
        <w:rPr>
          <w:rFonts w:asciiTheme="majorHAnsi" w:hAnsiTheme="majorHAnsi" w:cstheme="majorHAnsi"/>
          <w:sz w:val="24"/>
          <w:szCs w:val="24"/>
          <w:lang w:val="ru-MD"/>
        </w:rPr>
        <w:t xml:space="preserve">, составленной по состоянию на 31 декабря 2017 года. </w:t>
      </w:r>
      <w:r w:rsidRPr="006C6F8D">
        <w:rPr>
          <w:rFonts w:asciiTheme="majorHAnsi" w:eastAsia="Calibri" w:hAnsiTheme="majorHAnsi" w:cstheme="majorHAnsi"/>
          <w:sz w:val="24"/>
          <w:szCs w:val="24"/>
          <w:lang w:val="ru-MD" w:eastAsia="ru-RU"/>
        </w:rPr>
        <w:t xml:space="preserve">Отрицательное мнение было основано на влиянии искажений, отмеченных </w:t>
      </w:r>
      <w:r w:rsidRPr="006C6F8D">
        <w:rPr>
          <w:rFonts w:asciiTheme="majorHAnsi" w:eastAsia="Times New Roman" w:hAnsiTheme="majorHAnsi" w:cstheme="majorHAnsi"/>
          <w:bCs/>
          <w:color w:val="000000"/>
          <w:sz w:val="24"/>
          <w:szCs w:val="24"/>
          <w:lang w:val="ru-MD" w:eastAsia="ru-RU"/>
        </w:rPr>
        <w:t xml:space="preserve">по состоянию на </w:t>
      </w:r>
      <w:r w:rsidRPr="006C6F8D">
        <w:rPr>
          <w:rFonts w:asciiTheme="majorHAnsi" w:hAnsiTheme="majorHAnsi" w:cstheme="majorHAnsi"/>
          <w:sz w:val="24"/>
          <w:szCs w:val="24"/>
          <w:lang w:val="ru-MD"/>
        </w:rPr>
        <w:t>31.12.2017, касающихся</w:t>
      </w:r>
      <w:r w:rsidR="00827CA2" w:rsidRPr="006C6F8D">
        <w:rPr>
          <w:rFonts w:asciiTheme="majorHAnsi" w:hAnsiTheme="majorHAnsi" w:cstheme="majorHAnsi"/>
          <w:sz w:val="24"/>
          <w:szCs w:val="24"/>
          <w:lang w:val="ru-MD"/>
        </w:rPr>
        <w:t xml:space="preserve">: основных средств – на сумму 10,54 </w:t>
      </w:r>
      <w:r w:rsidR="00827CA2" w:rsidRPr="006C6F8D">
        <w:rPr>
          <w:rFonts w:asciiTheme="majorHAnsi" w:eastAsia="Times New Roman" w:hAnsiTheme="majorHAnsi" w:cstheme="majorHAnsi"/>
          <w:sz w:val="24"/>
          <w:szCs w:val="24"/>
          <w:lang w:val="ru-MD"/>
        </w:rPr>
        <w:t xml:space="preserve">млн. леев; земельных участков </w:t>
      </w:r>
      <w:r w:rsidR="00827CA2" w:rsidRPr="006C6F8D">
        <w:rPr>
          <w:rFonts w:asciiTheme="majorHAnsi" w:hAnsiTheme="majorHAnsi" w:cstheme="majorHAnsi"/>
          <w:sz w:val="24"/>
          <w:szCs w:val="24"/>
          <w:lang w:val="ru-MD"/>
        </w:rPr>
        <w:t>– 256,6</w:t>
      </w:r>
      <w:r w:rsidR="00827CA2" w:rsidRPr="006C6F8D">
        <w:rPr>
          <w:rFonts w:asciiTheme="majorHAnsi" w:eastAsia="Times New Roman" w:hAnsiTheme="majorHAnsi" w:cstheme="majorHAnsi"/>
          <w:sz w:val="24"/>
          <w:szCs w:val="24"/>
          <w:lang w:val="ru-MD"/>
        </w:rPr>
        <w:t xml:space="preserve"> млн. леев; </w:t>
      </w:r>
      <w:r w:rsidR="00827CA2" w:rsidRPr="006C6F8D">
        <w:rPr>
          <w:rFonts w:asciiTheme="majorHAnsi" w:eastAsia="Times New Roman" w:hAnsiTheme="majorHAnsi" w:cstheme="majorHAnsi"/>
          <w:sz w:val="24"/>
          <w:szCs w:val="24"/>
          <w:lang w:val="ru-MD" w:eastAsia="ru-RU"/>
        </w:rPr>
        <w:t xml:space="preserve">обязательств </w:t>
      </w:r>
      <w:r w:rsidR="00827CA2" w:rsidRPr="006C6F8D">
        <w:rPr>
          <w:rFonts w:asciiTheme="majorHAnsi" w:hAnsiTheme="majorHAnsi" w:cstheme="majorHAnsi"/>
          <w:sz w:val="24"/>
          <w:szCs w:val="24"/>
          <w:lang w:val="ru-MD"/>
        </w:rPr>
        <w:t>– 5,</w:t>
      </w:r>
      <w:r w:rsidR="00DB750C" w:rsidRPr="006C6F8D">
        <w:rPr>
          <w:rFonts w:asciiTheme="majorHAnsi" w:hAnsiTheme="majorHAnsi" w:cstheme="majorHAnsi"/>
          <w:sz w:val="24"/>
          <w:szCs w:val="24"/>
          <w:lang w:val="ru-MD"/>
        </w:rPr>
        <w:t>5</w:t>
      </w:r>
      <w:r w:rsidR="00827CA2" w:rsidRPr="006C6F8D">
        <w:rPr>
          <w:rFonts w:asciiTheme="majorHAnsi" w:hAnsiTheme="majorHAnsi" w:cstheme="majorHAnsi"/>
          <w:sz w:val="24"/>
          <w:szCs w:val="24"/>
          <w:lang w:val="ru-MD"/>
        </w:rPr>
        <w:t xml:space="preserve"> </w:t>
      </w:r>
      <w:r w:rsidR="00827CA2" w:rsidRPr="006C6F8D">
        <w:rPr>
          <w:rFonts w:asciiTheme="majorHAnsi" w:eastAsia="Times New Roman" w:hAnsiTheme="majorHAnsi" w:cstheme="majorHAnsi"/>
          <w:sz w:val="24"/>
          <w:szCs w:val="24"/>
          <w:lang w:val="ru-MD"/>
        </w:rPr>
        <w:t xml:space="preserve">млн. леев; фактических расходов </w:t>
      </w:r>
      <w:r w:rsidR="00827CA2" w:rsidRPr="006C6F8D">
        <w:rPr>
          <w:rFonts w:asciiTheme="majorHAnsi" w:hAnsiTheme="majorHAnsi" w:cstheme="majorHAnsi"/>
          <w:sz w:val="24"/>
          <w:szCs w:val="24"/>
          <w:lang w:val="ru-MD"/>
        </w:rPr>
        <w:t>– 2</w:t>
      </w:r>
      <w:r w:rsidR="00827CA2" w:rsidRPr="006C6F8D">
        <w:rPr>
          <w:rFonts w:asciiTheme="majorHAnsi" w:eastAsia="Times New Roman" w:hAnsiTheme="majorHAnsi" w:cstheme="majorHAnsi"/>
          <w:sz w:val="24"/>
          <w:szCs w:val="24"/>
          <w:lang w:val="ru-MD"/>
        </w:rPr>
        <w:t xml:space="preserve">,2 млн. леев и фактических доходов </w:t>
      </w:r>
      <w:r w:rsidR="00827CA2" w:rsidRPr="006C6F8D">
        <w:rPr>
          <w:rFonts w:asciiTheme="majorHAnsi" w:hAnsiTheme="majorHAnsi" w:cstheme="majorHAnsi"/>
          <w:sz w:val="24"/>
          <w:szCs w:val="24"/>
          <w:lang w:val="ru-MD"/>
        </w:rPr>
        <w:t>–</w:t>
      </w:r>
      <w:r w:rsidR="00827CA2" w:rsidRPr="006C6F8D">
        <w:rPr>
          <w:rFonts w:asciiTheme="majorHAnsi" w:eastAsia="Times New Roman" w:hAnsiTheme="majorHAnsi" w:cstheme="majorHAnsi"/>
          <w:sz w:val="24"/>
          <w:szCs w:val="24"/>
          <w:lang w:val="ru-MD"/>
        </w:rPr>
        <w:t xml:space="preserve"> в сумме </w:t>
      </w:r>
      <w:r w:rsidR="00827CA2" w:rsidRPr="006C6F8D">
        <w:rPr>
          <w:rFonts w:asciiTheme="majorHAnsi" w:hAnsiTheme="majorHAnsi" w:cstheme="majorHAnsi"/>
          <w:sz w:val="24"/>
          <w:szCs w:val="24"/>
          <w:lang w:val="ru-MD"/>
        </w:rPr>
        <w:t xml:space="preserve">0,27 </w:t>
      </w:r>
      <w:r w:rsidR="00827CA2" w:rsidRPr="006C6F8D">
        <w:rPr>
          <w:rFonts w:asciiTheme="majorHAnsi" w:eastAsia="Times New Roman" w:hAnsiTheme="majorHAnsi" w:cstheme="majorHAnsi"/>
          <w:sz w:val="24"/>
          <w:szCs w:val="24"/>
          <w:lang w:val="ru-MD"/>
        </w:rPr>
        <w:t xml:space="preserve">млн. леев. </w:t>
      </w:r>
    </w:p>
    <w:p w:rsidR="00827CA2" w:rsidRPr="006C6F8D" w:rsidRDefault="00827CA2" w:rsidP="00827CA2">
      <w:pPr>
        <w:spacing w:after="0" w:line="240" w:lineRule="auto"/>
        <w:ind w:firstLine="709"/>
        <w:jc w:val="both"/>
        <w:rPr>
          <w:rFonts w:asciiTheme="majorHAnsi" w:hAnsiTheme="majorHAnsi" w:cstheme="majorHAnsi"/>
          <w:sz w:val="24"/>
          <w:szCs w:val="24"/>
          <w:lang w:val="ru-MD" w:eastAsia="ru-RU"/>
        </w:rPr>
      </w:pPr>
      <w:r w:rsidRPr="006C6F8D">
        <w:rPr>
          <w:rFonts w:asciiTheme="majorHAnsi" w:hAnsiTheme="majorHAnsi" w:cstheme="majorHAnsi"/>
          <w:sz w:val="24"/>
          <w:szCs w:val="24"/>
          <w:lang w:val="ru-MD" w:eastAsia="ru-RU"/>
        </w:rPr>
        <w:t xml:space="preserve">Исходя из вышеизложенного, на основании ст.14 (2) и ст.15 </w:t>
      </w:r>
      <w:r w:rsidRPr="006C6F8D">
        <w:rPr>
          <w:rFonts w:asciiTheme="majorHAnsi" w:hAnsiTheme="majorHAnsi" w:cstheme="majorHAnsi"/>
          <w:sz w:val="24"/>
          <w:szCs w:val="24"/>
          <w:lang w:val="ru-MD"/>
        </w:rPr>
        <w:t xml:space="preserve">d) </w:t>
      </w:r>
      <w:r w:rsidRPr="006C6F8D">
        <w:rPr>
          <w:rFonts w:asciiTheme="majorHAnsi" w:hAnsiTheme="majorHAnsi" w:cstheme="majorHAnsi"/>
          <w:sz w:val="24"/>
          <w:szCs w:val="24"/>
          <w:lang w:val="ru-MD" w:eastAsia="ru-RU"/>
        </w:rPr>
        <w:t xml:space="preserve">Закона №260 от 07.12.2017 Счетная палата </w:t>
      </w:r>
    </w:p>
    <w:p w:rsidR="00827CA2" w:rsidRPr="006C6F8D" w:rsidRDefault="00827CA2" w:rsidP="00827CA2">
      <w:pPr>
        <w:spacing w:after="0" w:line="276" w:lineRule="auto"/>
        <w:ind w:firstLine="720"/>
        <w:jc w:val="center"/>
        <w:rPr>
          <w:rFonts w:asciiTheme="majorHAnsi" w:eastAsia="Times New Roman" w:hAnsiTheme="majorHAnsi" w:cstheme="majorHAnsi"/>
          <w:sz w:val="24"/>
          <w:szCs w:val="24"/>
          <w:lang w:val="ru-MD"/>
        </w:rPr>
      </w:pPr>
      <w:r w:rsidRPr="006C6F8D">
        <w:rPr>
          <w:rFonts w:asciiTheme="majorHAnsi" w:hAnsiTheme="majorHAnsi" w:cstheme="majorHAnsi"/>
          <w:b/>
          <w:bCs/>
          <w:sz w:val="24"/>
          <w:szCs w:val="24"/>
          <w:lang w:val="ru-MD" w:eastAsia="ru-RU"/>
        </w:rPr>
        <w:t>ПОСТАНОВЛЯЕТ:</w:t>
      </w:r>
    </w:p>
    <w:p w:rsidR="00827CA2" w:rsidRPr="006C6F8D" w:rsidRDefault="00A131F2" w:rsidP="00827CA2">
      <w:pPr>
        <w:spacing w:after="0" w:line="276" w:lineRule="auto"/>
        <w:ind w:firstLine="720"/>
        <w:jc w:val="both"/>
        <w:rPr>
          <w:rFonts w:asciiTheme="majorHAnsi" w:hAnsiTheme="majorHAnsi" w:cstheme="majorHAnsi"/>
          <w:sz w:val="24"/>
          <w:szCs w:val="24"/>
          <w:lang w:val="ru-MD"/>
        </w:rPr>
      </w:pPr>
      <w:r w:rsidRPr="006C6F8D">
        <w:rPr>
          <w:rFonts w:asciiTheme="majorHAnsi" w:hAnsiTheme="majorHAnsi" w:cstheme="majorHAnsi"/>
          <w:b/>
          <w:sz w:val="24"/>
          <w:szCs w:val="24"/>
          <w:lang w:val="ru-MD"/>
        </w:rPr>
        <w:t>1</w:t>
      </w:r>
      <w:r w:rsidRPr="006C6F8D">
        <w:rPr>
          <w:rFonts w:asciiTheme="majorHAnsi" w:hAnsiTheme="majorHAnsi" w:cstheme="majorHAnsi"/>
          <w:sz w:val="24"/>
          <w:szCs w:val="24"/>
          <w:lang w:val="ru-MD"/>
        </w:rPr>
        <w:t xml:space="preserve">. </w:t>
      </w:r>
      <w:r w:rsidR="00827CA2" w:rsidRPr="006C6F8D">
        <w:rPr>
          <w:rFonts w:asciiTheme="majorHAnsi" w:hAnsiTheme="majorHAnsi" w:cstheme="majorHAnsi"/>
          <w:sz w:val="24"/>
          <w:szCs w:val="24"/>
          <w:lang w:val="ru-MD"/>
        </w:rPr>
        <w:t xml:space="preserve">Утвердить </w:t>
      </w:r>
      <w:r w:rsidR="00827CA2" w:rsidRPr="006C6F8D">
        <w:rPr>
          <w:rFonts w:asciiTheme="majorHAnsi" w:eastAsia="Times New Roman" w:hAnsiTheme="majorHAnsi" w:cstheme="majorHAnsi"/>
          <w:sz w:val="24"/>
          <w:szCs w:val="24"/>
          <w:lang w:val="ru-MD"/>
        </w:rPr>
        <w:t>Отчет аудита финансовой отчетности г</w:t>
      </w:r>
      <w:r w:rsidR="00827CA2" w:rsidRPr="006C6F8D">
        <w:rPr>
          <w:rFonts w:asciiTheme="majorHAnsi" w:hAnsiTheme="majorHAnsi" w:cstheme="majorHAnsi"/>
          <w:sz w:val="24"/>
          <w:szCs w:val="24"/>
          <w:lang w:val="ru-MD"/>
        </w:rPr>
        <w:t xml:space="preserve">. Кодру, составленной по состоянию на 31.12.2017, с отрицательным мнением аудита, приложенный к настоящему </w:t>
      </w:r>
      <w:r w:rsidR="00827CA2" w:rsidRPr="006C6F8D">
        <w:rPr>
          <w:rFonts w:asciiTheme="majorHAnsi" w:eastAsia="Times New Roman" w:hAnsiTheme="majorHAnsi" w:cstheme="majorHAnsi"/>
          <w:sz w:val="24"/>
          <w:szCs w:val="24"/>
          <w:lang w:val="ru-MD" w:eastAsia="ru-RU"/>
        </w:rPr>
        <w:t>Постановлени</w:t>
      </w:r>
      <w:r w:rsidR="00827CA2" w:rsidRPr="006C6F8D">
        <w:rPr>
          <w:rFonts w:asciiTheme="majorHAnsi" w:hAnsiTheme="majorHAnsi" w:cstheme="majorHAnsi"/>
          <w:sz w:val="24"/>
          <w:szCs w:val="24"/>
          <w:lang w:val="ru-MD"/>
        </w:rPr>
        <w:t>ю.</w:t>
      </w:r>
    </w:p>
    <w:p w:rsidR="00A131F2" w:rsidRPr="006C6F8D" w:rsidRDefault="00827CA2" w:rsidP="008A3C27">
      <w:pPr>
        <w:spacing w:after="0" w:line="276" w:lineRule="auto"/>
        <w:ind w:firstLine="720"/>
        <w:jc w:val="both"/>
        <w:rPr>
          <w:rFonts w:asciiTheme="majorHAnsi" w:hAnsiTheme="majorHAnsi" w:cstheme="majorHAnsi"/>
          <w:sz w:val="24"/>
          <w:szCs w:val="24"/>
          <w:lang w:val="ru-MD"/>
        </w:rPr>
      </w:pPr>
      <w:r w:rsidRPr="006C6F8D">
        <w:rPr>
          <w:rFonts w:asciiTheme="majorHAnsi" w:hAnsiTheme="majorHAnsi" w:cstheme="majorHAnsi"/>
          <w:b/>
          <w:bCs/>
          <w:sz w:val="24"/>
          <w:szCs w:val="24"/>
          <w:lang w:val="ru-MD"/>
        </w:rPr>
        <w:t>2.</w:t>
      </w:r>
      <w:r w:rsidRPr="006C6F8D">
        <w:rPr>
          <w:rFonts w:asciiTheme="majorHAnsi" w:hAnsiTheme="majorHAnsi" w:cstheme="majorHAnsi"/>
          <w:bCs/>
          <w:sz w:val="24"/>
          <w:szCs w:val="24"/>
          <w:lang w:val="ru-MD"/>
        </w:rPr>
        <w:t xml:space="preserve"> </w:t>
      </w:r>
      <w:r w:rsidRPr="006C6F8D">
        <w:rPr>
          <w:rFonts w:asciiTheme="majorHAnsi" w:eastAsia="Calibri" w:hAnsiTheme="majorHAnsi" w:cstheme="majorHAnsi"/>
          <w:sz w:val="24"/>
          <w:szCs w:val="24"/>
          <w:lang w:val="ru-MD"/>
        </w:rPr>
        <w:t>Настоящее Постановление и Отчет аудита направить</w:t>
      </w:r>
      <w:r w:rsidR="00E038DB" w:rsidRPr="006C6F8D">
        <w:rPr>
          <w:rFonts w:asciiTheme="majorHAnsi" w:eastAsia="Calibri" w:hAnsiTheme="majorHAnsi" w:cstheme="majorHAnsi"/>
          <w:sz w:val="24"/>
          <w:szCs w:val="24"/>
          <w:lang w:val="ru-MD"/>
        </w:rPr>
        <w:t>:</w:t>
      </w:r>
    </w:p>
    <w:p w:rsidR="00E038DB" w:rsidRPr="006C6F8D" w:rsidRDefault="00A131F2" w:rsidP="00E038DB">
      <w:pPr>
        <w:pStyle w:val="aa"/>
        <w:spacing w:line="276" w:lineRule="auto"/>
        <w:ind w:firstLine="720"/>
        <w:rPr>
          <w:rFonts w:asciiTheme="majorHAnsi" w:hAnsiTheme="majorHAnsi" w:cstheme="majorHAnsi"/>
          <w:lang w:val="ru-MD"/>
        </w:rPr>
      </w:pPr>
      <w:r w:rsidRPr="006C6F8D">
        <w:rPr>
          <w:rFonts w:asciiTheme="majorHAnsi" w:hAnsiTheme="majorHAnsi" w:cstheme="majorHAnsi"/>
          <w:b/>
          <w:lang w:val="ru-MD"/>
        </w:rPr>
        <w:t>2.1.</w:t>
      </w:r>
      <w:r w:rsidRPr="006C6F8D">
        <w:rPr>
          <w:rFonts w:asciiTheme="majorHAnsi" w:hAnsiTheme="majorHAnsi" w:cstheme="majorHAnsi"/>
          <w:lang w:val="ru-MD"/>
        </w:rPr>
        <w:t xml:space="preserve"> </w:t>
      </w:r>
      <w:r w:rsidR="00E038DB" w:rsidRPr="006C6F8D">
        <w:rPr>
          <w:rFonts w:asciiTheme="majorHAnsi" w:hAnsiTheme="majorHAnsi" w:cstheme="majorHAnsi"/>
          <w:b/>
          <w:lang w:val="ru-MD"/>
        </w:rPr>
        <w:t xml:space="preserve">Совету и примару г. Кодру </w:t>
      </w:r>
      <w:r w:rsidR="00E038DB" w:rsidRPr="006C6F8D">
        <w:rPr>
          <w:rFonts w:asciiTheme="majorHAnsi" w:hAnsiTheme="majorHAnsi" w:cstheme="majorHAnsi"/>
          <w:lang w:val="ru-MD"/>
        </w:rPr>
        <w:t>для:</w:t>
      </w:r>
    </w:p>
    <w:p w:rsidR="00DB750C" w:rsidRPr="006C6F8D" w:rsidRDefault="00E038DB" w:rsidP="00E038DB">
      <w:pPr>
        <w:pStyle w:val="aa"/>
        <w:spacing w:line="276" w:lineRule="auto"/>
        <w:ind w:firstLine="720"/>
        <w:rPr>
          <w:rFonts w:asciiTheme="majorHAnsi" w:hAnsiTheme="majorHAnsi" w:cstheme="majorHAnsi"/>
          <w:lang w:val="ru-MD"/>
        </w:rPr>
      </w:pPr>
      <w:r w:rsidRPr="006C6F8D">
        <w:rPr>
          <w:rFonts w:asciiTheme="majorHAnsi" w:hAnsiTheme="majorHAnsi" w:cstheme="majorHAnsi"/>
          <w:b/>
          <w:lang w:val="ru-MD"/>
        </w:rPr>
        <w:t>2.1.1</w:t>
      </w:r>
      <w:r w:rsidRPr="006C6F8D">
        <w:rPr>
          <w:rFonts w:asciiTheme="majorHAnsi" w:hAnsiTheme="majorHAnsi" w:cstheme="majorHAnsi"/>
          <w:lang w:val="ru-MD"/>
        </w:rPr>
        <w:t>.</w:t>
      </w:r>
      <w:r w:rsidR="00DB750C" w:rsidRPr="006C6F8D">
        <w:rPr>
          <w:rFonts w:asciiTheme="majorHAnsi" w:hAnsiTheme="majorHAnsi" w:cstheme="majorHAnsi"/>
          <w:lang w:val="ru-MD"/>
        </w:rPr>
        <w:t xml:space="preserve"> </w:t>
      </w:r>
      <w:r w:rsidR="00DB750C" w:rsidRPr="006C6F8D">
        <w:rPr>
          <w:rFonts w:asciiTheme="majorHAnsi" w:hAnsiTheme="majorHAnsi" w:cstheme="majorHAnsi"/>
          <w:lang w:val="ru-MD" w:eastAsia="ru-RU"/>
        </w:rPr>
        <w:t>внедрения рекомендаций аудита, указанных в приложении к письму руководству г. Кодру;</w:t>
      </w:r>
    </w:p>
    <w:p w:rsidR="00A131F2" w:rsidRPr="006C6F8D" w:rsidRDefault="00A131F2" w:rsidP="00E038DB">
      <w:pPr>
        <w:pStyle w:val="aa"/>
        <w:spacing w:line="276" w:lineRule="auto"/>
        <w:ind w:firstLine="720"/>
        <w:rPr>
          <w:rFonts w:asciiTheme="majorHAnsi" w:hAnsiTheme="majorHAnsi" w:cstheme="majorHAnsi"/>
          <w:color w:val="000000" w:themeColor="text1"/>
          <w:lang w:val="ru-MD"/>
        </w:rPr>
      </w:pPr>
      <w:r w:rsidRPr="006C6F8D">
        <w:rPr>
          <w:rFonts w:asciiTheme="majorHAnsi" w:hAnsiTheme="majorHAnsi" w:cstheme="majorHAnsi"/>
          <w:b/>
          <w:color w:val="000000" w:themeColor="text1"/>
          <w:lang w:val="ru-MD"/>
        </w:rPr>
        <w:t>2.1.2.</w:t>
      </w:r>
      <w:r w:rsidRPr="006C6F8D">
        <w:rPr>
          <w:rFonts w:asciiTheme="majorHAnsi" w:hAnsiTheme="majorHAnsi" w:cstheme="majorHAnsi"/>
          <w:color w:val="000000" w:themeColor="text1"/>
          <w:lang w:val="ru-MD"/>
        </w:rPr>
        <w:t xml:space="preserve"> </w:t>
      </w:r>
      <w:r w:rsidR="00E038DB" w:rsidRPr="006C6F8D">
        <w:rPr>
          <w:rFonts w:asciiTheme="majorHAnsi" w:hAnsiTheme="majorHAnsi" w:cstheme="majorHAnsi"/>
          <w:color w:val="000000" w:themeColor="text1"/>
          <w:lang w:val="ru-MD"/>
        </w:rPr>
        <w:t>надлежащего проведения инвентаризации, оценки и бухгалтерского учета местного публичного имущества (земельных участков, дорог, улиц, технико-инженерной инфраструктуры публичных систем водоснабжения и канализации и др.), а также имущества созданных субъектов;</w:t>
      </w:r>
    </w:p>
    <w:p w:rsidR="00E038DB" w:rsidRPr="006C6F8D" w:rsidRDefault="00A131F2" w:rsidP="00E038DB">
      <w:pPr>
        <w:pStyle w:val="aa"/>
        <w:spacing w:line="276" w:lineRule="auto"/>
        <w:ind w:firstLine="720"/>
        <w:rPr>
          <w:rFonts w:asciiTheme="majorHAnsi" w:hAnsiTheme="majorHAnsi" w:cstheme="majorHAnsi"/>
          <w:color w:val="000000" w:themeColor="text1"/>
          <w:lang w:val="ru-MD"/>
        </w:rPr>
      </w:pPr>
      <w:r w:rsidRPr="006C6F8D">
        <w:rPr>
          <w:rFonts w:asciiTheme="majorHAnsi" w:hAnsiTheme="majorHAnsi" w:cstheme="majorHAnsi"/>
          <w:b/>
          <w:color w:val="000000" w:themeColor="text1"/>
          <w:lang w:val="ru-MD"/>
        </w:rPr>
        <w:t>2.1.3.</w:t>
      </w:r>
      <w:r w:rsidRPr="006C6F8D">
        <w:rPr>
          <w:rFonts w:asciiTheme="majorHAnsi" w:hAnsiTheme="majorHAnsi" w:cstheme="majorHAnsi"/>
          <w:color w:val="000000" w:themeColor="text1"/>
          <w:lang w:val="ru-MD"/>
        </w:rPr>
        <w:t xml:space="preserve"> </w:t>
      </w:r>
      <w:r w:rsidR="00E038DB" w:rsidRPr="006C6F8D">
        <w:rPr>
          <w:rFonts w:asciiTheme="majorHAnsi" w:hAnsiTheme="majorHAnsi" w:cstheme="majorHAnsi"/>
          <w:color w:val="000000" w:themeColor="text1"/>
          <w:lang w:val="ru-MD"/>
        </w:rPr>
        <w:t>обеспечения начисления и поступления платежей за пользование имуществом местной публичной собственности (</w:t>
      </w:r>
      <w:r w:rsidR="00E038DB" w:rsidRPr="006C6F8D">
        <w:rPr>
          <w:rFonts w:asciiTheme="majorHAnsi" w:hAnsiTheme="majorHAnsi" w:cstheme="majorHAnsi"/>
          <w:color w:val="000000" w:themeColor="text1"/>
          <w:lang w:val="ru-MD" w:eastAsia="ru-RU"/>
        </w:rPr>
        <w:t>недвижимостью, земельными участками);</w:t>
      </w:r>
      <w:r w:rsidR="00E038DB" w:rsidRPr="006C6F8D">
        <w:rPr>
          <w:rFonts w:asciiTheme="majorHAnsi" w:hAnsiTheme="majorHAnsi" w:cstheme="majorHAnsi"/>
          <w:color w:val="000000" w:themeColor="text1"/>
          <w:lang w:val="ru-MD"/>
        </w:rPr>
        <w:t xml:space="preserve"> </w:t>
      </w:r>
    </w:p>
    <w:p w:rsidR="00DB750C" w:rsidRPr="006C6F8D" w:rsidRDefault="00DB750C" w:rsidP="00DB750C">
      <w:pPr>
        <w:pStyle w:val="aa"/>
        <w:spacing w:line="276" w:lineRule="auto"/>
        <w:ind w:firstLine="720"/>
        <w:rPr>
          <w:rFonts w:asciiTheme="majorHAnsi" w:hAnsiTheme="majorHAnsi" w:cstheme="majorHAnsi"/>
          <w:lang w:val="ru-MD"/>
        </w:rPr>
      </w:pPr>
      <w:r w:rsidRPr="006C6F8D">
        <w:rPr>
          <w:rFonts w:asciiTheme="majorHAnsi" w:hAnsiTheme="majorHAnsi" w:cstheme="majorHAnsi"/>
          <w:b/>
          <w:color w:val="000000" w:themeColor="text1"/>
          <w:lang w:val="ru-MD"/>
        </w:rPr>
        <w:t>2.1.4.</w:t>
      </w:r>
      <w:r w:rsidRPr="006C6F8D">
        <w:rPr>
          <w:rFonts w:asciiTheme="majorHAnsi" w:hAnsiTheme="majorHAnsi" w:cstheme="majorHAnsi"/>
          <w:color w:val="000000" w:themeColor="text1"/>
          <w:lang w:val="ru-MD"/>
        </w:rPr>
        <w:t xml:space="preserve"> соблюдения ведения синтетического и аналитического учета остатков, начислений и оплаты налогов, сборов и других платежей, управляемых Службой по сбору местных налогов и сборов, метод</w:t>
      </w:r>
      <w:r w:rsidR="005D6C58" w:rsidRPr="006C6F8D">
        <w:rPr>
          <w:rFonts w:asciiTheme="majorHAnsi" w:hAnsiTheme="majorHAnsi" w:cstheme="majorHAnsi"/>
          <w:color w:val="000000" w:themeColor="text1"/>
          <w:lang w:val="ru-MD"/>
        </w:rPr>
        <w:t>ом</w:t>
      </w:r>
      <w:r w:rsidRPr="006C6F8D">
        <w:rPr>
          <w:rFonts w:asciiTheme="majorHAnsi" w:hAnsiTheme="majorHAnsi" w:cstheme="majorHAnsi"/>
          <w:color w:val="000000" w:themeColor="text1"/>
          <w:lang w:val="ru-MD"/>
        </w:rPr>
        <w:t xml:space="preserve"> начислений и существующей </w:t>
      </w:r>
      <w:r w:rsidRPr="006C6F8D">
        <w:rPr>
          <w:rFonts w:asciiTheme="majorHAnsi" w:hAnsiTheme="majorHAnsi" w:cstheme="majorHAnsi"/>
          <w:color w:val="000000" w:themeColor="text1"/>
          <w:lang w:val="ru-MD" w:eastAsia="ru-RU"/>
        </w:rPr>
        <w:t>законодательной базы</w:t>
      </w:r>
      <w:r w:rsidRPr="006C6F8D">
        <w:rPr>
          <w:rFonts w:asciiTheme="majorHAnsi" w:hAnsiTheme="majorHAnsi" w:cstheme="majorHAnsi"/>
          <w:lang w:val="ru-MD"/>
        </w:rPr>
        <w:t>;</w:t>
      </w:r>
    </w:p>
    <w:p w:rsidR="005D6C58" w:rsidRPr="006C6F8D" w:rsidRDefault="005D6C58" w:rsidP="005D6C58">
      <w:pPr>
        <w:pStyle w:val="aa"/>
        <w:spacing w:line="276" w:lineRule="auto"/>
        <w:ind w:firstLine="720"/>
        <w:rPr>
          <w:rFonts w:asciiTheme="majorHAnsi" w:hAnsiTheme="majorHAnsi" w:cstheme="majorHAnsi"/>
          <w:lang w:val="ru-MD"/>
        </w:rPr>
      </w:pPr>
      <w:r w:rsidRPr="006C6F8D">
        <w:rPr>
          <w:rFonts w:asciiTheme="majorHAnsi" w:hAnsiTheme="majorHAnsi" w:cstheme="majorHAnsi"/>
          <w:b/>
          <w:color w:val="000000" w:themeColor="text1"/>
          <w:lang w:val="ru-MD"/>
        </w:rPr>
        <w:t xml:space="preserve">2.1.5. </w:t>
      </w:r>
      <w:r w:rsidRPr="006C6F8D">
        <w:rPr>
          <w:rFonts w:asciiTheme="majorHAnsi" w:hAnsiTheme="majorHAnsi" w:cstheme="majorHAnsi"/>
          <w:lang w:val="ru-MD" w:eastAsia="ru-RU"/>
        </w:rPr>
        <w:t>внедрения жизненной системы внутреннего контроля, обеспечивая идентификацию основных операционных процессов и их описание</w:t>
      </w:r>
      <w:r w:rsidRPr="006C6F8D">
        <w:rPr>
          <w:rFonts w:asciiTheme="majorHAnsi" w:hAnsiTheme="majorHAnsi" w:cstheme="majorHAnsi"/>
          <w:lang w:val="ru-MD"/>
        </w:rPr>
        <w:t>;</w:t>
      </w:r>
    </w:p>
    <w:p w:rsidR="00E038DB" w:rsidRPr="006C6F8D" w:rsidRDefault="005D6C58" w:rsidP="00E038DB">
      <w:pPr>
        <w:pStyle w:val="aa"/>
        <w:spacing w:line="276" w:lineRule="auto"/>
        <w:ind w:firstLine="720"/>
        <w:rPr>
          <w:rFonts w:asciiTheme="majorHAnsi" w:hAnsiTheme="majorHAnsi" w:cstheme="majorHAnsi"/>
          <w:color w:val="000000" w:themeColor="text1"/>
          <w:lang w:val="ru-MD"/>
        </w:rPr>
      </w:pPr>
      <w:r w:rsidRPr="006C6F8D">
        <w:rPr>
          <w:rFonts w:asciiTheme="majorHAnsi" w:hAnsiTheme="majorHAnsi" w:cstheme="majorHAnsi"/>
          <w:b/>
          <w:color w:val="000000" w:themeColor="text1"/>
          <w:lang w:val="ru-MD"/>
        </w:rPr>
        <w:t xml:space="preserve">2.1.6. </w:t>
      </w:r>
      <w:r w:rsidR="00E038DB" w:rsidRPr="006C6F8D">
        <w:rPr>
          <w:rFonts w:asciiTheme="majorHAnsi" w:hAnsiTheme="majorHAnsi" w:cstheme="majorHAnsi"/>
          <w:color w:val="000000" w:themeColor="text1"/>
          <w:lang w:val="ru-MD"/>
        </w:rPr>
        <w:t xml:space="preserve">обоснования, </w:t>
      </w:r>
      <w:r w:rsidR="00E038DB" w:rsidRPr="006C6F8D">
        <w:rPr>
          <w:rFonts w:asciiTheme="majorHAnsi" w:hAnsiTheme="majorHAnsi" w:cstheme="majorHAnsi"/>
          <w:color w:val="000000" w:themeColor="text1"/>
          <w:lang w:val="ru-MD" w:eastAsia="ru-RU"/>
        </w:rPr>
        <w:t xml:space="preserve">утверждения и/или надлежащей регистрации (в Государственной канцелярии и в Министерстве финансов) штатного расписания, в том числе </w:t>
      </w:r>
      <w:r w:rsidR="00E038DB" w:rsidRPr="006C6F8D">
        <w:rPr>
          <w:rFonts w:asciiTheme="majorHAnsi" w:hAnsiTheme="majorHAnsi" w:cstheme="majorHAnsi"/>
          <w:color w:val="000000" w:themeColor="text1"/>
          <w:lang w:val="ru-MD"/>
        </w:rPr>
        <w:t>созданных субъектов, с исключением практики оплаты труда государственных служащих на основании трудовых соглашений;</w:t>
      </w:r>
    </w:p>
    <w:p w:rsidR="005D6C58" w:rsidRPr="006C6F8D" w:rsidRDefault="005D6C58" w:rsidP="005D6C58">
      <w:pPr>
        <w:pStyle w:val="aa"/>
        <w:spacing w:line="276" w:lineRule="auto"/>
        <w:ind w:firstLine="720"/>
        <w:rPr>
          <w:rFonts w:asciiTheme="majorHAnsi" w:hAnsiTheme="majorHAnsi" w:cstheme="majorHAnsi"/>
          <w:color w:val="000000" w:themeColor="text1"/>
          <w:lang w:val="ru-MD"/>
        </w:rPr>
      </w:pPr>
      <w:r w:rsidRPr="006C6F8D">
        <w:rPr>
          <w:rFonts w:asciiTheme="majorHAnsi" w:hAnsiTheme="majorHAnsi" w:cstheme="majorHAnsi"/>
          <w:b/>
          <w:lang w:val="ru-MD"/>
        </w:rPr>
        <w:t xml:space="preserve">2.1.7. </w:t>
      </w:r>
      <w:r w:rsidRPr="006C6F8D">
        <w:rPr>
          <w:rFonts w:asciiTheme="majorHAnsi" w:hAnsiTheme="majorHAnsi" w:cstheme="majorHAnsi"/>
          <w:lang w:val="ru-MD" w:eastAsia="ru-RU"/>
        </w:rPr>
        <w:t xml:space="preserve">утверждения плана на среднесрочный период по регистрации в Регистре недвижимого имущества прав на объекты недвижимого имущества (в том числе земельные участки), с ежегодным выделением из местного бюджета финансовых средств, необходимых для этой цели; </w:t>
      </w:r>
    </w:p>
    <w:p w:rsidR="00CA3B84" w:rsidRPr="006C6F8D" w:rsidRDefault="00A131F2" w:rsidP="00CA3B84">
      <w:pPr>
        <w:pStyle w:val="aa"/>
        <w:spacing w:line="276" w:lineRule="auto"/>
        <w:ind w:firstLine="720"/>
        <w:rPr>
          <w:rFonts w:asciiTheme="majorHAnsi" w:hAnsiTheme="majorHAnsi" w:cstheme="majorHAnsi"/>
          <w:color w:val="000000" w:themeColor="text1"/>
          <w:lang w:val="ru-MD"/>
        </w:rPr>
      </w:pPr>
      <w:r w:rsidRPr="006C6F8D">
        <w:rPr>
          <w:rFonts w:asciiTheme="majorHAnsi" w:hAnsiTheme="majorHAnsi" w:cstheme="majorHAnsi"/>
          <w:b/>
          <w:lang w:val="ru-MD"/>
        </w:rPr>
        <w:lastRenderedPageBreak/>
        <w:t>2.1.8.</w:t>
      </w:r>
      <w:r w:rsidRPr="006C6F8D">
        <w:rPr>
          <w:rFonts w:asciiTheme="majorHAnsi" w:hAnsiTheme="majorHAnsi" w:cstheme="majorHAnsi"/>
          <w:lang w:val="ru-MD"/>
        </w:rPr>
        <w:t xml:space="preserve"> </w:t>
      </w:r>
      <w:r w:rsidR="00CA3B84" w:rsidRPr="006C6F8D">
        <w:rPr>
          <w:rFonts w:asciiTheme="majorHAnsi" w:hAnsiTheme="majorHAnsi" w:cstheme="majorHAnsi"/>
          <w:lang w:val="ru-MD"/>
        </w:rPr>
        <w:t xml:space="preserve">декларирования </w:t>
      </w:r>
      <w:r w:rsidR="00CA3B84" w:rsidRPr="006C6F8D">
        <w:rPr>
          <w:rFonts w:asciiTheme="majorHAnsi" w:hAnsiTheme="majorHAnsi" w:cstheme="majorHAnsi"/>
          <w:color w:val="000000" w:themeColor="text1"/>
          <w:lang w:val="ru-MD"/>
        </w:rPr>
        <w:t xml:space="preserve">технико-инженерной инфраструктуры публичных систем водоснабжения и канализации из территории города как объектов публичной собственности из публичной сферы, с их последующей передачей, согласно </w:t>
      </w:r>
      <w:r w:rsidR="00CA3B84" w:rsidRPr="006C6F8D">
        <w:rPr>
          <w:rFonts w:asciiTheme="majorHAnsi" w:hAnsiTheme="majorHAnsi" w:cstheme="majorHAnsi"/>
          <w:color w:val="000000" w:themeColor="text1"/>
          <w:lang w:val="ru-MD" w:eastAsia="ru-RU"/>
        </w:rPr>
        <w:t>договор</w:t>
      </w:r>
      <w:r w:rsidR="00CA3B84" w:rsidRPr="006C6F8D">
        <w:rPr>
          <w:rFonts w:asciiTheme="majorHAnsi" w:hAnsiTheme="majorHAnsi" w:cstheme="majorHAnsi"/>
          <w:color w:val="000000" w:themeColor="text1"/>
          <w:lang w:val="ru-MD"/>
        </w:rPr>
        <w:t xml:space="preserve">у о делегировании предоставления услуг, в управление </w:t>
      </w:r>
      <w:r w:rsidR="00CA3B84" w:rsidRPr="006C6F8D">
        <w:rPr>
          <w:rFonts w:asciiTheme="majorHAnsi" w:hAnsiTheme="majorHAnsi" w:cstheme="majorHAnsi"/>
          <w:color w:val="000000" w:themeColor="text1"/>
          <w:lang w:val="ru-MD" w:eastAsia="ru-RU"/>
        </w:rPr>
        <w:t>предприятиям</w:t>
      </w:r>
      <w:r w:rsidR="00CA3B84" w:rsidRPr="006C6F8D">
        <w:rPr>
          <w:rFonts w:asciiTheme="majorHAnsi" w:hAnsiTheme="majorHAnsi" w:cstheme="majorHAnsi"/>
          <w:color w:val="000000" w:themeColor="text1"/>
          <w:lang w:val="ru-MD"/>
        </w:rPr>
        <w:t xml:space="preserve">, </w:t>
      </w:r>
      <w:r w:rsidR="005D6C58" w:rsidRPr="006C6F8D">
        <w:rPr>
          <w:rFonts w:asciiTheme="majorHAnsi" w:hAnsiTheme="majorHAnsi" w:cstheme="majorHAnsi"/>
          <w:color w:val="000000" w:themeColor="text1"/>
          <w:lang w:val="ru-MD"/>
        </w:rPr>
        <w:t>предоставля</w:t>
      </w:r>
      <w:r w:rsidR="00CA3B84" w:rsidRPr="006C6F8D">
        <w:rPr>
          <w:rFonts w:asciiTheme="majorHAnsi" w:hAnsiTheme="majorHAnsi" w:cstheme="majorHAnsi"/>
          <w:color w:val="000000" w:themeColor="text1"/>
          <w:lang w:val="ru-MD"/>
        </w:rPr>
        <w:t>ющим услуги по водоснабжению и канализации</w:t>
      </w:r>
      <w:r w:rsidR="00CA3B84" w:rsidRPr="006C6F8D">
        <w:rPr>
          <w:rFonts w:asciiTheme="majorHAnsi" w:hAnsiTheme="majorHAnsi" w:cstheme="majorHAnsi"/>
          <w:lang w:val="ru-MD"/>
        </w:rPr>
        <w:t>;</w:t>
      </w:r>
    </w:p>
    <w:p w:rsidR="005D6C58" w:rsidRPr="006C6F8D" w:rsidRDefault="00A131F2" w:rsidP="00CA3B84">
      <w:pPr>
        <w:pStyle w:val="aa"/>
        <w:spacing w:line="276" w:lineRule="auto"/>
        <w:ind w:firstLine="709"/>
        <w:rPr>
          <w:rFonts w:asciiTheme="majorHAnsi" w:hAnsiTheme="majorHAnsi" w:cstheme="majorHAnsi"/>
          <w:color w:val="000000"/>
          <w:lang w:val="ru-MD" w:eastAsia="ru-RU"/>
        </w:rPr>
      </w:pPr>
      <w:r w:rsidRPr="006C6F8D">
        <w:rPr>
          <w:rFonts w:asciiTheme="majorHAnsi" w:hAnsiTheme="majorHAnsi" w:cstheme="majorHAnsi"/>
          <w:b/>
          <w:lang w:val="ru-MD"/>
        </w:rPr>
        <w:t xml:space="preserve">2.2. </w:t>
      </w:r>
      <w:r w:rsidR="00CA3B84" w:rsidRPr="006C6F8D">
        <w:rPr>
          <w:rFonts w:asciiTheme="majorHAnsi" w:hAnsiTheme="majorHAnsi" w:cstheme="majorHAnsi"/>
          <w:b/>
          <w:color w:val="000000"/>
          <w:lang w:val="ru-MD" w:eastAsia="ru-RU"/>
        </w:rPr>
        <w:t>Государственной налоговой службе</w:t>
      </w:r>
      <w:r w:rsidR="00CA3B84" w:rsidRPr="006C6F8D">
        <w:rPr>
          <w:rFonts w:asciiTheme="majorHAnsi" w:hAnsiTheme="majorHAnsi" w:cstheme="majorHAnsi"/>
          <w:color w:val="000000"/>
          <w:lang w:val="ru-MD" w:eastAsia="ru-RU"/>
        </w:rPr>
        <w:t xml:space="preserve"> для</w:t>
      </w:r>
      <w:r w:rsidR="005D6C58" w:rsidRPr="006C6F8D">
        <w:rPr>
          <w:rFonts w:asciiTheme="majorHAnsi" w:hAnsiTheme="majorHAnsi" w:cstheme="majorHAnsi"/>
          <w:color w:val="000000"/>
          <w:lang w:val="ru-MD" w:eastAsia="ru-RU"/>
        </w:rPr>
        <w:t>:</w:t>
      </w:r>
    </w:p>
    <w:p w:rsidR="00CA3B84" w:rsidRPr="006C6F8D" w:rsidRDefault="005D6C58" w:rsidP="00CA3B84">
      <w:pPr>
        <w:pStyle w:val="aa"/>
        <w:spacing w:line="276" w:lineRule="auto"/>
        <w:ind w:firstLine="709"/>
        <w:rPr>
          <w:rFonts w:asciiTheme="majorHAnsi" w:hAnsiTheme="majorHAnsi" w:cstheme="majorHAnsi"/>
          <w:color w:val="000000" w:themeColor="text1"/>
          <w:lang w:val="ru-MD"/>
        </w:rPr>
      </w:pPr>
      <w:r w:rsidRPr="006C6F8D">
        <w:rPr>
          <w:rFonts w:asciiTheme="majorHAnsi" w:hAnsiTheme="majorHAnsi" w:cstheme="majorHAnsi"/>
          <w:b/>
          <w:color w:val="000000" w:themeColor="text1"/>
          <w:lang w:val="ru-MD"/>
        </w:rPr>
        <w:t>2.2.1</w:t>
      </w:r>
      <w:r w:rsidRPr="006C6F8D">
        <w:rPr>
          <w:rFonts w:asciiTheme="majorHAnsi" w:hAnsiTheme="majorHAnsi" w:cstheme="majorHAnsi"/>
          <w:color w:val="000000" w:themeColor="text1"/>
          <w:lang w:val="ru-MD"/>
        </w:rPr>
        <w:t xml:space="preserve">. </w:t>
      </w:r>
      <w:r w:rsidR="00CA3B84" w:rsidRPr="006C6F8D">
        <w:rPr>
          <w:rFonts w:asciiTheme="majorHAnsi" w:hAnsiTheme="majorHAnsi" w:cstheme="majorHAnsi"/>
          <w:color w:val="000000" w:themeColor="text1"/>
          <w:lang w:val="ru-MD"/>
        </w:rPr>
        <w:t>соблюдения ведения аналитического и синтетического учета остатков, начислений и оплаты налогов, сборов и других платежей методом начислени</w:t>
      </w:r>
      <w:r w:rsidRPr="006C6F8D">
        <w:rPr>
          <w:rFonts w:asciiTheme="majorHAnsi" w:hAnsiTheme="majorHAnsi" w:cstheme="majorHAnsi"/>
          <w:color w:val="000000" w:themeColor="text1"/>
          <w:lang w:val="ru-MD"/>
        </w:rPr>
        <w:t>я</w:t>
      </w:r>
      <w:r w:rsidR="00CA3B84" w:rsidRPr="006C6F8D">
        <w:rPr>
          <w:rFonts w:asciiTheme="majorHAnsi" w:hAnsiTheme="majorHAnsi" w:cstheme="majorHAnsi"/>
          <w:color w:val="000000" w:themeColor="text1"/>
          <w:lang w:val="ru-MD"/>
        </w:rPr>
        <w:t xml:space="preserve">; </w:t>
      </w:r>
    </w:p>
    <w:p w:rsidR="005D6C58" w:rsidRPr="006C6F8D" w:rsidRDefault="005D6C58" w:rsidP="00CA3B84">
      <w:pPr>
        <w:pStyle w:val="aa"/>
        <w:spacing w:line="276" w:lineRule="auto"/>
        <w:ind w:firstLine="709"/>
        <w:rPr>
          <w:rFonts w:asciiTheme="majorHAnsi" w:hAnsiTheme="majorHAnsi" w:cstheme="majorHAnsi"/>
          <w:lang w:val="ru-MD"/>
        </w:rPr>
      </w:pPr>
      <w:r w:rsidRPr="006C6F8D">
        <w:rPr>
          <w:rFonts w:asciiTheme="majorHAnsi" w:hAnsiTheme="majorHAnsi" w:cstheme="majorHAnsi"/>
          <w:b/>
          <w:color w:val="000000" w:themeColor="text1"/>
          <w:lang w:val="ru-MD"/>
        </w:rPr>
        <w:t>2.2.2</w:t>
      </w:r>
      <w:r w:rsidRPr="006C6F8D">
        <w:rPr>
          <w:rFonts w:asciiTheme="majorHAnsi" w:hAnsiTheme="majorHAnsi" w:cstheme="majorHAnsi"/>
          <w:color w:val="000000" w:themeColor="text1"/>
          <w:lang w:val="ru-MD"/>
        </w:rPr>
        <w:t>. корректировки АИС ,,Налоговый кадастр</w:t>
      </w:r>
      <w:r w:rsidRPr="006C6F8D">
        <w:rPr>
          <w:rFonts w:asciiTheme="majorHAnsi" w:hAnsiTheme="majorHAnsi" w:cstheme="majorHAnsi"/>
          <w:lang w:val="ru-MD"/>
        </w:rPr>
        <w:t xml:space="preserve">” в целях устранения ошибок при расчете налога на </w:t>
      </w:r>
      <w:r w:rsidRPr="006C6F8D">
        <w:rPr>
          <w:rFonts w:asciiTheme="majorHAnsi" w:hAnsiTheme="majorHAnsi" w:cstheme="majorHAnsi"/>
          <w:lang w:val="ru-MD" w:eastAsia="ru-RU"/>
        </w:rPr>
        <w:t>недвижимое имущество;</w:t>
      </w:r>
    </w:p>
    <w:p w:rsidR="00CA3B84" w:rsidRPr="006C6F8D" w:rsidRDefault="00A131F2" w:rsidP="005F74E0">
      <w:pPr>
        <w:pStyle w:val="aa"/>
        <w:spacing w:line="276" w:lineRule="auto"/>
        <w:ind w:firstLine="720"/>
        <w:rPr>
          <w:rFonts w:asciiTheme="majorHAnsi" w:hAnsiTheme="majorHAnsi" w:cstheme="majorHAnsi"/>
          <w:lang w:val="ru-MD"/>
        </w:rPr>
      </w:pPr>
      <w:r w:rsidRPr="006C6F8D">
        <w:rPr>
          <w:rFonts w:asciiTheme="majorHAnsi" w:hAnsiTheme="majorHAnsi" w:cstheme="majorHAnsi"/>
          <w:b/>
          <w:lang w:val="ru-MD"/>
        </w:rPr>
        <w:t xml:space="preserve">2.3. </w:t>
      </w:r>
      <w:r w:rsidR="00CA3B84" w:rsidRPr="006C6F8D">
        <w:rPr>
          <w:rFonts w:asciiTheme="majorHAnsi" w:hAnsiTheme="majorHAnsi" w:cstheme="majorHAnsi"/>
          <w:b/>
          <w:lang w:val="ru-MD"/>
        </w:rPr>
        <w:t xml:space="preserve">Министерству финансов </w:t>
      </w:r>
      <w:r w:rsidR="00CA3B84" w:rsidRPr="006C6F8D">
        <w:rPr>
          <w:rFonts w:asciiTheme="majorHAnsi" w:hAnsiTheme="majorHAnsi" w:cstheme="majorHAnsi"/>
          <w:lang w:val="ru-MD"/>
        </w:rPr>
        <w:t>для</w:t>
      </w:r>
      <w:r w:rsidR="005F74E0" w:rsidRPr="006C6F8D">
        <w:rPr>
          <w:rFonts w:asciiTheme="majorHAnsi" w:hAnsiTheme="majorHAnsi" w:cstheme="majorHAnsi"/>
          <w:lang w:val="ru-MD"/>
        </w:rPr>
        <w:t xml:space="preserve"> </w:t>
      </w:r>
      <w:r w:rsidR="00CA3B84" w:rsidRPr="006C6F8D">
        <w:rPr>
          <w:rFonts w:asciiTheme="majorHAnsi" w:hAnsiTheme="majorHAnsi" w:cstheme="majorHAnsi"/>
          <w:lang w:val="ru-MD"/>
        </w:rPr>
        <w:t>применения нормативной базы относительно не</w:t>
      </w:r>
      <w:r w:rsidR="00CA3B84" w:rsidRPr="006C6F8D">
        <w:rPr>
          <w:rFonts w:asciiTheme="majorHAnsi" w:hAnsiTheme="majorHAnsi" w:cstheme="majorHAnsi"/>
          <w:lang w:val="ru-MD" w:eastAsia="ru-RU"/>
        </w:rPr>
        <w:t>использования</w:t>
      </w:r>
      <w:r w:rsidR="00CA3B84" w:rsidRPr="006C6F8D">
        <w:rPr>
          <w:rFonts w:asciiTheme="majorHAnsi" w:hAnsiTheme="majorHAnsi" w:cstheme="majorHAnsi"/>
          <w:lang w:val="ru-MD"/>
        </w:rPr>
        <w:t xml:space="preserve"> в 2017 году Примэрией г. Кодру трансфертов </w:t>
      </w:r>
      <w:r w:rsidR="00CA3B84" w:rsidRPr="006C6F8D">
        <w:rPr>
          <w:rFonts w:asciiTheme="majorHAnsi" w:hAnsiTheme="majorHAnsi" w:cstheme="majorHAnsi"/>
          <w:iCs/>
          <w:lang w:val="ru-MD" w:eastAsia="ru-RU"/>
        </w:rPr>
        <w:t xml:space="preserve">специального назначения </w:t>
      </w:r>
      <w:r w:rsidR="00CA3B84" w:rsidRPr="006C6F8D">
        <w:rPr>
          <w:rFonts w:asciiTheme="majorHAnsi" w:hAnsiTheme="majorHAnsi" w:cstheme="majorHAnsi"/>
          <w:lang w:val="ru-MD"/>
        </w:rPr>
        <w:t xml:space="preserve">в сумме 372,4 </w:t>
      </w:r>
      <w:r w:rsidR="00CA3B84" w:rsidRPr="006C6F8D">
        <w:rPr>
          <w:rFonts w:asciiTheme="majorHAnsi" w:hAnsiTheme="majorHAnsi" w:cstheme="majorHAnsi"/>
          <w:color w:val="000000"/>
          <w:spacing w:val="-4"/>
          <w:shd w:val="clear" w:color="auto" w:fill="FFFFFF"/>
          <w:lang w:val="ru-MD"/>
        </w:rPr>
        <w:t>тыс. леев</w:t>
      </w:r>
      <w:r w:rsidR="005F74E0" w:rsidRPr="006C6F8D">
        <w:rPr>
          <w:rFonts w:asciiTheme="majorHAnsi" w:hAnsiTheme="majorHAnsi" w:cstheme="majorHAnsi"/>
          <w:color w:val="000000"/>
          <w:spacing w:val="-4"/>
          <w:shd w:val="clear" w:color="auto" w:fill="FFFFFF"/>
          <w:lang w:val="ru-MD"/>
        </w:rPr>
        <w:t>;</w:t>
      </w:r>
      <w:r w:rsidR="00CA3B84" w:rsidRPr="006C6F8D">
        <w:rPr>
          <w:rFonts w:asciiTheme="majorHAnsi" w:hAnsiTheme="majorHAnsi" w:cstheme="majorHAnsi"/>
          <w:lang w:val="ru-MD"/>
        </w:rPr>
        <w:t xml:space="preserve"> </w:t>
      </w:r>
    </w:p>
    <w:p w:rsidR="00DA7565" w:rsidRPr="006C6F8D" w:rsidRDefault="00A131F2" w:rsidP="00A131F2">
      <w:pPr>
        <w:pStyle w:val="aa"/>
        <w:spacing w:line="276" w:lineRule="auto"/>
        <w:ind w:firstLine="720"/>
        <w:rPr>
          <w:rFonts w:asciiTheme="majorHAnsi" w:hAnsiTheme="majorHAnsi" w:cstheme="majorHAnsi"/>
          <w:lang w:val="ru-MD"/>
        </w:rPr>
      </w:pPr>
      <w:r w:rsidRPr="006C6F8D">
        <w:rPr>
          <w:rFonts w:asciiTheme="majorHAnsi" w:hAnsiTheme="majorHAnsi" w:cstheme="majorHAnsi"/>
          <w:b/>
          <w:lang w:val="ru-MD"/>
        </w:rPr>
        <w:t xml:space="preserve">2.4. </w:t>
      </w:r>
      <w:r w:rsidR="00DA7565" w:rsidRPr="006C6F8D">
        <w:rPr>
          <w:rFonts w:asciiTheme="majorHAnsi" w:hAnsiTheme="majorHAnsi" w:cstheme="majorHAnsi"/>
          <w:b/>
          <w:lang w:val="ru-MD"/>
        </w:rPr>
        <w:t xml:space="preserve">Государственной канцелярии </w:t>
      </w:r>
      <w:r w:rsidR="005F74E0" w:rsidRPr="006C6F8D">
        <w:rPr>
          <w:rFonts w:asciiTheme="majorHAnsi" w:hAnsiTheme="majorHAnsi" w:cstheme="majorHAnsi"/>
          <w:b/>
          <w:lang w:val="ru-MD"/>
        </w:rPr>
        <w:t>и</w:t>
      </w:r>
      <w:r w:rsidR="005F74E0" w:rsidRPr="006C6F8D">
        <w:rPr>
          <w:rFonts w:asciiTheme="majorHAnsi" w:hAnsiTheme="majorHAnsi" w:cstheme="majorHAnsi"/>
          <w:lang w:val="ru-MD"/>
        </w:rPr>
        <w:t xml:space="preserve"> </w:t>
      </w:r>
      <w:r w:rsidR="005F74E0" w:rsidRPr="006C6F8D">
        <w:rPr>
          <w:rFonts w:asciiTheme="majorHAnsi" w:hAnsiTheme="majorHAnsi" w:cstheme="majorHAnsi"/>
          <w:b/>
          <w:lang w:val="ru-MD"/>
        </w:rPr>
        <w:t xml:space="preserve">Территориальному офису Кишинэу Государственной канцелярии </w:t>
      </w:r>
      <w:r w:rsidR="00DA7565" w:rsidRPr="006C6F8D">
        <w:rPr>
          <w:rFonts w:asciiTheme="majorHAnsi" w:hAnsiTheme="majorHAnsi" w:cstheme="majorHAnsi"/>
          <w:lang w:val="ru-MD"/>
        </w:rPr>
        <w:t>для:</w:t>
      </w:r>
    </w:p>
    <w:p w:rsidR="005F74E0" w:rsidRPr="006C6F8D" w:rsidRDefault="00A131F2" w:rsidP="00DA7565">
      <w:pPr>
        <w:pStyle w:val="aa"/>
        <w:spacing w:line="276" w:lineRule="auto"/>
        <w:ind w:firstLine="720"/>
        <w:rPr>
          <w:rFonts w:asciiTheme="majorHAnsi" w:hAnsiTheme="majorHAnsi" w:cstheme="majorHAnsi"/>
          <w:lang w:val="ru-MD" w:eastAsia="ru-RU"/>
        </w:rPr>
      </w:pPr>
      <w:r w:rsidRPr="006C6F8D">
        <w:rPr>
          <w:rFonts w:asciiTheme="majorHAnsi" w:hAnsiTheme="majorHAnsi" w:cstheme="majorHAnsi"/>
          <w:b/>
          <w:lang w:val="ru-MD"/>
        </w:rPr>
        <w:t>2.4.1.</w:t>
      </w:r>
      <w:r w:rsidRPr="006C6F8D">
        <w:rPr>
          <w:rFonts w:asciiTheme="majorHAnsi" w:hAnsiTheme="majorHAnsi" w:cstheme="majorHAnsi"/>
          <w:lang w:val="ru-MD"/>
        </w:rPr>
        <w:t xml:space="preserve"> </w:t>
      </w:r>
      <w:r w:rsidR="005F74E0" w:rsidRPr="006C6F8D">
        <w:rPr>
          <w:rFonts w:asciiTheme="majorHAnsi" w:hAnsiTheme="majorHAnsi" w:cstheme="majorHAnsi"/>
          <w:lang w:val="ru-MD"/>
        </w:rPr>
        <w:t xml:space="preserve">обеспечения единообразия административного контроля за решениями </w:t>
      </w:r>
      <w:r w:rsidR="005F74E0" w:rsidRPr="006C6F8D">
        <w:rPr>
          <w:rFonts w:asciiTheme="majorHAnsi" w:hAnsiTheme="majorHAnsi" w:cstheme="majorHAnsi"/>
          <w:lang w:val="ru-MD" w:eastAsia="ru-RU"/>
        </w:rPr>
        <w:t>органов местного публичного управления;</w:t>
      </w:r>
    </w:p>
    <w:p w:rsidR="005F74E0" w:rsidRPr="006C6F8D" w:rsidRDefault="005F74E0" w:rsidP="005F74E0">
      <w:pPr>
        <w:pStyle w:val="aa"/>
        <w:spacing w:line="276" w:lineRule="auto"/>
        <w:ind w:firstLine="720"/>
        <w:rPr>
          <w:rFonts w:asciiTheme="majorHAnsi" w:hAnsiTheme="majorHAnsi" w:cstheme="majorHAnsi"/>
          <w:lang w:val="ru-MD" w:eastAsia="ru-RU"/>
        </w:rPr>
      </w:pPr>
      <w:r w:rsidRPr="006C6F8D">
        <w:rPr>
          <w:rFonts w:asciiTheme="majorHAnsi" w:hAnsiTheme="majorHAnsi" w:cstheme="majorHAnsi"/>
          <w:b/>
          <w:lang w:val="ru-MD" w:eastAsia="ru-RU"/>
        </w:rPr>
        <w:t>2.4.2</w:t>
      </w:r>
      <w:r w:rsidRPr="006C6F8D">
        <w:rPr>
          <w:rFonts w:asciiTheme="majorHAnsi" w:hAnsiTheme="majorHAnsi" w:cstheme="majorHAnsi"/>
          <w:lang w:val="ru-MD" w:eastAsia="ru-RU"/>
        </w:rPr>
        <w:t xml:space="preserve">. информирования о несоблюдении органами местного публичного управления нормативной базы касательно представления </w:t>
      </w:r>
      <w:r w:rsidRPr="006C6F8D">
        <w:rPr>
          <w:rFonts w:asciiTheme="majorHAnsi" w:hAnsiTheme="majorHAnsi"/>
          <w:szCs w:val="28"/>
          <w:lang w:val="ru-MD" w:eastAsia="ru-RU"/>
        </w:rPr>
        <w:t>Государственной канцеляр</w:t>
      </w:r>
      <w:r w:rsidRPr="006C6F8D">
        <w:rPr>
          <w:rFonts w:asciiTheme="majorHAnsi" w:hAnsiTheme="majorHAnsi" w:cstheme="majorHAnsi"/>
          <w:lang w:val="ru-MD" w:eastAsia="ru-RU"/>
        </w:rPr>
        <w:t>ии для согласования штатных расписаний;</w:t>
      </w:r>
    </w:p>
    <w:p w:rsidR="00A131F2" w:rsidRPr="006C6F8D" w:rsidRDefault="00A131F2" w:rsidP="006A377A">
      <w:pPr>
        <w:spacing w:after="0" w:line="276" w:lineRule="auto"/>
        <w:ind w:firstLine="720"/>
        <w:jc w:val="both"/>
        <w:rPr>
          <w:rFonts w:asciiTheme="majorHAnsi" w:eastAsia="Times New Roman" w:hAnsiTheme="majorHAnsi" w:cstheme="majorHAnsi"/>
          <w:bCs/>
          <w:sz w:val="24"/>
          <w:szCs w:val="24"/>
          <w:lang w:val="ru-MD"/>
        </w:rPr>
      </w:pPr>
      <w:r w:rsidRPr="006C6F8D">
        <w:rPr>
          <w:rFonts w:asciiTheme="majorHAnsi" w:eastAsia="Times New Roman" w:hAnsiTheme="majorHAnsi" w:cstheme="majorHAnsi"/>
          <w:b/>
          <w:bCs/>
          <w:sz w:val="24"/>
          <w:szCs w:val="24"/>
          <w:lang w:val="ru-MD"/>
        </w:rPr>
        <w:t xml:space="preserve">2.5. </w:t>
      </w:r>
      <w:r w:rsidR="006A377A" w:rsidRPr="006C6F8D">
        <w:rPr>
          <w:rFonts w:asciiTheme="majorHAnsi" w:eastAsia="Times New Roman" w:hAnsiTheme="majorHAnsi" w:cstheme="majorHAnsi"/>
          <w:b/>
          <w:bCs/>
          <w:sz w:val="24"/>
          <w:szCs w:val="24"/>
          <w:lang w:val="ru-MD" w:eastAsia="ru-RU"/>
        </w:rPr>
        <w:t xml:space="preserve">Правительству </w:t>
      </w:r>
      <w:r w:rsidR="006A377A" w:rsidRPr="006C6F8D">
        <w:rPr>
          <w:rFonts w:asciiTheme="majorHAnsi" w:eastAsia="Times New Roman" w:hAnsiTheme="majorHAnsi" w:cstheme="majorHAnsi"/>
          <w:bCs/>
          <w:sz w:val="24"/>
          <w:szCs w:val="24"/>
          <w:lang w:val="ru-MD" w:eastAsia="ru-RU"/>
        </w:rPr>
        <w:t>для ознакомления и занятия позиции;</w:t>
      </w:r>
    </w:p>
    <w:p w:rsidR="006A377A" w:rsidRPr="006C6F8D" w:rsidRDefault="00A131F2" w:rsidP="006A377A">
      <w:pPr>
        <w:spacing w:after="0" w:line="276" w:lineRule="auto"/>
        <w:ind w:firstLine="720"/>
        <w:jc w:val="both"/>
        <w:rPr>
          <w:rFonts w:asciiTheme="majorHAnsi" w:hAnsiTheme="majorHAnsi" w:cstheme="majorHAnsi"/>
          <w:sz w:val="24"/>
          <w:szCs w:val="24"/>
          <w:lang w:val="ru-MD"/>
        </w:rPr>
      </w:pPr>
      <w:r w:rsidRPr="006C6F8D">
        <w:rPr>
          <w:rFonts w:asciiTheme="majorHAnsi" w:eastAsia="Times New Roman" w:hAnsiTheme="majorHAnsi" w:cstheme="majorHAnsi"/>
          <w:b/>
          <w:sz w:val="24"/>
          <w:szCs w:val="24"/>
          <w:lang w:val="ru-MD"/>
        </w:rPr>
        <w:t>2.6.</w:t>
      </w:r>
      <w:r w:rsidRPr="006C6F8D">
        <w:rPr>
          <w:rFonts w:asciiTheme="majorHAnsi" w:eastAsia="Times New Roman" w:hAnsiTheme="majorHAnsi" w:cstheme="majorHAnsi"/>
          <w:b/>
          <w:bCs/>
          <w:sz w:val="24"/>
          <w:szCs w:val="24"/>
          <w:lang w:val="ru-MD"/>
        </w:rPr>
        <w:t xml:space="preserve"> </w:t>
      </w:r>
      <w:r w:rsidR="006A377A" w:rsidRPr="006C6F8D">
        <w:rPr>
          <w:rFonts w:asciiTheme="majorHAnsi" w:eastAsia="Times New Roman" w:hAnsiTheme="majorHAnsi" w:cstheme="majorHAnsi"/>
          <w:b/>
          <w:bCs/>
          <w:sz w:val="24"/>
          <w:szCs w:val="24"/>
          <w:lang w:val="ru-MD"/>
        </w:rPr>
        <w:t xml:space="preserve">Парламенту </w:t>
      </w:r>
      <w:r w:rsidR="006A377A" w:rsidRPr="006C6F8D">
        <w:rPr>
          <w:rFonts w:asciiTheme="majorHAnsi" w:hAnsiTheme="majorHAnsi" w:cstheme="majorHAnsi"/>
          <w:sz w:val="24"/>
          <w:szCs w:val="24"/>
          <w:lang w:val="ru-MD"/>
        </w:rPr>
        <w:t>для информирования.</w:t>
      </w:r>
    </w:p>
    <w:p w:rsidR="005F74E0" w:rsidRPr="006C6F8D" w:rsidRDefault="005F74E0" w:rsidP="006A377A">
      <w:pPr>
        <w:spacing w:after="0" w:line="276" w:lineRule="auto"/>
        <w:ind w:firstLine="720"/>
        <w:jc w:val="both"/>
        <w:rPr>
          <w:rFonts w:asciiTheme="majorHAnsi" w:eastAsia="Times New Roman" w:hAnsiTheme="majorHAnsi" w:cstheme="majorHAnsi"/>
          <w:bCs/>
          <w:sz w:val="24"/>
          <w:szCs w:val="24"/>
          <w:lang w:val="ru-MD"/>
        </w:rPr>
      </w:pPr>
      <w:r w:rsidRPr="006C6F8D">
        <w:rPr>
          <w:rFonts w:asciiTheme="majorHAnsi" w:hAnsiTheme="majorHAnsi" w:cstheme="majorHAnsi"/>
          <w:b/>
          <w:sz w:val="24"/>
          <w:szCs w:val="24"/>
          <w:lang w:val="ru-MD"/>
        </w:rPr>
        <w:t xml:space="preserve">3. </w:t>
      </w:r>
      <w:r w:rsidRPr="006C6F8D">
        <w:rPr>
          <w:rFonts w:asciiTheme="majorHAnsi" w:hAnsiTheme="majorHAnsi" w:cstheme="majorHAnsi"/>
          <w:sz w:val="24"/>
          <w:szCs w:val="24"/>
          <w:lang w:val="ru-MD"/>
        </w:rPr>
        <w:t xml:space="preserve">Уполномочить члена </w:t>
      </w:r>
      <w:r w:rsidRPr="006C6F8D">
        <w:rPr>
          <w:rFonts w:asciiTheme="majorHAnsi" w:eastAsia="Times New Roman" w:hAnsiTheme="majorHAnsi" w:cstheme="majorHAnsi"/>
          <w:bCs/>
          <w:sz w:val="24"/>
          <w:szCs w:val="24"/>
          <w:lang w:val="ru-MD" w:eastAsia="ru-RU"/>
        </w:rPr>
        <w:t xml:space="preserve">Счетной палаты, ответственного за координирование соответствующей области, подписать письмо руководству аудируемого субъекта. </w:t>
      </w:r>
    </w:p>
    <w:p w:rsidR="006A377A" w:rsidRPr="006C6F8D" w:rsidRDefault="005F74E0" w:rsidP="006A377A">
      <w:pPr>
        <w:spacing w:after="0" w:line="276" w:lineRule="auto"/>
        <w:ind w:firstLine="720"/>
        <w:jc w:val="both"/>
        <w:rPr>
          <w:rFonts w:asciiTheme="majorHAnsi" w:hAnsiTheme="majorHAnsi" w:cstheme="majorHAnsi"/>
          <w:sz w:val="24"/>
          <w:szCs w:val="24"/>
          <w:lang w:val="ru-MD"/>
        </w:rPr>
      </w:pPr>
      <w:r w:rsidRPr="006C6F8D">
        <w:rPr>
          <w:rFonts w:asciiTheme="majorHAnsi" w:hAnsiTheme="majorHAnsi" w:cstheme="majorHAnsi"/>
          <w:b/>
          <w:sz w:val="24"/>
          <w:szCs w:val="24"/>
          <w:lang w:val="ru-MD"/>
        </w:rPr>
        <w:t xml:space="preserve">4. </w:t>
      </w:r>
      <w:r w:rsidR="006A377A" w:rsidRPr="006C6F8D">
        <w:rPr>
          <w:rFonts w:asciiTheme="majorHAnsi" w:hAnsiTheme="majorHAnsi" w:cstheme="majorHAnsi"/>
          <w:sz w:val="24"/>
          <w:szCs w:val="24"/>
          <w:lang w:val="ru-MD"/>
        </w:rPr>
        <w:t xml:space="preserve">Настоящее </w:t>
      </w:r>
      <w:r w:rsidR="006A377A" w:rsidRPr="006C6F8D">
        <w:rPr>
          <w:rFonts w:asciiTheme="majorHAnsi" w:eastAsia="Times New Roman" w:hAnsiTheme="majorHAnsi" w:cstheme="majorHAnsi"/>
          <w:sz w:val="24"/>
          <w:szCs w:val="24"/>
          <w:lang w:val="ru-MD" w:eastAsia="ru-RU"/>
        </w:rPr>
        <w:t>Постановлени</w:t>
      </w:r>
      <w:r w:rsidR="006A377A" w:rsidRPr="006C6F8D">
        <w:rPr>
          <w:rFonts w:asciiTheme="majorHAnsi" w:hAnsiTheme="majorHAnsi" w:cstheme="majorHAnsi"/>
          <w:sz w:val="24"/>
          <w:szCs w:val="24"/>
          <w:lang w:val="ru-MD"/>
        </w:rPr>
        <w:t xml:space="preserve">е вступает в силу с даты публикации в Официальном мониторе </w:t>
      </w:r>
      <w:r w:rsidR="006A377A" w:rsidRPr="006C6F8D">
        <w:rPr>
          <w:rFonts w:asciiTheme="majorHAnsi" w:eastAsia="Times New Roman" w:hAnsiTheme="majorHAnsi" w:cstheme="majorHAnsi"/>
          <w:sz w:val="24"/>
          <w:szCs w:val="24"/>
          <w:lang w:val="ru-MD" w:eastAsia="ru-RU"/>
        </w:rPr>
        <w:t>Республики Молдова.</w:t>
      </w:r>
    </w:p>
    <w:p w:rsidR="006A377A" w:rsidRPr="006C6F8D" w:rsidRDefault="005F74E0" w:rsidP="006A377A">
      <w:pPr>
        <w:pStyle w:val="aa"/>
        <w:spacing w:line="276" w:lineRule="auto"/>
        <w:ind w:firstLine="709"/>
        <w:rPr>
          <w:rFonts w:asciiTheme="majorHAnsi" w:hAnsiTheme="majorHAnsi" w:cstheme="majorHAnsi"/>
          <w:lang w:val="ru-MD" w:eastAsia="ru-RU"/>
        </w:rPr>
      </w:pPr>
      <w:r w:rsidRPr="006C6F8D">
        <w:rPr>
          <w:rFonts w:asciiTheme="majorHAnsi" w:hAnsiTheme="majorHAnsi" w:cstheme="majorHAnsi"/>
          <w:b/>
          <w:bCs/>
          <w:lang w:val="ru-MD"/>
        </w:rPr>
        <w:t>5.</w:t>
      </w:r>
      <w:r w:rsidRPr="006C6F8D">
        <w:rPr>
          <w:rFonts w:asciiTheme="majorHAnsi" w:hAnsiTheme="majorHAnsi" w:cstheme="majorHAnsi"/>
          <w:bCs/>
          <w:lang w:val="ru-MD"/>
        </w:rPr>
        <w:t xml:space="preserve"> </w:t>
      </w:r>
      <w:r w:rsidR="006A377A" w:rsidRPr="006C6F8D">
        <w:rPr>
          <w:rFonts w:asciiTheme="majorHAnsi" w:hAnsiTheme="majorHAnsi" w:cstheme="majorHAnsi"/>
          <w:bCs/>
          <w:lang w:val="ru-MD"/>
        </w:rPr>
        <w:t xml:space="preserve">О предпринятых действиях по </w:t>
      </w:r>
      <w:r w:rsidR="006A377A" w:rsidRPr="006C6F8D">
        <w:rPr>
          <w:rFonts w:asciiTheme="majorHAnsi" w:hAnsiTheme="majorHAnsi" w:cstheme="majorHAnsi"/>
          <w:bCs/>
          <w:lang w:val="ru-MD" w:eastAsia="ro-RO"/>
        </w:rPr>
        <w:t xml:space="preserve">выполнению подпунктов </w:t>
      </w:r>
      <w:r w:rsidR="006A377A" w:rsidRPr="006C6F8D">
        <w:rPr>
          <w:rFonts w:asciiTheme="majorHAnsi" w:hAnsiTheme="majorHAnsi" w:cstheme="majorHAnsi"/>
          <w:lang w:val="ru-MD"/>
        </w:rPr>
        <w:t>2.1.</w:t>
      </w:r>
      <w:r w:rsidR="006A377A" w:rsidRPr="006C6F8D">
        <w:rPr>
          <w:rFonts w:asciiTheme="majorHAnsi" w:hAnsiTheme="majorHAnsi" w:cstheme="majorHAnsi"/>
          <w:bCs/>
          <w:lang w:val="ru-MD"/>
        </w:rPr>
        <w:t xml:space="preserve"> - 2.4. </w:t>
      </w:r>
      <w:r w:rsidR="006A377A" w:rsidRPr="006C6F8D">
        <w:rPr>
          <w:rFonts w:asciiTheme="majorHAnsi" w:hAnsiTheme="majorHAnsi" w:cstheme="majorHAnsi"/>
          <w:lang w:val="ru-MD"/>
        </w:rPr>
        <w:t xml:space="preserve">из настоящего </w:t>
      </w:r>
      <w:r w:rsidR="006A377A" w:rsidRPr="006C6F8D">
        <w:rPr>
          <w:rFonts w:asciiTheme="majorHAnsi" w:hAnsiTheme="majorHAnsi" w:cstheme="majorHAnsi"/>
          <w:lang w:val="ru-MD" w:eastAsia="ru-RU"/>
        </w:rPr>
        <w:t>Постановлени</w:t>
      </w:r>
      <w:r w:rsidR="006A377A" w:rsidRPr="006C6F8D">
        <w:rPr>
          <w:rFonts w:asciiTheme="majorHAnsi" w:hAnsiTheme="majorHAnsi" w:cstheme="majorHAnsi"/>
          <w:lang w:val="ru-MD"/>
        </w:rPr>
        <w:t xml:space="preserve">я информировать </w:t>
      </w:r>
      <w:r w:rsidR="006A377A" w:rsidRPr="006C6F8D">
        <w:rPr>
          <w:rFonts w:asciiTheme="majorHAnsi" w:hAnsiTheme="majorHAnsi" w:cstheme="majorHAnsi"/>
          <w:lang w:val="ru-MD" w:eastAsia="ru-RU"/>
        </w:rPr>
        <w:t>Счетную палату ежеквартально, в течение 12 месяцев с даты публикации Постановления.</w:t>
      </w:r>
    </w:p>
    <w:p w:rsidR="006A377A" w:rsidRPr="006C6F8D" w:rsidRDefault="004F672D" w:rsidP="006A377A">
      <w:pPr>
        <w:spacing w:after="0" w:line="276" w:lineRule="auto"/>
        <w:ind w:firstLine="720"/>
        <w:jc w:val="both"/>
        <w:rPr>
          <w:rFonts w:asciiTheme="majorHAnsi" w:eastAsia="Times New Roman" w:hAnsiTheme="majorHAnsi" w:cstheme="majorHAnsi"/>
          <w:sz w:val="24"/>
          <w:szCs w:val="24"/>
          <w:lang w:val="ru-MD" w:eastAsia="ro-MD"/>
        </w:rPr>
      </w:pPr>
      <w:r w:rsidRPr="006C6F8D">
        <w:rPr>
          <w:rFonts w:asciiTheme="majorHAnsi" w:hAnsiTheme="majorHAnsi" w:cstheme="majorHAnsi"/>
          <w:b/>
          <w:sz w:val="24"/>
          <w:szCs w:val="24"/>
          <w:lang w:val="ru-MD"/>
        </w:rPr>
        <w:t>6</w:t>
      </w:r>
      <w:r w:rsidR="006A377A" w:rsidRPr="006C6F8D">
        <w:rPr>
          <w:rFonts w:asciiTheme="majorHAnsi" w:hAnsiTheme="majorHAnsi" w:cstheme="majorHAnsi"/>
          <w:b/>
          <w:sz w:val="24"/>
          <w:szCs w:val="24"/>
          <w:lang w:val="ru-MD"/>
        </w:rPr>
        <w:t>.</w:t>
      </w:r>
      <w:r w:rsidR="006A377A" w:rsidRPr="006C6F8D">
        <w:rPr>
          <w:rFonts w:asciiTheme="majorHAnsi" w:hAnsiTheme="majorHAnsi" w:cstheme="majorHAnsi"/>
          <w:sz w:val="24"/>
          <w:szCs w:val="24"/>
          <w:lang w:val="ru-MD"/>
        </w:rPr>
        <w:t xml:space="preserve"> Отчет аудита публикуется на официальном сайте Счетной палаты (</w:t>
      </w:r>
      <w:r w:rsidR="006A377A" w:rsidRPr="006C6F8D">
        <w:rPr>
          <w:rFonts w:asciiTheme="majorHAnsi" w:hAnsiTheme="majorHAnsi" w:cstheme="majorHAnsi"/>
          <w:sz w:val="24"/>
          <w:szCs w:val="24"/>
          <w:u w:val="single"/>
          <w:lang w:val="ru-MD"/>
        </w:rPr>
        <w:t>http://www.ccrm.md/hotariri-si-rapoarte-1-95</w:t>
      </w:r>
      <w:r w:rsidR="006A377A" w:rsidRPr="006C6F8D">
        <w:rPr>
          <w:rFonts w:asciiTheme="majorHAnsi" w:hAnsiTheme="majorHAnsi" w:cstheme="majorHAnsi"/>
          <w:sz w:val="24"/>
          <w:szCs w:val="24"/>
          <w:lang w:val="ru-MD"/>
        </w:rPr>
        <w:t>)</w:t>
      </w:r>
      <w:r w:rsidR="006A377A" w:rsidRPr="006C6F8D">
        <w:rPr>
          <w:rFonts w:asciiTheme="majorHAnsi" w:eastAsia="Times New Roman" w:hAnsiTheme="majorHAnsi" w:cstheme="majorHAnsi"/>
          <w:sz w:val="24"/>
          <w:szCs w:val="24"/>
          <w:lang w:val="ru-MD"/>
        </w:rPr>
        <w:t>.</w:t>
      </w:r>
    </w:p>
    <w:p w:rsidR="00A131F2" w:rsidRPr="006C6F8D" w:rsidRDefault="00A131F2" w:rsidP="00A131F2">
      <w:pPr>
        <w:tabs>
          <w:tab w:val="left" w:pos="2595"/>
          <w:tab w:val="center" w:pos="5031"/>
        </w:tabs>
        <w:spacing w:line="276" w:lineRule="auto"/>
        <w:ind w:firstLine="708"/>
        <w:jc w:val="right"/>
        <w:rPr>
          <w:rFonts w:asciiTheme="majorHAnsi" w:hAnsiTheme="majorHAnsi" w:cstheme="majorHAnsi"/>
          <w:sz w:val="24"/>
          <w:szCs w:val="24"/>
          <w:lang w:val="ru-MD"/>
        </w:rPr>
      </w:pPr>
    </w:p>
    <w:p w:rsidR="004F672D" w:rsidRPr="006C6F8D" w:rsidRDefault="004F672D" w:rsidP="00A131F2">
      <w:pPr>
        <w:tabs>
          <w:tab w:val="left" w:pos="2595"/>
          <w:tab w:val="center" w:pos="5031"/>
        </w:tabs>
        <w:spacing w:line="276" w:lineRule="auto"/>
        <w:ind w:firstLine="708"/>
        <w:jc w:val="right"/>
        <w:rPr>
          <w:rFonts w:asciiTheme="majorHAnsi" w:hAnsiTheme="majorHAnsi" w:cstheme="majorHAnsi"/>
          <w:b/>
          <w:sz w:val="24"/>
          <w:szCs w:val="24"/>
          <w:lang w:val="ru-MD"/>
        </w:rPr>
      </w:pPr>
      <w:r w:rsidRPr="006C6F8D">
        <w:rPr>
          <w:rFonts w:asciiTheme="majorHAnsi" w:hAnsiTheme="majorHAnsi" w:cstheme="majorHAnsi"/>
          <w:b/>
          <w:sz w:val="24"/>
          <w:szCs w:val="24"/>
          <w:lang w:val="ru-MD"/>
        </w:rPr>
        <w:t>Тамара АНДРУШКА,</w:t>
      </w:r>
    </w:p>
    <w:p w:rsidR="00A131F2" w:rsidRPr="006C6F8D" w:rsidRDefault="004F672D" w:rsidP="00A131F2">
      <w:pPr>
        <w:tabs>
          <w:tab w:val="left" w:pos="2595"/>
          <w:tab w:val="center" w:pos="5031"/>
        </w:tabs>
        <w:spacing w:line="276" w:lineRule="auto"/>
        <w:ind w:firstLine="708"/>
        <w:jc w:val="right"/>
        <w:rPr>
          <w:rFonts w:asciiTheme="majorHAnsi" w:hAnsiTheme="majorHAnsi" w:cstheme="majorHAnsi"/>
          <w:b/>
          <w:sz w:val="24"/>
          <w:szCs w:val="24"/>
          <w:lang w:val="ru-MD"/>
        </w:rPr>
      </w:pPr>
      <w:r w:rsidRPr="006C6F8D">
        <w:rPr>
          <w:rFonts w:asciiTheme="majorHAnsi" w:hAnsiTheme="majorHAnsi" w:cstheme="majorHAnsi"/>
          <w:b/>
          <w:i/>
          <w:sz w:val="24"/>
          <w:szCs w:val="24"/>
          <w:lang w:val="ru-MD"/>
        </w:rPr>
        <w:t>Заместитель</w:t>
      </w:r>
      <w:r w:rsidRPr="006C6F8D">
        <w:rPr>
          <w:rFonts w:asciiTheme="majorHAnsi" w:hAnsiTheme="majorHAnsi" w:cstheme="majorHAnsi"/>
          <w:b/>
          <w:sz w:val="24"/>
          <w:szCs w:val="24"/>
          <w:lang w:val="ru-MD"/>
        </w:rPr>
        <w:t xml:space="preserve"> </w:t>
      </w:r>
      <w:r w:rsidRPr="006C6F8D">
        <w:rPr>
          <w:rFonts w:asciiTheme="majorHAnsi" w:hAnsiTheme="majorHAnsi" w:cstheme="majorHAnsi"/>
          <w:b/>
          <w:i/>
          <w:sz w:val="24"/>
          <w:szCs w:val="24"/>
          <w:lang w:val="ru-MD"/>
        </w:rPr>
        <w:t>председателя</w:t>
      </w:r>
    </w:p>
    <w:p w:rsidR="006A377A" w:rsidRPr="006C6F8D" w:rsidRDefault="006A377A" w:rsidP="00A131F2">
      <w:pPr>
        <w:spacing w:after="0" w:line="276" w:lineRule="auto"/>
        <w:ind w:firstLine="567"/>
        <w:jc w:val="right"/>
        <w:rPr>
          <w:rFonts w:asciiTheme="majorHAnsi" w:hAnsiTheme="majorHAnsi" w:cstheme="majorHAnsi"/>
          <w:b/>
          <w:i/>
          <w:sz w:val="24"/>
          <w:szCs w:val="24"/>
          <w:lang w:val="ru-MD"/>
        </w:rPr>
      </w:pPr>
    </w:p>
    <w:p w:rsidR="00902906" w:rsidRPr="006C6F8D" w:rsidRDefault="00902906" w:rsidP="00A131F2">
      <w:pPr>
        <w:rPr>
          <w:rFonts w:asciiTheme="majorHAnsi" w:hAnsiTheme="majorHAnsi" w:cstheme="majorHAnsi"/>
          <w:sz w:val="24"/>
          <w:szCs w:val="24"/>
          <w:lang w:val="ru-MD"/>
        </w:rPr>
      </w:pPr>
    </w:p>
    <w:sectPr w:rsidR="00902906" w:rsidRPr="006C6F8D" w:rsidSect="00986070">
      <w:footerReference w:type="default" r:id="rId7"/>
      <w:pgSz w:w="11906" w:h="16838" w:code="9"/>
      <w:pgMar w:top="1134" w:right="90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FA" w:rsidRDefault="000758FA" w:rsidP="00A131F2">
      <w:pPr>
        <w:spacing w:after="0" w:line="240" w:lineRule="auto"/>
      </w:pPr>
      <w:r>
        <w:separator/>
      </w:r>
    </w:p>
  </w:endnote>
  <w:endnote w:type="continuationSeparator" w:id="0">
    <w:p w:rsidR="000758FA" w:rsidRDefault="000758FA" w:rsidP="00A1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973524"/>
      <w:docPartObj>
        <w:docPartGallery w:val="Page Numbers (Bottom of Page)"/>
        <w:docPartUnique/>
      </w:docPartObj>
    </w:sdtPr>
    <w:sdtEndPr>
      <w:rPr>
        <w:noProof/>
      </w:rPr>
    </w:sdtEndPr>
    <w:sdtContent>
      <w:p w:rsidR="005B028E" w:rsidRDefault="005B028E">
        <w:pPr>
          <w:pStyle w:val="a8"/>
          <w:jc w:val="right"/>
        </w:pPr>
        <w:r>
          <w:fldChar w:fldCharType="begin"/>
        </w:r>
        <w:r>
          <w:instrText xml:space="preserve"> PAGE   \* MERGEFORMAT </w:instrText>
        </w:r>
        <w:r>
          <w:fldChar w:fldCharType="separate"/>
        </w:r>
        <w:r w:rsidR="00F46FF7">
          <w:rPr>
            <w:noProof/>
          </w:rPr>
          <w:t>2</w:t>
        </w:r>
        <w:r>
          <w:rPr>
            <w:noProof/>
          </w:rPr>
          <w:fldChar w:fldCharType="end"/>
        </w:r>
      </w:p>
    </w:sdtContent>
  </w:sdt>
  <w:p w:rsidR="001A1F4A" w:rsidRDefault="000758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FA" w:rsidRDefault="000758FA" w:rsidP="00A131F2">
      <w:pPr>
        <w:spacing w:after="0" w:line="240" w:lineRule="auto"/>
      </w:pPr>
      <w:r>
        <w:separator/>
      </w:r>
    </w:p>
  </w:footnote>
  <w:footnote w:type="continuationSeparator" w:id="0">
    <w:p w:rsidR="000758FA" w:rsidRDefault="000758FA" w:rsidP="00A131F2">
      <w:pPr>
        <w:spacing w:after="0" w:line="240" w:lineRule="auto"/>
      </w:pPr>
      <w:r>
        <w:continuationSeparator/>
      </w:r>
    </w:p>
  </w:footnote>
  <w:footnote w:id="1">
    <w:p w:rsidR="00267A83" w:rsidRPr="004C5D87" w:rsidRDefault="00267A83" w:rsidP="00267A83">
      <w:pPr>
        <w:pStyle w:val="aa"/>
        <w:ind w:firstLine="0"/>
        <w:rPr>
          <w:rFonts w:asciiTheme="majorHAnsi" w:hAnsiTheme="majorHAnsi" w:cstheme="majorHAnsi"/>
          <w:sz w:val="20"/>
          <w:szCs w:val="20"/>
          <w:lang w:val="ro-MD"/>
        </w:rPr>
      </w:pPr>
      <w:r w:rsidRPr="006B2B88">
        <w:rPr>
          <w:rStyle w:val="a5"/>
          <w:rFonts w:eastAsiaTheme="majorEastAsia"/>
          <w:sz w:val="20"/>
          <w:szCs w:val="20"/>
          <w:lang w:val="ro-MD"/>
        </w:rPr>
        <w:footnoteRef/>
      </w:r>
      <w:r w:rsidRPr="006B2B88">
        <w:rPr>
          <w:sz w:val="20"/>
          <w:szCs w:val="20"/>
          <w:lang w:val="ro-MD"/>
        </w:rPr>
        <w:t xml:space="preserve"> </w:t>
      </w:r>
      <w:r w:rsidRPr="004C5D87">
        <w:rPr>
          <w:rFonts w:asciiTheme="majorHAnsi" w:hAnsiTheme="majorHAnsi" w:cstheme="majorHAnsi"/>
          <w:sz w:val="20"/>
          <w:szCs w:val="20"/>
          <w:lang w:val="ru-MD"/>
        </w:rPr>
        <w:t>Закон об организации и функционировании Счетной палаты Республики Молдова №260 от 07.12.2017 (далее –Закон №260 от 07.12.2017</w:t>
      </w:r>
      <w:r w:rsidRPr="004C5D87">
        <w:rPr>
          <w:rFonts w:asciiTheme="majorHAnsi" w:hAnsiTheme="majorHAnsi" w:cstheme="majorHAnsi"/>
          <w:sz w:val="20"/>
          <w:szCs w:val="20"/>
          <w:lang w:val="ro-MD"/>
        </w:rPr>
        <w:t>).</w:t>
      </w:r>
    </w:p>
  </w:footnote>
  <w:footnote w:id="2">
    <w:p w:rsidR="00A131F2" w:rsidRPr="00267A83" w:rsidRDefault="00A131F2" w:rsidP="00A131F2">
      <w:pPr>
        <w:spacing w:after="0" w:line="240" w:lineRule="auto"/>
        <w:jc w:val="both"/>
        <w:rPr>
          <w:rFonts w:asciiTheme="majorHAnsi" w:eastAsia="Times New Roman" w:hAnsiTheme="majorHAnsi" w:cstheme="majorHAnsi"/>
          <w:sz w:val="20"/>
          <w:szCs w:val="20"/>
          <w:lang w:val="ro-MD"/>
        </w:rPr>
      </w:pPr>
      <w:r w:rsidRPr="00267A83">
        <w:rPr>
          <w:rStyle w:val="a5"/>
          <w:rFonts w:asciiTheme="majorHAnsi" w:hAnsiTheme="majorHAnsi" w:cstheme="majorHAnsi"/>
          <w:sz w:val="20"/>
          <w:szCs w:val="20"/>
          <w:lang w:val="ro-MD"/>
        </w:rPr>
        <w:footnoteRef/>
      </w:r>
      <w:r w:rsidRPr="00267A83">
        <w:rPr>
          <w:rFonts w:asciiTheme="majorHAnsi" w:hAnsiTheme="majorHAnsi" w:cstheme="majorHAnsi"/>
          <w:sz w:val="20"/>
          <w:szCs w:val="20"/>
          <w:lang w:val="ro-MD"/>
        </w:rPr>
        <w:t xml:space="preserve"> </w:t>
      </w:r>
      <w:r w:rsidRPr="00267A83">
        <w:rPr>
          <w:rFonts w:asciiTheme="majorHAnsi" w:hAnsiTheme="majorHAnsi" w:cstheme="majorHAnsi"/>
          <w:sz w:val="20"/>
          <w:szCs w:val="20"/>
          <w:lang w:val="ru-MD"/>
        </w:rPr>
        <w:t>Постановление Счетной палаты №75 от 29.12.2017 ,,Об утверждении Программы аудиторской деятельности Счетной палаты на 2018 год</w:t>
      </w:r>
      <w:r w:rsidRPr="00267A83">
        <w:rPr>
          <w:rFonts w:asciiTheme="majorHAnsi" w:eastAsia="Times New Roman" w:hAnsiTheme="majorHAnsi" w:cstheme="majorHAnsi"/>
          <w:sz w:val="20"/>
          <w:szCs w:val="20"/>
          <w:lang w:val="ro-MD"/>
        </w:rPr>
        <w:t>”</w:t>
      </w:r>
      <w:r w:rsidRPr="00267A83">
        <w:rPr>
          <w:rFonts w:asciiTheme="majorHAnsi" w:eastAsia="Times New Roman" w:hAnsiTheme="majorHAnsi" w:cstheme="majorHAnsi"/>
          <w:sz w:val="20"/>
          <w:szCs w:val="20"/>
          <w:lang w:val="ru-RU"/>
        </w:rPr>
        <w:t xml:space="preserve"> (с последующими изменениями)</w:t>
      </w:r>
      <w:r w:rsidRPr="00267A83">
        <w:rPr>
          <w:rFonts w:asciiTheme="majorHAnsi" w:eastAsia="Times New Roman" w:hAnsiTheme="majorHAnsi" w:cstheme="majorHAnsi"/>
          <w:sz w:val="20"/>
          <w:szCs w:val="20"/>
          <w:lang w:val="ro-MD"/>
        </w:rPr>
        <w:t>.</w:t>
      </w:r>
    </w:p>
  </w:footnote>
  <w:footnote w:id="3">
    <w:p w:rsidR="008B040D" w:rsidRPr="00DB750C" w:rsidRDefault="008B040D" w:rsidP="008B040D">
      <w:pPr>
        <w:pStyle w:val="a3"/>
        <w:jc w:val="both"/>
        <w:rPr>
          <w:rFonts w:asciiTheme="majorHAnsi" w:hAnsiTheme="majorHAnsi" w:cstheme="majorHAnsi"/>
          <w:lang w:val="ru-MD"/>
        </w:rPr>
      </w:pPr>
      <w:r w:rsidRPr="002F338F">
        <w:rPr>
          <w:rStyle w:val="a5"/>
          <w:rFonts w:cs="Times New Roman"/>
          <w:lang w:val="ro-MD"/>
        </w:rPr>
        <w:footnoteRef/>
      </w:r>
      <w:r w:rsidRPr="002F338F">
        <w:rPr>
          <w:rFonts w:ascii="Times New Roman" w:hAnsi="Times New Roman" w:cs="Times New Roman"/>
          <w:lang w:val="ro-MD"/>
        </w:rPr>
        <w:t xml:space="preserve"> </w:t>
      </w:r>
      <w:r w:rsidRPr="00DB750C">
        <w:rPr>
          <w:rFonts w:asciiTheme="majorHAnsi" w:hAnsiTheme="majorHAnsi" w:cstheme="majorHAnsi"/>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 в рамках публичного аудита”</w:t>
      </w:r>
      <w:r w:rsidRPr="00DB750C">
        <w:rPr>
          <w:rFonts w:asciiTheme="majorHAnsi" w:hAnsiTheme="majorHAnsi" w:cstheme="majorHAnsi"/>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7F"/>
    <w:rsid w:val="000122C4"/>
    <w:rsid w:val="00015328"/>
    <w:rsid w:val="000178E7"/>
    <w:rsid w:val="000251EB"/>
    <w:rsid w:val="00033956"/>
    <w:rsid w:val="00036074"/>
    <w:rsid w:val="00042573"/>
    <w:rsid w:val="00050371"/>
    <w:rsid w:val="00051473"/>
    <w:rsid w:val="000758FA"/>
    <w:rsid w:val="00081ACC"/>
    <w:rsid w:val="00084039"/>
    <w:rsid w:val="000A171C"/>
    <w:rsid w:val="000A6609"/>
    <w:rsid w:val="000C6ADA"/>
    <w:rsid w:val="000C779D"/>
    <w:rsid w:val="000D2A0D"/>
    <w:rsid w:val="000E4059"/>
    <w:rsid w:val="000E426F"/>
    <w:rsid w:val="000E4EE4"/>
    <w:rsid w:val="000F5853"/>
    <w:rsid w:val="00102058"/>
    <w:rsid w:val="001025E1"/>
    <w:rsid w:val="001063BB"/>
    <w:rsid w:val="001302BD"/>
    <w:rsid w:val="00130F20"/>
    <w:rsid w:val="001367A3"/>
    <w:rsid w:val="00154D2E"/>
    <w:rsid w:val="0015522B"/>
    <w:rsid w:val="00166D6A"/>
    <w:rsid w:val="00167C55"/>
    <w:rsid w:val="00173E59"/>
    <w:rsid w:val="00187BAA"/>
    <w:rsid w:val="00195524"/>
    <w:rsid w:val="001A7D98"/>
    <w:rsid w:val="001B20F7"/>
    <w:rsid w:val="001B6C79"/>
    <w:rsid w:val="001C61E9"/>
    <w:rsid w:val="001C7822"/>
    <w:rsid w:val="001C7AE1"/>
    <w:rsid w:val="001F1B76"/>
    <w:rsid w:val="001F3ED5"/>
    <w:rsid w:val="001F587F"/>
    <w:rsid w:val="00210055"/>
    <w:rsid w:val="00211FB6"/>
    <w:rsid w:val="0022535F"/>
    <w:rsid w:val="00233F3B"/>
    <w:rsid w:val="00260705"/>
    <w:rsid w:val="00264692"/>
    <w:rsid w:val="00267A83"/>
    <w:rsid w:val="002728A0"/>
    <w:rsid w:val="00273C4F"/>
    <w:rsid w:val="002813BB"/>
    <w:rsid w:val="002A1FDC"/>
    <w:rsid w:val="002C36C9"/>
    <w:rsid w:val="002D5A61"/>
    <w:rsid w:val="002D5FA6"/>
    <w:rsid w:val="002E0D0F"/>
    <w:rsid w:val="00303D4E"/>
    <w:rsid w:val="00310E41"/>
    <w:rsid w:val="00314B1D"/>
    <w:rsid w:val="00316881"/>
    <w:rsid w:val="0031786A"/>
    <w:rsid w:val="00317D1D"/>
    <w:rsid w:val="003269A9"/>
    <w:rsid w:val="00327FB0"/>
    <w:rsid w:val="00335EE2"/>
    <w:rsid w:val="00347DEB"/>
    <w:rsid w:val="00351D50"/>
    <w:rsid w:val="00357DE7"/>
    <w:rsid w:val="00367430"/>
    <w:rsid w:val="0037103A"/>
    <w:rsid w:val="00375595"/>
    <w:rsid w:val="00375DEC"/>
    <w:rsid w:val="0037707F"/>
    <w:rsid w:val="00382181"/>
    <w:rsid w:val="00386132"/>
    <w:rsid w:val="00387560"/>
    <w:rsid w:val="003B1DA3"/>
    <w:rsid w:val="003B797F"/>
    <w:rsid w:val="003D435A"/>
    <w:rsid w:val="003E6CCA"/>
    <w:rsid w:val="003F0630"/>
    <w:rsid w:val="0040081E"/>
    <w:rsid w:val="004054F4"/>
    <w:rsid w:val="00406F1C"/>
    <w:rsid w:val="00414B82"/>
    <w:rsid w:val="004206A5"/>
    <w:rsid w:val="00422C46"/>
    <w:rsid w:val="0043387F"/>
    <w:rsid w:val="004703BB"/>
    <w:rsid w:val="0047121A"/>
    <w:rsid w:val="004774AD"/>
    <w:rsid w:val="0048484D"/>
    <w:rsid w:val="004B7110"/>
    <w:rsid w:val="004C1D31"/>
    <w:rsid w:val="004C591A"/>
    <w:rsid w:val="004C6251"/>
    <w:rsid w:val="004D5401"/>
    <w:rsid w:val="004F672D"/>
    <w:rsid w:val="004F6942"/>
    <w:rsid w:val="00500586"/>
    <w:rsid w:val="005168EE"/>
    <w:rsid w:val="00525435"/>
    <w:rsid w:val="00543A69"/>
    <w:rsid w:val="00566911"/>
    <w:rsid w:val="00576FD1"/>
    <w:rsid w:val="00582B5B"/>
    <w:rsid w:val="0059418D"/>
    <w:rsid w:val="005A11BC"/>
    <w:rsid w:val="005B028E"/>
    <w:rsid w:val="005B7D04"/>
    <w:rsid w:val="005C0E1A"/>
    <w:rsid w:val="005C1D32"/>
    <w:rsid w:val="005C34D6"/>
    <w:rsid w:val="005C3854"/>
    <w:rsid w:val="005D6ABB"/>
    <w:rsid w:val="005D6C58"/>
    <w:rsid w:val="005F0D47"/>
    <w:rsid w:val="005F3858"/>
    <w:rsid w:val="005F5EA6"/>
    <w:rsid w:val="005F74E0"/>
    <w:rsid w:val="0060465C"/>
    <w:rsid w:val="00612A61"/>
    <w:rsid w:val="00613637"/>
    <w:rsid w:val="006165FC"/>
    <w:rsid w:val="006325F7"/>
    <w:rsid w:val="00660D38"/>
    <w:rsid w:val="00662007"/>
    <w:rsid w:val="00664489"/>
    <w:rsid w:val="006815B1"/>
    <w:rsid w:val="00684512"/>
    <w:rsid w:val="00684CF0"/>
    <w:rsid w:val="006868BB"/>
    <w:rsid w:val="00693DEE"/>
    <w:rsid w:val="006A377A"/>
    <w:rsid w:val="006A4E13"/>
    <w:rsid w:val="006A543D"/>
    <w:rsid w:val="006C4BA4"/>
    <w:rsid w:val="006C538F"/>
    <w:rsid w:val="006C6F8D"/>
    <w:rsid w:val="006D0197"/>
    <w:rsid w:val="006E0C32"/>
    <w:rsid w:val="006E36BB"/>
    <w:rsid w:val="006E70E0"/>
    <w:rsid w:val="006F721B"/>
    <w:rsid w:val="00701D7A"/>
    <w:rsid w:val="00705FC6"/>
    <w:rsid w:val="00712084"/>
    <w:rsid w:val="007150A9"/>
    <w:rsid w:val="00722D54"/>
    <w:rsid w:val="00733BA0"/>
    <w:rsid w:val="00737474"/>
    <w:rsid w:val="0076466E"/>
    <w:rsid w:val="007648F8"/>
    <w:rsid w:val="00775F35"/>
    <w:rsid w:val="00791A90"/>
    <w:rsid w:val="0079654C"/>
    <w:rsid w:val="007A3545"/>
    <w:rsid w:val="007A3C28"/>
    <w:rsid w:val="007A3DCA"/>
    <w:rsid w:val="007A68E6"/>
    <w:rsid w:val="007B6CA3"/>
    <w:rsid w:val="007C0AFD"/>
    <w:rsid w:val="007C4ED4"/>
    <w:rsid w:val="007F05BE"/>
    <w:rsid w:val="0080273C"/>
    <w:rsid w:val="00812703"/>
    <w:rsid w:val="00812B43"/>
    <w:rsid w:val="0081492F"/>
    <w:rsid w:val="00821E07"/>
    <w:rsid w:val="0082472F"/>
    <w:rsid w:val="00827CA2"/>
    <w:rsid w:val="00835288"/>
    <w:rsid w:val="0084001D"/>
    <w:rsid w:val="008508BA"/>
    <w:rsid w:val="00861A92"/>
    <w:rsid w:val="00862708"/>
    <w:rsid w:val="00863F95"/>
    <w:rsid w:val="008665D1"/>
    <w:rsid w:val="00872C7F"/>
    <w:rsid w:val="00874860"/>
    <w:rsid w:val="00886AA4"/>
    <w:rsid w:val="00886D54"/>
    <w:rsid w:val="00894239"/>
    <w:rsid w:val="008A0D73"/>
    <w:rsid w:val="008A0EFA"/>
    <w:rsid w:val="008A3C27"/>
    <w:rsid w:val="008A3E2B"/>
    <w:rsid w:val="008A481F"/>
    <w:rsid w:val="008A544B"/>
    <w:rsid w:val="008B040D"/>
    <w:rsid w:val="008B0AB1"/>
    <w:rsid w:val="008B639A"/>
    <w:rsid w:val="008B6731"/>
    <w:rsid w:val="008C6BB5"/>
    <w:rsid w:val="008D17DB"/>
    <w:rsid w:val="008D1C76"/>
    <w:rsid w:val="008F62BD"/>
    <w:rsid w:val="00902906"/>
    <w:rsid w:val="00916B83"/>
    <w:rsid w:val="00922BE2"/>
    <w:rsid w:val="00922FFF"/>
    <w:rsid w:val="00924ECF"/>
    <w:rsid w:val="00953819"/>
    <w:rsid w:val="009546CE"/>
    <w:rsid w:val="009644B5"/>
    <w:rsid w:val="00965674"/>
    <w:rsid w:val="00965A9A"/>
    <w:rsid w:val="0098538D"/>
    <w:rsid w:val="009920D7"/>
    <w:rsid w:val="0099246F"/>
    <w:rsid w:val="00992927"/>
    <w:rsid w:val="009C7746"/>
    <w:rsid w:val="009D2C05"/>
    <w:rsid w:val="009E2A0B"/>
    <w:rsid w:val="009E54A7"/>
    <w:rsid w:val="009F1D22"/>
    <w:rsid w:val="009F467B"/>
    <w:rsid w:val="00A03AB6"/>
    <w:rsid w:val="00A059C1"/>
    <w:rsid w:val="00A1038A"/>
    <w:rsid w:val="00A104D2"/>
    <w:rsid w:val="00A131F2"/>
    <w:rsid w:val="00A26C8C"/>
    <w:rsid w:val="00A31F85"/>
    <w:rsid w:val="00A36ECC"/>
    <w:rsid w:val="00A61D55"/>
    <w:rsid w:val="00A7790B"/>
    <w:rsid w:val="00A87041"/>
    <w:rsid w:val="00A92DAD"/>
    <w:rsid w:val="00AA42F1"/>
    <w:rsid w:val="00AB4FB5"/>
    <w:rsid w:val="00AC1DA4"/>
    <w:rsid w:val="00AE0D32"/>
    <w:rsid w:val="00AE3CA9"/>
    <w:rsid w:val="00AF5FBC"/>
    <w:rsid w:val="00B310A8"/>
    <w:rsid w:val="00B314A5"/>
    <w:rsid w:val="00B51140"/>
    <w:rsid w:val="00B57600"/>
    <w:rsid w:val="00B62373"/>
    <w:rsid w:val="00B65CBC"/>
    <w:rsid w:val="00B65F7F"/>
    <w:rsid w:val="00B66EE5"/>
    <w:rsid w:val="00B80805"/>
    <w:rsid w:val="00B91AA7"/>
    <w:rsid w:val="00B92081"/>
    <w:rsid w:val="00BA12EA"/>
    <w:rsid w:val="00BA5DA4"/>
    <w:rsid w:val="00BA7639"/>
    <w:rsid w:val="00BD34F9"/>
    <w:rsid w:val="00BE611D"/>
    <w:rsid w:val="00BF21AA"/>
    <w:rsid w:val="00BF269D"/>
    <w:rsid w:val="00BF2C03"/>
    <w:rsid w:val="00C069C9"/>
    <w:rsid w:val="00C13F12"/>
    <w:rsid w:val="00C23DCE"/>
    <w:rsid w:val="00C24C89"/>
    <w:rsid w:val="00C30A37"/>
    <w:rsid w:val="00C344A7"/>
    <w:rsid w:val="00C36552"/>
    <w:rsid w:val="00C43836"/>
    <w:rsid w:val="00C46204"/>
    <w:rsid w:val="00C54691"/>
    <w:rsid w:val="00C61E57"/>
    <w:rsid w:val="00C657F5"/>
    <w:rsid w:val="00C70C70"/>
    <w:rsid w:val="00C70C85"/>
    <w:rsid w:val="00C72FFD"/>
    <w:rsid w:val="00C86232"/>
    <w:rsid w:val="00C934A5"/>
    <w:rsid w:val="00C946FD"/>
    <w:rsid w:val="00CA3B84"/>
    <w:rsid w:val="00CA75BD"/>
    <w:rsid w:val="00CD66B7"/>
    <w:rsid w:val="00CE28BE"/>
    <w:rsid w:val="00CF453A"/>
    <w:rsid w:val="00D06CE4"/>
    <w:rsid w:val="00D210E9"/>
    <w:rsid w:val="00D301C7"/>
    <w:rsid w:val="00D32A47"/>
    <w:rsid w:val="00D4472F"/>
    <w:rsid w:val="00D64FF8"/>
    <w:rsid w:val="00D662F5"/>
    <w:rsid w:val="00D664FF"/>
    <w:rsid w:val="00D7711B"/>
    <w:rsid w:val="00D8154F"/>
    <w:rsid w:val="00D91DE1"/>
    <w:rsid w:val="00DA7565"/>
    <w:rsid w:val="00DB32F4"/>
    <w:rsid w:val="00DB5676"/>
    <w:rsid w:val="00DB5A4C"/>
    <w:rsid w:val="00DB6C00"/>
    <w:rsid w:val="00DB750C"/>
    <w:rsid w:val="00DC0568"/>
    <w:rsid w:val="00DC2E35"/>
    <w:rsid w:val="00DD1358"/>
    <w:rsid w:val="00DD1586"/>
    <w:rsid w:val="00DD4203"/>
    <w:rsid w:val="00DD64A3"/>
    <w:rsid w:val="00DE7EC4"/>
    <w:rsid w:val="00DF4B96"/>
    <w:rsid w:val="00DF4C4C"/>
    <w:rsid w:val="00E038DB"/>
    <w:rsid w:val="00E03972"/>
    <w:rsid w:val="00E17A2D"/>
    <w:rsid w:val="00E2030F"/>
    <w:rsid w:val="00E40D00"/>
    <w:rsid w:val="00E5239B"/>
    <w:rsid w:val="00E706FE"/>
    <w:rsid w:val="00E87EB7"/>
    <w:rsid w:val="00E90DD5"/>
    <w:rsid w:val="00E9106F"/>
    <w:rsid w:val="00EC2BC7"/>
    <w:rsid w:val="00EC3FC0"/>
    <w:rsid w:val="00EC6353"/>
    <w:rsid w:val="00EC7322"/>
    <w:rsid w:val="00EC748E"/>
    <w:rsid w:val="00ED1F1B"/>
    <w:rsid w:val="00EE1597"/>
    <w:rsid w:val="00EE3D53"/>
    <w:rsid w:val="00EE6AE6"/>
    <w:rsid w:val="00EF0573"/>
    <w:rsid w:val="00EF1D97"/>
    <w:rsid w:val="00EF7A51"/>
    <w:rsid w:val="00F060F8"/>
    <w:rsid w:val="00F14412"/>
    <w:rsid w:val="00F25A8D"/>
    <w:rsid w:val="00F27F91"/>
    <w:rsid w:val="00F30114"/>
    <w:rsid w:val="00F34A77"/>
    <w:rsid w:val="00F40D27"/>
    <w:rsid w:val="00F4458E"/>
    <w:rsid w:val="00F4582E"/>
    <w:rsid w:val="00F46FF7"/>
    <w:rsid w:val="00F544FE"/>
    <w:rsid w:val="00F6196D"/>
    <w:rsid w:val="00F61F07"/>
    <w:rsid w:val="00F706C5"/>
    <w:rsid w:val="00FA45AE"/>
    <w:rsid w:val="00FB2B72"/>
    <w:rsid w:val="00FB4FBF"/>
    <w:rsid w:val="00FC6EE4"/>
    <w:rsid w:val="00FD07FD"/>
    <w:rsid w:val="00FD08BB"/>
    <w:rsid w:val="00FD7DD7"/>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D24E0-9A1D-4D68-958A-D74C63A9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4"/>
    <w:uiPriority w:val="99"/>
    <w:unhideWhenUsed/>
    <w:qFormat/>
    <w:rsid w:val="00A131F2"/>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3"/>
    <w:uiPriority w:val="99"/>
    <w:rsid w:val="00A131F2"/>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A131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A131F2"/>
    <w:pPr>
      <w:spacing w:line="240" w:lineRule="exact"/>
    </w:pPr>
    <w:rPr>
      <w:vertAlign w:val="superscript"/>
    </w:rPr>
  </w:style>
  <w:style w:type="paragraph" w:styleId="a6">
    <w:name w:val="header"/>
    <w:basedOn w:val="a"/>
    <w:link w:val="a7"/>
    <w:uiPriority w:val="99"/>
    <w:unhideWhenUsed/>
    <w:rsid w:val="00A131F2"/>
    <w:pPr>
      <w:tabs>
        <w:tab w:val="center" w:pos="4844"/>
        <w:tab w:val="right" w:pos="9689"/>
      </w:tabs>
      <w:spacing w:after="0" w:line="240" w:lineRule="auto"/>
      <w:jc w:val="both"/>
    </w:pPr>
    <w:rPr>
      <w:rFonts w:ascii="Times New Roman" w:hAnsi="Times New Roman"/>
      <w:sz w:val="28"/>
    </w:rPr>
  </w:style>
  <w:style w:type="character" w:customStyle="1" w:styleId="a7">
    <w:name w:val="Верхний колонтитул Знак"/>
    <w:basedOn w:val="a0"/>
    <w:link w:val="a6"/>
    <w:uiPriority w:val="99"/>
    <w:rsid w:val="00A131F2"/>
    <w:rPr>
      <w:rFonts w:ascii="Times New Roman" w:hAnsi="Times New Roman"/>
      <w:sz w:val="28"/>
    </w:rPr>
  </w:style>
  <w:style w:type="paragraph" w:styleId="a8">
    <w:name w:val="footer"/>
    <w:basedOn w:val="a"/>
    <w:link w:val="a9"/>
    <w:uiPriority w:val="99"/>
    <w:unhideWhenUsed/>
    <w:rsid w:val="00A131F2"/>
    <w:pPr>
      <w:tabs>
        <w:tab w:val="center" w:pos="4844"/>
        <w:tab w:val="right" w:pos="9689"/>
      </w:tabs>
      <w:spacing w:after="0" w:line="240" w:lineRule="auto"/>
      <w:jc w:val="both"/>
    </w:pPr>
    <w:rPr>
      <w:rFonts w:ascii="Times New Roman" w:hAnsi="Times New Roman"/>
      <w:sz w:val="28"/>
    </w:rPr>
  </w:style>
  <w:style w:type="character" w:customStyle="1" w:styleId="a9">
    <w:name w:val="Нижний колонтитул Знак"/>
    <w:basedOn w:val="a0"/>
    <w:link w:val="a8"/>
    <w:uiPriority w:val="99"/>
    <w:rsid w:val="00A131F2"/>
    <w:rPr>
      <w:rFonts w:ascii="Times New Roman" w:hAnsi="Times New Roman"/>
      <w:sz w:val="28"/>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b"/>
    <w:uiPriority w:val="99"/>
    <w:unhideWhenUsed/>
    <w:qFormat/>
    <w:rsid w:val="00A131F2"/>
    <w:pPr>
      <w:spacing w:after="0" w:line="240" w:lineRule="auto"/>
      <w:ind w:firstLine="567"/>
      <w:jc w:val="both"/>
    </w:pPr>
    <w:rPr>
      <w:rFonts w:ascii="Times New Roman" w:eastAsia="Times New Roman" w:hAnsi="Times New Roman" w:cs="Times New Roman"/>
      <w:sz w:val="24"/>
      <w:szCs w:val="24"/>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locked/>
    <w:rsid w:val="00A131F2"/>
    <w:rPr>
      <w:rFonts w:ascii="Times New Roman" w:eastAsia="Times New Roman" w:hAnsi="Times New Roman" w:cs="Times New Roman"/>
      <w:sz w:val="24"/>
      <w:szCs w:val="24"/>
    </w:rPr>
  </w:style>
  <w:style w:type="character" w:styleId="ac">
    <w:name w:val="Strong"/>
    <w:basedOn w:val="a0"/>
    <w:uiPriority w:val="22"/>
    <w:qFormat/>
    <w:rsid w:val="00A13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dcterms:created xsi:type="dcterms:W3CDTF">2018-12-17T06:50:00Z</dcterms:created>
  <dcterms:modified xsi:type="dcterms:W3CDTF">2018-12-17T06:50:00Z</dcterms:modified>
</cp:coreProperties>
</file>